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F8" w:rsidRPr="00C0164C" w:rsidRDefault="00677AF8" w:rsidP="00C0164C">
      <w:pPr>
        <w:spacing w:line="276" w:lineRule="auto"/>
        <w:jc w:val="both"/>
        <w:rPr>
          <w:b/>
          <w:sz w:val="28"/>
        </w:rPr>
      </w:pPr>
      <w:r w:rsidRPr="00C0164C">
        <w:rPr>
          <w:noProof/>
          <w:sz w:val="28"/>
          <w:lang w:eastAsia="fr-FR"/>
        </w:rPr>
        <w:drawing>
          <wp:anchor distT="0" distB="0" distL="114300" distR="114300" simplePos="0" relativeHeight="251660288" behindDoc="1" locked="0" layoutInCell="1" allowOverlap="1">
            <wp:simplePos x="0" y="0"/>
            <wp:positionH relativeFrom="column">
              <wp:posOffset>5828030</wp:posOffset>
            </wp:positionH>
            <wp:positionV relativeFrom="paragraph">
              <wp:posOffset>3810</wp:posOffset>
            </wp:positionV>
            <wp:extent cx="464185" cy="935355"/>
            <wp:effectExtent l="0" t="0" r="0" b="0"/>
            <wp:wrapTight wrapText="bothSides">
              <wp:wrapPolygon edited="0">
                <wp:start x="0" y="0"/>
                <wp:lineTo x="0" y="21116"/>
                <wp:lineTo x="20389" y="21116"/>
                <wp:lineTo x="20389" y="0"/>
                <wp:lineTo x="0" y="0"/>
              </wp:wrapPolygon>
            </wp:wrapTight>
            <wp:docPr id="1" name="Picture 1" descr="PN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NUD 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185" cy="935355"/>
                    </a:xfrm>
                    <a:prstGeom prst="rect">
                      <a:avLst/>
                    </a:prstGeom>
                    <a:noFill/>
                    <a:ln>
                      <a:noFill/>
                    </a:ln>
                  </pic:spPr>
                </pic:pic>
              </a:graphicData>
            </a:graphic>
          </wp:anchor>
        </w:drawing>
      </w:r>
      <w:r w:rsidRPr="00C0164C">
        <w:rPr>
          <w:b/>
          <w:sz w:val="28"/>
          <w:lang w:val="fr-BE"/>
        </w:rPr>
        <w:t xml:space="preserve">Programme des Nations Unies pour le Développement   </w:t>
      </w:r>
    </w:p>
    <w:p w:rsidR="00677AF8" w:rsidRPr="00C0164C" w:rsidRDefault="00677AF8" w:rsidP="00C0164C">
      <w:pPr>
        <w:spacing w:line="276" w:lineRule="auto"/>
        <w:jc w:val="both"/>
      </w:pPr>
      <w:r w:rsidRPr="00C0164C">
        <w:rPr>
          <w:sz w:val="28"/>
        </w:rPr>
        <w:t>République Démocratique du Congo</w:t>
      </w:r>
    </w:p>
    <w:p w:rsidR="00677AF8" w:rsidRPr="00C0164C" w:rsidRDefault="00677AF8" w:rsidP="00C0164C">
      <w:pPr>
        <w:spacing w:line="276" w:lineRule="auto"/>
        <w:jc w:val="center"/>
        <w:outlineLvl w:val="0"/>
        <w:rPr>
          <w:b/>
          <w:u w:val="single"/>
        </w:rPr>
      </w:pPr>
    </w:p>
    <w:p w:rsidR="00677AF8" w:rsidRPr="00C0164C" w:rsidRDefault="00677AF8" w:rsidP="00C0164C">
      <w:pPr>
        <w:spacing w:line="276" w:lineRule="auto"/>
        <w:jc w:val="center"/>
        <w:outlineLvl w:val="0"/>
        <w:rPr>
          <w:b/>
          <w:u w:val="single"/>
        </w:rPr>
      </w:pPr>
    </w:p>
    <w:p w:rsidR="00677AF8" w:rsidRPr="00C0164C" w:rsidRDefault="00677AF8" w:rsidP="00C0164C">
      <w:pPr>
        <w:spacing w:line="276" w:lineRule="auto"/>
        <w:jc w:val="center"/>
        <w:outlineLvl w:val="0"/>
        <w:rPr>
          <w:b/>
          <w:u w:val="single"/>
        </w:rPr>
      </w:pPr>
    </w:p>
    <w:p w:rsidR="00677AF8" w:rsidRPr="00C0164C" w:rsidRDefault="00677AF8" w:rsidP="00C0164C">
      <w:pPr>
        <w:spacing w:line="276" w:lineRule="auto"/>
        <w:jc w:val="center"/>
        <w:outlineLvl w:val="0"/>
        <w:rPr>
          <w:b/>
          <w:u w:val="single"/>
        </w:rPr>
      </w:pPr>
      <w:r w:rsidRPr="00C0164C">
        <w:rPr>
          <w:b/>
          <w:u w:val="single"/>
        </w:rPr>
        <w:t>TERMES DE REFERENCE</w:t>
      </w:r>
    </w:p>
    <w:p w:rsidR="00677AF8" w:rsidRPr="00C0164C" w:rsidRDefault="00677AF8" w:rsidP="00C0164C">
      <w:pPr>
        <w:spacing w:line="276" w:lineRule="auto"/>
        <w:jc w:val="center"/>
        <w:outlineLvl w:val="0"/>
        <w:rPr>
          <w:b/>
          <w:u w:val="single"/>
        </w:rPr>
      </w:pPr>
    </w:p>
    <w:p w:rsidR="00677AF8" w:rsidRPr="00C0164C" w:rsidRDefault="00C74B6C" w:rsidP="00C0164C">
      <w:pPr>
        <w:spacing w:line="276" w:lineRule="auto"/>
        <w:jc w:val="center"/>
        <w:rPr>
          <w:b/>
          <w:sz w:val="28"/>
          <w:szCs w:val="28"/>
        </w:rPr>
      </w:pPr>
      <w:r w:rsidRPr="00C74B6C">
        <w:rPr>
          <w:b/>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3.45pt;margin-top:27.8pt;width:496.5pt;height:55.3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">
            <v:textbox>
              <w:txbxContent>
                <w:p w:rsidR="00677AF8" w:rsidRPr="007D49E1" w:rsidRDefault="00856A94" w:rsidP="00677AF8">
                  <w:pPr>
                    <w:jc w:val="center"/>
                    <w:rPr>
                      <w:b/>
                    </w:rPr>
                  </w:pPr>
                  <w:r>
                    <w:rPr>
                      <w:b/>
                    </w:rPr>
                    <w:t>MISE EN ŒUVRE DES ACTIVITES D</w:t>
                  </w:r>
                  <w:r w:rsidR="0070029F">
                    <w:rPr>
                      <w:b/>
                    </w:rPr>
                    <w:t xml:space="preserve">E PREVENTION DES VIOLENCES BASEES SUR LE GENRE A TRAVERS L’APPUI AUX </w:t>
                  </w:r>
                  <w:r w:rsidR="007D3AC5">
                    <w:rPr>
                      <w:b/>
                    </w:rPr>
                    <w:t xml:space="preserve">COLLECTIFS </w:t>
                  </w:r>
                  <w:r w:rsidR="009D36B0">
                    <w:rPr>
                      <w:b/>
                    </w:rPr>
                    <w:t xml:space="preserve">ET RESEAUX D’ASSOCIATIONS FEMININES </w:t>
                  </w:r>
                </w:p>
                <w:p w:rsidR="00677AF8" w:rsidRDefault="00677AF8" w:rsidP="00677AF8"/>
              </w:txbxContent>
            </v:textbox>
            <w10:wrap type="square" anchorx="margin"/>
          </v:shape>
        </w:pict>
      </w:r>
      <w:r w:rsidR="00677AF8" w:rsidRPr="00C0164C">
        <w:rPr>
          <w:b/>
          <w:sz w:val="28"/>
          <w:szCs w:val="28"/>
        </w:rPr>
        <w:t xml:space="preserve">APPEL </w:t>
      </w:r>
      <w:r w:rsidR="002C38A0" w:rsidRPr="00C0164C">
        <w:rPr>
          <w:b/>
          <w:sz w:val="28"/>
          <w:szCs w:val="28"/>
        </w:rPr>
        <w:t>A PROPOSITION DE PROJETS</w:t>
      </w:r>
      <w:r w:rsidR="00677AF8" w:rsidRPr="00C0164C">
        <w:rPr>
          <w:b/>
          <w:sz w:val="28"/>
          <w:szCs w:val="28"/>
        </w:rPr>
        <w:t xml:space="preserve"> N° </w:t>
      </w:r>
      <w:r w:rsidR="00677AF8" w:rsidRPr="00C0164C">
        <w:rPr>
          <w:b/>
          <w:sz w:val="28"/>
          <w:szCs w:val="28"/>
          <w:highlight w:val="yellow"/>
        </w:rPr>
        <w:t>001/UNDP/CDP/2018</w:t>
      </w:r>
    </w:p>
    <w:p w:rsidR="00677AF8" w:rsidRPr="00C0164C" w:rsidRDefault="00677AF8" w:rsidP="00C0164C">
      <w:pPr>
        <w:spacing w:line="276" w:lineRule="auto"/>
        <w:jc w:val="center"/>
        <w:outlineLvl w:val="0"/>
        <w:rPr>
          <w:b/>
        </w:rPr>
      </w:pPr>
    </w:p>
    <w:p w:rsidR="00677AF8" w:rsidRPr="00C0164C" w:rsidRDefault="00677AF8" w:rsidP="00C0164C">
      <w:pPr>
        <w:pStyle w:val="Paragraphedeliste"/>
        <w:widowControl/>
        <w:numPr>
          <w:ilvl w:val="0"/>
          <w:numId w:val="1"/>
        </w:numPr>
        <w:spacing w:after="200" w:line="276" w:lineRule="auto"/>
        <w:jc w:val="both"/>
        <w:rPr>
          <w:b/>
          <w:sz w:val="24"/>
          <w:szCs w:val="24"/>
        </w:rPr>
      </w:pPr>
      <w:r w:rsidRPr="00C0164C">
        <w:rPr>
          <w:b/>
          <w:sz w:val="24"/>
          <w:szCs w:val="24"/>
        </w:rPr>
        <w:t>CONTEXTE</w:t>
      </w:r>
    </w:p>
    <w:p w:rsidR="00677AF8" w:rsidRPr="00C0164C" w:rsidRDefault="00677AF8" w:rsidP="00C0164C">
      <w:pPr>
        <w:pStyle w:val="NormalWeb"/>
        <w:shd w:val="clear" w:color="auto" w:fill="FFFFFF"/>
        <w:spacing w:line="276" w:lineRule="auto"/>
        <w:jc w:val="both"/>
        <w:rPr>
          <w:lang w:val="fr-FR"/>
        </w:rPr>
      </w:pPr>
      <w:r w:rsidRPr="00C0164C">
        <w:rPr>
          <w:lang w:val="fr-FR"/>
        </w:rPr>
        <w:t xml:space="preserve">En République Démocratique du Congo, les violences basées sur le genre </w:t>
      </w:r>
      <w:r w:rsidR="00703052" w:rsidRPr="00C0164C">
        <w:rPr>
          <w:lang w:val="fr-FR"/>
        </w:rPr>
        <w:t xml:space="preserve">(VBG) </w:t>
      </w:r>
      <w:r w:rsidRPr="00C0164C">
        <w:rPr>
          <w:lang w:val="fr-FR"/>
        </w:rPr>
        <w:t xml:space="preserve">correspondent à un phénomène social global à l’ensemble de la société; il s’agit de la matérialisation violente de l’ensemble des discriminations entre les hommes et les femmes. </w:t>
      </w:r>
      <w:r w:rsidR="0070029F" w:rsidRPr="00C0164C">
        <w:rPr>
          <w:lang w:val="fr-CA"/>
        </w:rPr>
        <w:t>Les femmes représentent plus de 50% de la population congolaise. Mais, l</w:t>
      </w:r>
      <w:r w:rsidR="0070029F" w:rsidRPr="00C0164C">
        <w:rPr>
          <w:lang w:val="fr-FR"/>
        </w:rPr>
        <w:t>a RDC est parmi les derniers pays au monde dans la classification sur l’égalité entre les sexes. Selon l’index sur l’inégalité entre les sexes publié dans le dernier rapport sur le développement humain du PNUD (2016), la RDC se classe 153</w:t>
      </w:r>
      <w:r w:rsidR="0070029F" w:rsidRPr="00C0164C">
        <w:rPr>
          <w:vertAlign w:val="superscript"/>
          <w:lang w:val="fr-FR"/>
        </w:rPr>
        <w:t>ème</w:t>
      </w:r>
      <w:r w:rsidR="0070029F" w:rsidRPr="00C0164C">
        <w:rPr>
          <w:lang w:val="fr-FR"/>
        </w:rPr>
        <w:t xml:space="preserve"> sur 159. </w:t>
      </w:r>
      <w:r w:rsidRPr="00C0164C">
        <w:rPr>
          <w:lang w:val="fr-FR"/>
        </w:rPr>
        <w:t xml:space="preserve">En effet, les différents acteurs impliqués dans la prise en charge multisectorielle des survivant(e)s de VBG font état d’environ 20 000 cas de VBG </w:t>
      </w:r>
      <w:r w:rsidR="00E5609F" w:rsidRPr="00C0164C">
        <w:rPr>
          <w:lang w:val="fr-FR"/>
        </w:rPr>
        <w:t>signalés</w:t>
      </w:r>
      <w:r w:rsidRPr="00C0164C">
        <w:rPr>
          <w:lang w:val="fr-FR"/>
        </w:rPr>
        <w:t xml:space="preserve"> par an en RDC. La majorité des survivant(e)s de VBG sont des femmes et des jeunes filles (98%) dont plus de la moitié sont mineur(e)s au moment des faits. Les VBG s’expriment à travers différents types de comportement</w:t>
      </w:r>
      <w:r w:rsidR="00856A94" w:rsidRPr="00C0164C">
        <w:rPr>
          <w:lang w:val="fr-FR"/>
        </w:rPr>
        <w:t>. L</w:t>
      </w:r>
      <w:r w:rsidRPr="00C0164C">
        <w:rPr>
          <w:lang w:val="fr-FR"/>
        </w:rPr>
        <w:t xml:space="preserve">es violences domestiques, sexuelles, les mariages précoces et/ou forcés sont les formes de VBG qui prévalent en RDC. </w:t>
      </w:r>
    </w:p>
    <w:p w:rsidR="0070029F" w:rsidRPr="00C0164C" w:rsidRDefault="0070029F" w:rsidP="00C0164C">
      <w:pPr>
        <w:spacing w:line="276" w:lineRule="auto"/>
        <w:jc w:val="both"/>
        <w:rPr>
          <w:lang w:val="fr-CA"/>
        </w:rPr>
      </w:pPr>
      <w:r w:rsidRPr="00C0164C">
        <w:t xml:space="preserve">Les VBG en RDC sont largement ancrées dans certaines normes socioculturelles, traditions, coutumes et autres croyances. En effet, la société congolaise a embrassé une structure patriarcale qui de fait place </w:t>
      </w:r>
      <w:r w:rsidRPr="00C0164C">
        <w:rPr>
          <w:lang w:val="fr-CA"/>
        </w:rPr>
        <w:t xml:space="preserve">la femme en position de subordination à l’homme. </w:t>
      </w:r>
      <w:r w:rsidRPr="00C0164C">
        <w:t>Le plus récent profil genre de la RDC (2014) explique que les femmes sont rarement considérées comme « des êtres à part entière », mais sont définies par rapport à l’homme, en qualité de mère, épouse ou filles. En effet, l</w:t>
      </w:r>
      <w:r w:rsidRPr="00C0164C">
        <w:rPr>
          <w:lang w:val="fr-CA"/>
        </w:rPr>
        <w:t xml:space="preserve">es femmes sont affectées à une fonction familiale et reproductrice alors que l’homme est le chef de famille habilité à prendre des décisions et à intervenir dans la sphère privée et publique. En outre, l’inégalité entre les sexes est justifiée à travers le discours religieux et l’ensemble des stéréotypes présentant les femmes comme des êtres physiquement et psychologiquement faibles. La valorisation de la virginité, de la réputation et de l’honneur de la famille (pour ne citer que ceux-là) renforce la position de subordination de la femme par rapport aux hommes, mais également au groupe familial/social. La femme n’est ni autonome, ni indépendante et ni maître de son corps. De manière globale, tout un ensemble de normes socioculturelles, de traditions et coutumes régissant les relations sociales au sein des communautés sont conductives de VBG et maintiennent les femmes dans une situation de dépendance et de subordination </w:t>
      </w:r>
      <w:r w:rsidRPr="00C0164C">
        <w:rPr>
          <w:lang w:val="fr-CA"/>
        </w:rPr>
        <w:lastRenderedPageBreak/>
        <w:t>par rapport aux hommes. Les femmes font ainsi face à des discriminations structurelles ancrées dans les fondements de la société et des relations sociales</w:t>
      </w:r>
    </w:p>
    <w:p w:rsidR="0070029F" w:rsidRPr="00C0164C" w:rsidRDefault="0070029F" w:rsidP="00C0164C">
      <w:pPr>
        <w:spacing w:line="276" w:lineRule="auto"/>
        <w:ind w:firstLine="6"/>
        <w:jc w:val="both"/>
        <w:rPr>
          <w:sz w:val="20"/>
          <w:szCs w:val="20"/>
          <w:lang w:val="fr-CA"/>
        </w:rPr>
      </w:pPr>
    </w:p>
    <w:p w:rsidR="00B73E1E" w:rsidRPr="00C0164C" w:rsidRDefault="00B73E1E" w:rsidP="00C0164C">
      <w:pPr>
        <w:spacing w:line="276" w:lineRule="auto"/>
        <w:ind w:firstLine="6"/>
        <w:jc w:val="both"/>
        <w:rPr>
          <w:rFonts w:eastAsia="Calibri"/>
          <w:color w:val="000000"/>
        </w:rPr>
      </w:pPr>
      <w:r w:rsidRPr="00C0164C">
        <w:rPr>
          <w:rFonts w:eastAsia="Calibri"/>
          <w:color w:val="000000"/>
        </w:rPr>
        <w:t xml:space="preserve">Dans ce cadre, un Programme conjoint dénommé </w:t>
      </w:r>
      <w:r w:rsidRPr="00C0164C">
        <w:rPr>
          <w:rFonts w:eastAsia="Calibri"/>
          <w:b/>
          <w:color w:val="000000"/>
        </w:rPr>
        <w:t>« Lutte contre les VBG : Justice, Autonomisation et Dignité des Femmes et des Filles en République Démocratique du Congo</w:t>
      </w:r>
      <w:r w:rsidRPr="00C0164C">
        <w:rPr>
          <w:rFonts w:eastAsia="Calibri"/>
          <w:color w:val="000000"/>
        </w:rPr>
        <w:t xml:space="preserve"> » </w:t>
      </w:r>
      <w:r w:rsidR="003B7A9C" w:rsidRPr="009D36B0">
        <w:rPr>
          <w:rFonts w:eastAsia="Calibri"/>
        </w:rPr>
        <w:t>est</w:t>
      </w:r>
      <w:r w:rsidRPr="00C0164C">
        <w:rPr>
          <w:rFonts w:eastAsia="Calibri"/>
          <w:color w:val="000000"/>
        </w:rPr>
        <w:t xml:space="preserve">mis en œuvre, et dont l’objectif </w:t>
      </w:r>
      <w:r w:rsidRPr="00AA2A8C">
        <w:rPr>
          <w:rFonts w:eastAsia="Calibri"/>
        </w:rPr>
        <w:t xml:space="preserve">principal </w:t>
      </w:r>
      <w:r w:rsidR="003B7A9C" w:rsidRPr="009D36B0">
        <w:rPr>
          <w:rFonts w:eastAsia="Calibri"/>
        </w:rPr>
        <w:t>vise à</w:t>
      </w:r>
      <w:r w:rsidRPr="00C0164C">
        <w:rPr>
          <w:rFonts w:eastAsia="Calibri"/>
          <w:color w:val="000000"/>
        </w:rPr>
        <w:t xml:space="preserve">contribuer à la réduction des Violences Basées sur le Genre (VBG) à travers l’adoption d’attitudes et de normes socioculturelles respectant l’égalité des sexes, le renforcement du pouvoir et de la résilience des survivant(e)s à travers une prise en charge holistique et le renforcement de la coordination au niveau national dans une perspective d’appropriation nationale. </w:t>
      </w:r>
    </w:p>
    <w:p w:rsidR="00B73E1E" w:rsidRPr="00C0164C" w:rsidRDefault="00B73E1E" w:rsidP="00C0164C">
      <w:pPr>
        <w:spacing w:line="276" w:lineRule="auto"/>
        <w:ind w:firstLine="6"/>
        <w:jc w:val="both"/>
        <w:rPr>
          <w:rFonts w:eastAsia="Calibri"/>
          <w:color w:val="000000"/>
        </w:rPr>
      </w:pPr>
    </w:p>
    <w:p w:rsidR="00B73E1E" w:rsidRPr="00C0164C" w:rsidRDefault="009D36B0" w:rsidP="00C0164C">
      <w:pPr>
        <w:spacing w:line="276" w:lineRule="auto"/>
        <w:ind w:firstLine="6"/>
        <w:jc w:val="both"/>
        <w:rPr>
          <w:rFonts w:eastAsia="Calibri"/>
          <w:color w:val="000000"/>
        </w:rPr>
      </w:pPr>
      <w:r>
        <w:rPr>
          <w:rFonts w:eastAsia="Calibri"/>
          <w:color w:val="000000"/>
        </w:rPr>
        <w:t>Ce programme</w:t>
      </w:r>
      <w:r w:rsidR="00AA2A8C" w:rsidRPr="009D36B0">
        <w:rPr>
          <w:rFonts w:eastAsia="Calibri"/>
        </w:rPr>
        <w:t xml:space="preserve"> poursuit</w:t>
      </w:r>
      <w:r w:rsidR="003B7A9C" w:rsidRPr="009D36B0">
        <w:rPr>
          <w:rFonts w:eastAsia="Calibri"/>
        </w:rPr>
        <w:t xml:space="preserve">trois </w:t>
      </w:r>
      <w:r w:rsidR="00AA2A8C" w:rsidRPr="009D36B0">
        <w:rPr>
          <w:rFonts w:eastAsia="Calibri"/>
        </w:rPr>
        <w:t>(3)</w:t>
      </w:r>
      <w:r w:rsidR="00B73E1E" w:rsidRPr="00C0164C">
        <w:rPr>
          <w:rFonts w:eastAsia="Calibri"/>
          <w:color w:val="000000"/>
        </w:rPr>
        <w:t>objectifs spécifiques suivants :</w:t>
      </w:r>
    </w:p>
    <w:p w:rsidR="00B73E1E" w:rsidRPr="00C0164C" w:rsidRDefault="00B73E1E" w:rsidP="00C0164C">
      <w:pPr>
        <w:widowControl w:val="0"/>
        <w:spacing w:line="276" w:lineRule="auto"/>
        <w:ind w:left="720"/>
        <w:contextualSpacing/>
        <w:jc w:val="both"/>
        <w:rPr>
          <w:rFonts w:eastAsia="Calibri"/>
          <w:color w:val="000000"/>
        </w:rPr>
      </w:pPr>
    </w:p>
    <w:p w:rsidR="00B73E1E" w:rsidRPr="00C0164C" w:rsidRDefault="00B73E1E" w:rsidP="00C0164C">
      <w:pPr>
        <w:widowControl w:val="0"/>
        <w:numPr>
          <w:ilvl w:val="0"/>
          <w:numId w:val="5"/>
        </w:numPr>
        <w:spacing w:line="276" w:lineRule="auto"/>
        <w:contextualSpacing/>
        <w:jc w:val="both"/>
        <w:rPr>
          <w:rFonts w:eastAsia="Calibri"/>
          <w:i/>
          <w:color w:val="000000"/>
        </w:rPr>
      </w:pPr>
      <w:r w:rsidRPr="00C0164C">
        <w:rPr>
          <w:rFonts w:eastAsia="Calibri"/>
          <w:i/>
          <w:color w:val="000000"/>
        </w:rPr>
        <w:t>Soutenir l’engagement des hommes, des femmes et des jeunes ainsi que des communautés à adopter des attitudes et des normes sociales et culturelles respectueuses de l’égalité des sexes et à contribuer à la lutte contre les VBG ;</w:t>
      </w:r>
    </w:p>
    <w:p w:rsidR="00B73E1E" w:rsidRPr="00C0164C" w:rsidRDefault="00B73E1E" w:rsidP="00C0164C">
      <w:pPr>
        <w:widowControl w:val="0"/>
        <w:spacing w:line="276" w:lineRule="auto"/>
        <w:ind w:left="720"/>
        <w:contextualSpacing/>
        <w:jc w:val="both"/>
        <w:rPr>
          <w:rFonts w:eastAsia="Calibri"/>
          <w:i/>
          <w:color w:val="000000"/>
        </w:rPr>
      </w:pPr>
    </w:p>
    <w:p w:rsidR="00B73E1E" w:rsidRPr="00C0164C" w:rsidRDefault="00B73E1E" w:rsidP="00C0164C">
      <w:pPr>
        <w:widowControl w:val="0"/>
        <w:numPr>
          <w:ilvl w:val="0"/>
          <w:numId w:val="5"/>
        </w:numPr>
        <w:spacing w:line="276" w:lineRule="auto"/>
        <w:contextualSpacing/>
        <w:jc w:val="both"/>
        <w:rPr>
          <w:rFonts w:eastAsia="Calibri"/>
          <w:i/>
          <w:color w:val="000000"/>
        </w:rPr>
      </w:pPr>
      <w:r w:rsidRPr="00C0164C">
        <w:rPr>
          <w:rFonts w:eastAsia="Calibri"/>
          <w:i/>
          <w:color w:val="000000"/>
        </w:rPr>
        <w:t>Renforcer le pouvoir et la résilience des survivant(e)s de VBG et des parents des survivant(e)s mineur(e)s à travers la consolidation et le développement de mécanismes de prise en charge holistique comme les CISM (Centre Intégré de Services Multisectoriel) et d’autres structures d’offre de services ainsi qu’à travers la mobilisation des réseaux communautaires d’alerte, de prévention et de réponses aux VBG ;</w:t>
      </w:r>
    </w:p>
    <w:p w:rsidR="00B73E1E" w:rsidRPr="00C0164C" w:rsidRDefault="00B73E1E" w:rsidP="00C0164C">
      <w:pPr>
        <w:pStyle w:val="Paragraphedeliste"/>
        <w:spacing w:line="276" w:lineRule="auto"/>
        <w:rPr>
          <w:rFonts w:eastAsia="Calibri"/>
          <w:i/>
          <w:color w:val="000000"/>
        </w:rPr>
      </w:pPr>
    </w:p>
    <w:p w:rsidR="00B73E1E" w:rsidRPr="00C0164C" w:rsidRDefault="00B73E1E" w:rsidP="00C0164C">
      <w:pPr>
        <w:widowControl w:val="0"/>
        <w:numPr>
          <w:ilvl w:val="0"/>
          <w:numId w:val="5"/>
        </w:numPr>
        <w:spacing w:line="276" w:lineRule="auto"/>
        <w:contextualSpacing/>
        <w:jc w:val="both"/>
        <w:rPr>
          <w:i/>
        </w:rPr>
      </w:pPr>
      <w:r w:rsidRPr="00C0164C">
        <w:rPr>
          <w:rFonts w:eastAsia="Calibri"/>
          <w:i/>
          <w:color w:val="000000"/>
        </w:rPr>
        <w:t>Re</w:t>
      </w:r>
      <w:r w:rsidRPr="00C0164C">
        <w:rPr>
          <w:i/>
        </w:rPr>
        <w:t xml:space="preserve">nforcer l'efficacité de la coordination nationale afin de permettre aux acteurs impliqués dans la lutte contre les VBG de mettre en place des stratégies de prévention et de réponse aux VGB. </w:t>
      </w:r>
    </w:p>
    <w:p w:rsidR="007D3AC5" w:rsidRPr="00C0164C" w:rsidRDefault="00B73E1E" w:rsidP="00C0164C">
      <w:pPr>
        <w:spacing w:before="100" w:beforeAutospacing="1" w:after="100" w:afterAutospacing="1" w:line="276" w:lineRule="auto"/>
        <w:jc w:val="both"/>
      </w:pPr>
      <w:r w:rsidRPr="00C0164C">
        <w:t>Les i</w:t>
      </w:r>
      <w:r w:rsidR="00677AF8" w:rsidRPr="00C0164C">
        <w:t xml:space="preserve">nterventions </w:t>
      </w:r>
      <w:r w:rsidR="0070029F" w:rsidRPr="00C0164C">
        <w:t xml:space="preserve">dans le secteur de la prévention des VBG à travers la transformation des normes socioculturelles </w:t>
      </w:r>
      <w:r w:rsidRPr="00C0164C">
        <w:t xml:space="preserve">seront conduites par le PNUD </w:t>
      </w:r>
      <w:r w:rsidR="000A1F75" w:rsidRPr="00C0164C">
        <w:t xml:space="preserve">et </w:t>
      </w:r>
      <w:r w:rsidR="0070029F" w:rsidRPr="00C0164C">
        <w:t xml:space="preserve">UNFPA </w:t>
      </w:r>
      <w:r w:rsidRPr="00C0164C">
        <w:t>dans le but d</w:t>
      </w:r>
      <w:r w:rsidR="0070029F" w:rsidRPr="00C0164C">
        <w:t xml:space="preserve">e réduire l’incidence des VBG dans les provinces d’intervention. </w:t>
      </w:r>
      <w:r w:rsidRPr="00C0164C">
        <w:t xml:space="preserve">Ainsi, </w:t>
      </w:r>
      <w:r w:rsidR="007D3AC5" w:rsidRPr="00C0164C">
        <w:t xml:space="preserve">les </w:t>
      </w:r>
      <w:r w:rsidR="009D36B0">
        <w:t xml:space="preserve">collectifs/réseaux d’associations féminines </w:t>
      </w:r>
      <w:r w:rsidR="007D3AC5" w:rsidRPr="00C0164C">
        <w:t>bénéficie</w:t>
      </w:r>
      <w:r w:rsidR="008E1F3E" w:rsidRPr="009D36B0">
        <w:t>ro</w:t>
      </w:r>
      <w:r w:rsidR="007D3AC5" w:rsidRPr="009D36B0">
        <w:t xml:space="preserve">nt </w:t>
      </w:r>
      <w:r w:rsidR="007D3AC5" w:rsidRPr="00C0164C">
        <w:t xml:space="preserve">de l’appui du projet afin de devenir des acteurs centraux de la prévention et de la réponse des VBG ainsi que de la coordination de la lutte contre les VBG. Les </w:t>
      </w:r>
      <w:r w:rsidR="007D3AC5" w:rsidRPr="009D36B0">
        <w:t>collectif</w:t>
      </w:r>
      <w:r w:rsidR="005D7FE7" w:rsidRPr="009D36B0">
        <w:t xml:space="preserve">s/réseaux d’associations féminines </w:t>
      </w:r>
      <w:r w:rsidR="007D3AC5" w:rsidRPr="00C0164C">
        <w:t xml:space="preserve">seront en mesure de mener des initiatives en matière de prévention, d’alerte et de référencement des cas de VBG, de renforcer le réseautage et la coordination en matière de VBG et de mener un plaidoyer efficace. Les </w:t>
      </w:r>
      <w:r w:rsidR="009D36B0">
        <w:t xml:space="preserve">collectifs/réseaux d’associations féminines </w:t>
      </w:r>
      <w:r w:rsidR="007D3AC5" w:rsidRPr="00C0164C">
        <w:t>jou</w:t>
      </w:r>
      <w:r w:rsidR="007D3AC5" w:rsidRPr="009D36B0">
        <w:t>e</w:t>
      </w:r>
      <w:r w:rsidR="001B71EE" w:rsidRPr="009D36B0">
        <w:t>ro</w:t>
      </w:r>
      <w:r w:rsidR="007D3AC5" w:rsidRPr="009D36B0">
        <w:t>n</w:t>
      </w:r>
      <w:r w:rsidR="007D3AC5" w:rsidRPr="00C0164C">
        <w:t xml:space="preserve">t un rôle essentiel dans la lutte contre les VBG au niveau des communautés comme acteur de sensibilisation, d’alerte et de référencement ainsi qu’au niveau provincial au niveau des mécanismes de coordination. </w:t>
      </w:r>
    </w:p>
    <w:p w:rsidR="00677AF8" w:rsidRPr="001B71EE" w:rsidRDefault="00677AF8" w:rsidP="00C0164C">
      <w:pPr>
        <w:spacing w:before="100" w:beforeAutospacing="1" w:line="276" w:lineRule="auto"/>
        <w:jc w:val="both"/>
        <w:rPr>
          <w:color w:val="0070C0"/>
        </w:rPr>
      </w:pPr>
      <w:r w:rsidRPr="00C0164C">
        <w:t>Le PNUD envisage</w:t>
      </w:r>
      <w:r w:rsidR="007D3AC5" w:rsidRPr="00C0164C">
        <w:t xml:space="preserve"> d’</w:t>
      </w:r>
      <w:r w:rsidRPr="00C0164C">
        <w:t>appuyer</w:t>
      </w:r>
      <w:r w:rsidR="001B71EE" w:rsidRPr="009D36B0">
        <w:t xml:space="preserve">des </w:t>
      </w:r>
      <w:r w:rsidR="007D3AC5" w:rsidRPr="00C0164C">
        <w:t>collectifs</w:t>
      </w:r>
      <w:r w:rsidR="001B71EE" w:rsidRPr="009D36B0">
        <w:t>et ou réseaux d’associations</w:t>
      </w:r>
      <w:r w:rsidR="007D3AC5" w:rsidRPr="00C0164C">
        <w:t xml:space="preserve">des femmes </w:t>
      </w:r>
      <w:r w:rsidRPr="00C0164C">
        <w:t>dans</w:t>
      </w:r>
      <w:r w:rsidR="009D36B0">
        <w:t xml:space="preserve"> les provinces du Nord Kivu, Sud Kivu et Ituri</w:t>
      </w:r>
      <w:r w:rsidRPr="00C0164C">
        <w:t xml:space="preserve"> pour une période d</w:t>
      </w:r>
      <w:r w:rsidR="00DC7200" w:rsidRPr="00C0164C">
        <w:t xml:space="preserve">’une </w:t>
      </w:r>
      <w:r w:rsidR="00DC7200" w:rsidRPr="009D36B0">
        <w:t>année</w:t>
      </w:r>
      <w:r w:rsidR="001B71EE" w:rsidRPr="009D36B0">
        <w:t xml:space="preserve"> renouvelable en fonction </w:t>
      </w:r>
      <w:r w:rsidR="00F53FFA" w:rsidRPr="009D36B0">
        <w:t>d’un</w:t>
      </w:r>
      <w:r w:rsidR="001B71EE" w:rsidRPr="009D36B0">
        <w:t>e performance</w:t>
      </w:r>
      <w:r w:rsidR="00F53FFA" w:rsidRPr="009D36B0">
        <w:t xml:space="preserve"> satisfaisante</w:t>
      </w:r>
      <w:r w:rsidR="001B71EE" w:rsidRPr="009D36B0">
        <w:t xml:space="preserve"> du prestataire</w:t>
      </w:r>
      <w:r w:rsidRPr="009D36B0">
        <w:t>:</w:t>
      </w:r>
    </w:p>
    <w:p w:rsidR="00677AF8" w:rsidRPr="00C0164C" w:rsidRDefault="007D3AC5" w:rsidP="00C0164C">
      <w:pPr>
        <w:spacing w:before="100" w:beforeAutospacing="1" w:after="100" w:afterAutospacing="1" w:line="276" w:lineRule="auto"/>
        <w:jc w:val="both"/>
      </w:pPr>
      <w:r w:rsidRPr="00C0164C">
        <w:t xml:space="preserve">Ces organisations et collectifs des femmes travailleront en étroite collaboration avec l’ONG Internationale OXFAM qui est agent d’exécution des autres volets dans le domaine de la prévention des VBG dans le cadre du programme JAD. </w:t>
      </w:r>
    </w:p>
    <w:p w:rsidR="00677AF8" w:rsidRPr="00C0164C" w:rsidRDefault="00677AF8" w:rsidP="00C0164C">
      <w:pPr>
        <w:pStyle w:val="Paragraphedeliste"/>
        <w:widowControl/>
        <w:numPr>
          <w:ilvl w:val="0"/>
          <w:numId w:val="1"/>
        </w:numPr>
        <w:spacing w:line="276" w:lineRule="auto"/>
        <w:jc w:val="both"/>
        <w:rPr>
          <w:b/>
          <w:sz w:val="24"/>
          <w:szCs w:val="24"/>
        </w:rPr>
      </w:pPr>
      <w:r w:rsidRPr="00C0164C">
        <w:rPr>
          <w:b/>
          <w:sz w:val="24"/>
          <w:szCs w:val="24"/>
        </w:rPr>
        <w:lastRenderedPageBreak/>
        <w:t>OBJECTIFS</w:t>
      </w:r>
    </w:p>
    <w:p w:rsidR="00677AF8" w:rsidRPr="00C0164C" w:rsidRDefault="00677AF8" w:rsidP="00C0164C">
      <w:pPr>
        <w:spacing w:line="276" w:lineRule="auto"/>
        <w:ind w:right="1217"/>
        <w:jc w:val="both"/>
      </w:pPr>
    </w:p>
    <w:p w:rsidR="00CD42C1" w:rsidRPr="009D36B0" w:rsidRDefault="00CD27E3" w:rsidP="00C0164C">
      <w:pPr>
        <w:pStyle w:val="Paragraphedeliste"/>
        <w:numPr>
          <w:ilvl w:val="0"/>
          <w:numId w:val="7"/>
        </w:numPr>
        <w:spacing w:line="276" w:lineRule="auto"/>
        <w:ind w:right="1217"/>
        <w:jc w:val="both"/>
        <w:rPr>
          <w:sz w:val="24"/>
        </w:rPr>
      </w:pPr>
      <w:r w:rsidRPr="009D36B0">
        <w:rPr>
          <w:bCs/>
          <w:sz w:val="24"/>
        </w:rPr>
        <w:t>R</w:t>
      </w:r>
      <w:r w:rsidR="00CB5E38" w:rsidRPr="009D36B0">
        <w:rPr>
          <w:bCs/>
          <w:sz w:val="24"/>
        </w:rPr>
        <w:t xml:space="preserve">enforcer </w:t>
      </w:r>
      <w:r w:rsidRPr="009D36B0">
        <w:rPr>
          <w:bCs/>
          <w:sz w:val="24"/>
        </w:rPr>
        <w:t>le</w:t>
      </w:r>
      <w:r w:rsidR="00023D26" w:rsidRPr="009D36B0">
        <w:rPr>
          <w:bCs/>
          <w:sz w:val="24"/>
        </w:rPr>
        <w:t xml:space="preserve">s </w:t>
      </w:r>
      <w:r w:rsidRPr="009D36B0">
        <w:rPr>
          <w:bCs/>
          <w:sz w:val="24"/>
        </w:rPr>
        <w:t xml:space="preserve">capacités </w:t>
      </w:r>
      <w:r w:rsidR="00023D26" w:rsidRPr="009D36B0">
        <w:rPr>
          <w:bCs/>
          <w:sz w:val="24"/>
        </w:rPr>
        <w:t xml:space="preserve">des collectifs/réseaux d’organisations féminines </w:t>
      </w:r>
      <w:r w:rsidR="00CF4446" w:rsidRPr="009D36B0">
        <w:rPr>
          <w:bCs/>
          <w:sz w:val="24"/>
        </w:rPr>
        <w:t xml:space="preserve">dans </w:t>
      </w:r>
      <w:r w:rsidR="00CB5E38" w:rsidRPr="009D36B0">
        <w:rPr>
          <w:bCs/>
          <w:sz w:val="24"/>
        </w:rPr>
        <w:t xml:space="preserve">la </w:t>
      </w:r>
      <w:r w:rsidR="00023D26" w:rsidRPr="009D36B0">
        <w:rPr>
          <w:bCs/>
          <w:sz w:val="24"/>
        </w:rPr>
        <w:t xml:space="preserve">prévention et la coordination de la </w:t>
      </w:r>
      <w:r w:rsidR="009D36B0">
        <w:rPr>
          <w:bCs/>
          <w:sz w:val="24"/>
        </w:rPr>
        <w:t xml:space="preserve">lutte contre les VBG </w:t>
      </w:r>
      <w:r w:rsidR="00CB5E38" w:rsidRPr="009D36B0">
        <w:rPr>
          <w:bCs/>
          <w:sz w:val="24"/>
        </w:rPr>
        <w:t>;</w:t>
      </w:r>
    </w:p>
    <w:p w:rsidR="00CB5E38" w:rsidRPr="009D36B0" w:rsidRDefault="00CD27E3" w:rsidP="00C0164C">
      <w:pPr>
        <w:pStyle w:val="Paragraphedeliste"/>
        <w:numPr>
          <w:ilvl w:val="0"/>
          <w:numId w:val="7"/>
        </w:numPr>
        <w:spacing w:line="276" w:lineRule="auto"/>
        <w:ind w:right="1217"/>
        <w:jc w:val="both"/>
        <w:rPr>
          <w:sz w:val="24"/>
        </w:rPr>
      </w:pPr>
      <w:r w:rsidRPr="009D36B0">
        <w:rPr>
          <w:bCs/>
          <w:sz w:val="24"/>
        </w:rPr>
        <w:t>A</w:t>
      </w:r>
      <w:r w:rsidR="00CB5E38" w:rsidRPr="009D36B0">
        <w:rPr>
          <w:bCs/>
          <w:sz w:val="24"/>
        </w:rPr>
        <w:t>méliorer l</w:t>
      </w:r>
      <w:r w:rsidRPr="009D36B0">
        <w:rPr>
          <w:bCs/>
          <w:sz w:val="24"/>
        </w:rPr>
        <w:t>e mécanisme d</w:t>
      </w:r>
      <w:r w:rsidR="00CB5E38" w:rsidRPr="009D36B0">
        <w:rPr>
          <w:bCs/>
          <w:sz w:val="24"/>
        </w:rPr>
        <w:t xml:space="preserve">’alerte et </w:t>
      </w:r>
      <w:r w:rsidRPr="009D36B0">
        <w:rPr>
          <w:bCs/>
          <w:sz w:val="24"/>
        </w:rPr>
        <w:t>d</w:t>
      </w:r>
      <w:r w:rsidR="00CB5E38" w:rsidRPr="009D36B0">
        <w:rPr>
          <w:bCs/>
          <w:sz w:val="24"/>
        </w:rPr>
        <w:t xml:space="preserve">e référencement des cas de VBG </w:t>
      </w:r>
      <w:r w:rsidR="005F2CBB" w:rsidRPr="009D36B0">
        <w:rPr>
          <w:bCs/>
          <w:sz w:val="24"/>
        </w:rPr>
        <w:t>versl</w:t>
      </w:r>
      <w:r w:rsidR="00CB5E38" w:rsidRPr="009D36B0">
        <w:rPr>
          <w:bCs/>
          <w:sz w:val="24"/>
        </w:rPr>
        <w:t xml:space="preserve">es services de prise en charge ; </w:t>
      </w:r>
    </w:p>
    <w:p w:rsidR="00CB5E38" w:rsidRPr="009D36B0" w:rsidRDefault="00023D26" w:rsidP="00C0164C">
      <w:pPr>
        <w:pStyle w:val="Paragraphedeliste"/>
        <w:numPr>
          <w:ilvl w:val="0"/>
          <w:numId w:val="7"/>
        </w:numPr>
        <w:spacing w:line="276" w:lineRule="auto"/>
        <w:ind w:right="1217"/>
        <w:jc w:val="both"/>
        <w:rPr>
          <w:sz w:val="24"/>
        </w:rPr>
      </w:pPr>
      <w:r w:rsidRPr="009D36B0">
        <w:rPr>
          <w:bCs/>
          <w:sz w:val="24"/>
        </w:rPr>
        <w:t>R</w:t>
      </w:r>
      <w:r w:rsidR="00CB5E38" w:rsidRPr="009D36B0">
        <w:rPr>
          <w:bCs/>
          <w:sz w:val="24"/>
        </w:rPr>
        <w:t>enforcer le réseautage des</w:t>
      </w:r>
      <w:r w:rsidR="005F2CBB" w:rsidRPr="009D36B0">
        <w:rPr>
          <w:bCs/>
          <w:sz w:val="24"/>
        </w:rPr>
        <w:t xml:space="preserve">organisations </w:t>
      </w:r>
      <w:r w:rsidR="009D36B0">
        <w:rPr>
          <w:bCs/>
          <w:sz w:val="24"/>
        </w:rPr>
        <w:t>de</w:t>
      </w:r>
      <w:r w:rsidR="005F2CBB" w:rsidRPr="009D36B0">
        <w:rPr>
          <w:bCs/>
          <w:sz w:val="24"/>
        </w:rPr>
        <w:t xml:space="preserve">s femmes et </w:t>
      </w:r>
      <w:r w:rsidRPr="009D36B0">
        <w:rPr>
          <w:bCs/>
          <w:sz w:val="24"/>
        </w:rPr>
        <w:t>structures communautaires</w:t>
      </w:r>
      <w:r w:rsidR="00CB5E38" w:rsidRPr="009D36B0">
        <w:rPr>
          <w:bCs/>
          <w:sz w:val="24"/>
        </w:rPr>
        <w:t xml:space="preserve"> ; </w:t>
      </w:r>
    </w:p>
    <w:p w:rsidR="00CF4446" w:rsidRPr="009D36B0" w:rsidRDefault="005F2CBB" w:rsidP="005F2CBB">
      <w:pPr>
        <w:pStyle w:val="Paragraphedeliste"/>
        <w:numPr>
          <w:ilvl w:val="0"/>
          <w:numId w:val="7"/>
        </w:numPr>
        <w:spacing w:line="276" w:lineRule="auto"/>
        <w:ind w:right="1217"/>
        <w:jc w:val="both"/>
        <w:rPr>
          <w:sz w:val="24"/>
        </w:rPr>
      </w:pPr>
      <w:r w:rsidRPr="009D36B0">
        <w:rPr>
          <w:sz w:val="24"/>
        </w:rPr>
        <w:t>Appuyer l’o</w:t>
      </w:r>
      <w:r w:rsidR="00CF4446" w:rsidRPr="009D36B0">
        <w:rPr>
          <w:sz w:val="24"/>
        </w:rPr>
        <w:t>rganis</w:t>
      </w:r>
      <w:r w:rsidRPr="009D36B0">
        <w:rPr>
          <w:sz w:val="24"/>
        </w:rPr>
        <w:t xml:space="preserve">ation </w:t>
      </w:r>
      <w:r w:rsidR="00CF4446" w:rsidRPr="009D36B0">
        <w:rPr>
          <w:sz w:val="24"/>
        </w:rPr>
        <w:t xml:space="preserve">des </w:t>
      </w:r>
      <w:r w:rsidRPr="009D36B0">
        <w:rPr>
          <w:sz w:val="24"/>
        </w:rPr>
        <w:t>foras</w:t>
      </w:r>
      <w:r w:rsidR="00CF4446" w:rsidRPr="009D36B0">
        <w:rPr>
          <w:sz w:val="24"/>
        </w:rPr>
        <w:t xml:space="preserve"> des acteurs impliqués dans la lutte contre les VBG afin d’échanger </w:t>
      </w:r>
      <w:r w:rsidRPr="009D36B0">
        <w:rPr>
          <w:sz w:val="24"/>
        </w:rPr>
        <w:t xml:space="preserve">sur </w:t>
      </w:r>
      <w:r w:rsidR="00CF4446" w:rsidRPr="009D36B0">
        <w:rPr>
          <w:sz w:val="24"/>
        </w:rPr>
        <w:t>les expériences et bonnes pratiques</w:t>
      </w:r>
      <w:r w:rsidRPr="009D36B0">
        <w:rPr>
          <w:sz w:val="24"/>
        </w:rPr>
        <w:t xml:space="preserve"> enregistrées ;</w:t>
      </w:r>
    </w:p>
    <w:p w:rsidR="00841CBD" w:rsidRPr="009D36B0" w:rsidRDefault="00841CBD" w:rsidP="00C0164C">
      <w:pPr>
        <w:pStyle w:val="Paragraphedeliste"/>
        <w:numPr>
          <w:ilvl w:val="0"/>
          <w:numId w:val="7"/>
        </w:numPr>
        <w:spacing w:line="276" w:lineRule="auto"/>
        <w:ind w:right="1217"/>
        <w:jc w:val="both"/>
        <w:rPr>
          <w:sz w:val="24"/>
        </w:rPr>
      </w:pPr>
      <w:r w:rsidRPr="009D36B0">
        <w:rPr>
          <w:bCs/>
          <w:sz w:val="24"/>
        </w:rPr>
        <w:t>Mener des actions de plaidoyer</w:t>
      </w:r>
      <w:r w:rsidR="001B4120" w:rsidRPr="009D36B0">
        <w:rPr>
          <w:bCs/>
          <w:sz w:val="24"/>
        </w:rPr>
        <w:t xml:space="preserve"> en faveur </w:t>
      </w:r>
      <w:r w:rsidR="009D36B0">
        <w:rPr>
          <w:bCs/>
          <w:sz w:val="24"/>
        </w:rPr>
        <w:t>de la lutte contre les VBG</w:t>
      </w:r>
    </w:p>
    <w:p w:rsidR="00677AF8" w:rsidRPr="00C0164C" w:rsidRDefault="00677AF8" w:rsidP="00C0164C">
      <w:pPr>
        <w:pStyle w:val="Paragraphedeliste"/>
        <w:spacing w:line="276" w:lineRule="auto"/>
        <w:rPr>
          <w:b/>
        </w:rPr>
      </w:pPr>
    </w:p>
    <w:p w:rsidR="00677AF8" w:rsidRPr="00C0164C" w:rsidRDefault="00677AF8" w:rsidP="00C0164C">
      <w:pPr>
        <w:pStyle w:val="Paragraphedeliste"/>
        <w:widowControl/>
        <w:numPr>
          <w:ilvl w:val="0"/>
          <w:numId w:val="1"/>
        </w:numPr>
        <w:spacing w:line="276" w:lineRule="auto"/>
        <w:jc w:val="both"/>
        <w:rPr>
          <w:b/>
          <w:sz w:val="24"/>
          <w:szCs w:val="24"/>
        </w:rPr>
      </w:pPr>
      <w:r w:rsidRPr="00C0164C">
        <w:rPr>
          <w:b/>
          <w:sz w:val="24"/>
          <w:szCs w:val="24"/>
        </w:rPr>
        <w:t xml:space="preserve">BENEFICIAIRES </w:t>
      </w:r>
      <w:r w:rsidR="008755A2" w:rsidRPr="00C0164C">
        <w:rPr>
          <w:b/>
          <w:sz w:val="24"/>
          <w:szCs w:val="24"/>
        </w:rPr>
        <w:t xml:space="preserve">ET BUDGET </w:t>
      </w:r>
      <w:r w:rsidRPr="00C0164C">
        <w:rPr>
          <w:b/>
          <w:sz w:val="24"/>
          <w:szCs w:val="24"/>
        </w:rPr>
        <w:t xml:space="preserve">DU PROJET </w:t>
      </w:r>
    </w:p>
    <w:p w:rsidR="00677AF8" w:rsidRPr="00C0164C" w:rsidRDefault="00677AF8" w:rsidP="00C0164C">
      <w:pPr>
        <w:pStyle w:val="Paragraphedeliste"/>
        <w:widowControl/>
        <w:spacing w:line="276" w:lineRule="auto"/>
        <w:jc w:val="both"/>
        <w:rPr>
          <w:b/>
          <w:sz w:val="24"/>
          <w:szCs w:val="24"/>
        </w:rPr>
      </w:pPr>
    </w:p>
    <w:p w:rsidR="00CB5E38" w:rsidRPr="00C0164C" w:rsidRDefault="00677AF8" w:rsidP="00C0164C">
      <w:pPr>
        <w:spacing w:line="276" w:lineRule="auto"/>
        <w:jc w:val="both"/>
      </w:pPr>
      <w:r w:rsidRPr="00C0164C">
        <w:t xml:space="preserve">Les bénéficiaires directs du projet sont </w:t>
      </w:r>
      <w:r w:rsidR="00CB5E38" w:rsidRPr="00C0164C">
        <w:t xml:space="preserve">les organisations et collectifs des femmes et les bénéficiaires indirects sont les communautés, les hommes, les femmes et les jeunes filles. </w:t>
      </w:r>
    </w:p>
    <w:p w:rsidR="00CB5E38" w:rsidRPr="00C0164C" w:rsidRDefault="00CB5E38" w:rsidP="00C0164C">
      <w:pPr>
        <w:spacing w:line="276" w:lineRule="auto"/>
        <w:jc w:val="both"/>
      </w:pPr>
    </w:p>
    <w:p w:rsidR="008755A2" w:rsidRPr="00C0164C" w:rsidRDefault="00CB5E38" w:rsidP="00C0164C">
      <w:pPr>
        <w:spacing w:line="276" w:lineRule="auto"/>
        <w:jc w:val="both"/>
      </w:pPr>
      <w:r w:rsidRPr="00C0164C">
        <w:t xml:space="preserve">Le </w:t>
      </w:r>
      <w:r w:rsidR="008755A2" w:rsidRPr="00C0164C">
        <w:t>montant de m</w:t>
      </w:r>
      <w:r w:rsidR="00C0164C" w:rsidRPr="00C0164C">
        <w:t>ise en œuvre du projet s’élève entre par collectif</w:t>
      </w:r>
      <w:r w:rsidR="009D36B0">
        <w:t>/</w:t>
      </w:r>
      <w:r w:rsidR="00AB2050" w:rsidRPr="009D36B0">
        <w:t xml:space="preserve">réseaux d’associations </w:t>
      </w:r>
      <w:r w:rsidR="00C0164C" w:rsidRPr="00C0164C">
        <w:t xml:space="preserve">des femmes. </w:t>
      </w:r>
    </w:p>
    <w:p w:rsidR="00CB5E38" w:rsidRPr="00C0164C" w:rsidRDefault="00CB5E38" w:rsidP="00C0164C">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1560"/>
        <w:gridCol w:w="5094"/>
      </w:tblGrid>
      <w:tr w:rsidR="00C0164C" w:rsidRPr="00C0164C" w:rsidTr="00F53FFA">
        <w:trPr>
          <w:trHeight w:val="271"/>
          <w:jc w:val="center"/>
        </w:trPr>
        <w:tc>
          <w:tcPr>
            <w:tcW w:w="3122" w:type="dxa"/>
            <w:shd w:val="clear" w:color="auto" w:fill="FBE4D5" w:themeFill="accent2" w:themeFillTint="33"/>
          </w:tcPr>
          <w:p w:rsidR="00C0164C" w:rsidRPr="00C0164C" w:rsidRDefault="00C0164C" w:rsidP="00C0164C">
            <w:pPr>
              <w:spacing w:line="276" w:lineRule="auto"/>
              <w:jc w:val="center"/>
              <w:rPr>
                <w:b/>
              </w:rPr>
            </w:pPr>
            <w:r w:rsidRPr="00C0164C">
              <w:rPr>
                <w:b/>
              </w:rPr>
              <w:t>Province</w:t>
            </w:r>
          </w:p>
        </w:tc>
        <w:tc>
          <w:tcPr>
            <w:tcW w:w="1560" w:type="dxa"/>
            <w:shd w:val="clear" w:color="auto" w:fill="FBE4D5" w:themeFill="accent2" w:themeFillTint="33"/>
          </w:tcPr>
          <w:p w:rsidR="00C0164C" w:rsidRPr="00C0164C" w:rsidRDefault="00C0164C" w:rsidP="00C0164C">
            <w:pPr>
              <w:spacing w:line="276" w:lineRule="auto"/>
              <w:jc w:val="center"/>
              <w:rPr>
                <w:b/>
              </w:rPr>
            </w:pPr>
            <w:r w:rsidRPr="00C0164C">
              <w:rPr>
                <w:b/>
              </w:rPr>
              <w:t>Budget global</w:t>
            </w:r>
          </w:p>
        </w:tc>
        <w:tc>
          <w:tcPr>
            <w:tcW w:w="5094" w:type="dxa"/>
            <w:shd w:val="clear" w:color="auto" w:fill="FBE4D5" w:themeFill="accent2" w:themeFillTint="33"/>
          </w:tcPr>
          <w:p w:rsidR="00C0164C" w:rsidRPr="00C0164C" w:rsidRDefault="00C0164C" w:rsidP="00C0164C">
            <w:pPr>
              <w:spacing w:line="276" w:lineRule="auto"/>
              <w:jc w:val="center"/>
              <w:rPr>
                <w:b/>
              </w:rPr>
            </w:pPr>
            <w:r w:rsidRPr="00C0164C">
              <w:rPr>
                <w:b/>
              </w:rPr>
              <w:t>Zone d’intervention</w:t>
            </w:r>
          </w:p>
        </w:tc>
      </w:tr>
      <w:tr w:rsidR="00C0164C" w:rsidRPr="00C0164C" w:rsidTr="00F53FFA">
        <w:trPr>
          <w:jc w:val="center"/>
        </w:trPr>
        <w:tc>
          <w:tcPr>
            <w:tcW w:w="3122" w:type="dxa"/>
          </w:tcPr>
          <w:p w:rsidR="00C0164C" w:rsidRPr="00C0164C" w:rsidRDefault="00C0164C" w:rsidP="00C0164C">
            <w:pPr>
              <w:spacing w:line="276" w:lineRule="auto"/>
              <w:jc w:val="both"/>
            </w:pPr>
            <w:r w:rsidRPr="00C0164C">
              <w:t>Nord-Kivu</w:t>
            </w:r>
          </w:p>
        </w:tc>
        <w:tc>
          <w:tcPr>
            <w:tcW w:w="1560" w:type="dxa"/>
          </w:tcPr>
          <w:p w:rsidR="00C0164C" w:rsidRPr="00C0164C" w:rsidRDefault="00C0164C" w:rsidP="00C0164C">
            <w:pPr>
              <w:spacing w:line="276" w:lineRule="auto"/>
              <w:jc w:val="center"/>
            </w:pPr>
            <w:r w:rsidRPr="00C0164C">
              <w:t>74</w:t>
            </w:r>
            <w:r w:rsidR="009D36B0">
              <w:t> </w:t>
            </w:r>
            <w:r w:rsidRPr="00C0164C">
              <w:t>500</w:t>
            </w:r>
            <w:r w:rsidR="009D36B0">
              <w:t>$</w:t>
            </w:r>
          </w:p>
        </w:tc>
        <w:tc>
          <w:tcPr>
            <w:tcW w:w="5094" w:type="dxa"/>
          </w:tcPr>
          <w:p w:rsidR="00C0164C" w:rsidRPr="00C0164C" w:rsidRDefault="00C0164C" w:rsidP="00C0164C">
            <w:pPr>
              <w:spacing w:line="276" w:lineRule="auto"/>
              <w:jc w:val="both"/>
            </w:pPr>
            <w:r w:rsidRPr="00C0164C">
              <w:t>Goma, Beni et Oicha</w:t>
            </w:r>
          </w:p>
        </w:tc>
      </w:tr>
      <w:tr w:rsidR="00C0164C" w:rsidRPr="00C0164C" w:rsidTr="00F53FFA">
        <w:trPr>
          <w:jc w:val="center"/>
        </w:trPr>
        <w:tc>
          <w:tcPr>
            <w:tcW w:w="3122" w:type="dxa"/>
          </w:tcPr>
          <w:p w:rsidR="00C0164C" w:rsidRPr="00C0164C" w:rsidRDefault="00C0164C" w:rsidP="00C0164C">
            <w:pPr>
              <w:spacing w:line="276" w:lineRule="auto"/>
              <w:jc w:val="both"/>
            </w:pPr>
            <w:r w:rsidRPr="00C0164C">
              <w:t xml:space="preserve">Sud-Kivu </w:t>
            </w:r>
          </w:p>
        </w:tc>
        <w:tc>
          <w:tcPr>
            <w:tcW w:w="1560" w:type="dxa"/>
          </w:tcPr>
          <w:p w:rsidR="00C0164C" w:rsidRPr="00C0164C" w:rsidRDefault="00C0164C" w:rsidP="00C0164C">
            <w:pPr>
              <w:spacing w:line="276" w:lineRule="auto"/>
              <w:jc w:val="center"/>
            </w:pPr>
            <w:r w:rsidRPr="00C0164C">
              <w:t>64</w:t>
            </w:r>
            <w:r w:rsidR="009D36B0">
              <w:t> </w:t>
            </w:r>
            <w:r w:rsidRPr="00C0164C">
              <w:t>000</w:t>
            </w:r>
            <w:r w:rsidR="009D36B0">
              <w:t>$</w:t>
            </w:r>
          </w:p>
        </w:tc>
        <w:tc>
          <w:tcPr>
            <w:tcW w:w="5094" w:type="dxa"/>
          </w:tcPr>
          <w:p w:rsidR="00C0164C" w:rsidRPr="00C0164C" w:rsidRDefault="00C0164C" w:rsidP="00C0164C">
            <w:pPr>
              <w:spacing w:line="276" w:lineRule="auto"/>
              <w:jc w:val="both"/>
            </w:pPr>
            <w:r w:rsidRPr="00C0164C">
              <w:t>Bukavu, Walungu, Uvira et Luvungi</w:t>
            </w:r>
          </w:p>
        </w:tc>
      </w:tr>
      <w:tr w:rsidR="00C0164C" w:rsidRPr="00C0164C" w:rsidTr="00F53FFA">
        <w:trPr>
          <w:jc w:val="center"/>
        </w:trPr>
        <w:tc>
          <w:tcPr>
            <w:tcW w:w="3122" w:type="dxa"/>
          </w:tcPr>
          <w:p w:rsidR="00C0164C" w:rsidRPr="00C0164C" w:rsidRDefault="00C0164C" w:rsidP="00C0164C">
            <w:pPr>
              <w:spacing w:line="276" w:lineRule="auto"/>
              <w:jc w:val="both"/>
            </w:pPr>
            <w:r w:rsidRPr="00C0164C">
              <w:t>Ituri</w:t>
            </w:r>
          </w:p>
        </w:tc>
        <w:tc>
          <w:tcPr>
            <w:tcW w:w="1560" w:type="dxa"/>
          </w:tcPr>
          <w:p w:rsidR="00C0164C" w:rsidRPr="00C0164C" w:rsidRDefault="00C0164C" w:rsidP="00C0164C">
            <w:pPr>
              <w:spacing w:line="276" w:lineRule="auto"/>
              <w:jc w:val="center"/>
            </w:pPr>
            <w:r w:rsidRPr="00C0164C">
              <w:t>74</w:t>
            </w:r>
            <w:r w:rsidR="009D36B0">
              <w:t> </w:t>
            </w:r>
            <w:r w:rsidRPr="00C0164C">
              <w:t>000</w:t>
            </w:r>
            <w:r w:rsidR="009D36B0">
              <w:t>$</w:t>
            </w:r>
          </w:p>
        </w:tc>
        <w:tc>
          <w:tcPr>
            <w:tcW w:w="5094" w:type="dxa"/>
          </w:tcPr>
          <w:p w:rsidR="00C0164C" w:rsidRPr="00C0164C" w:rsidRDefault="00C0164C" w:rsidP="00C0164C">
            <w:pPr>
              <w:spacing w:line="276" w:lineRule="auto"/>
              <w:jc w:val="both"/>
            </w:pPr>
            <w:r w:rsidRPr="00C0164C">
              <w:t>Bunia, Mongbwalu, Mahagi et Aru</w:t>
            </w:r>
          </w:p>
        </w:tc>
      </w:tr>
    </w:tbl>
    <w:p w:rsidR="00CB5E38" w:rsidRPr="00C0164C" w:rsidRDefault="00CB5E38" w:rsidP="00C0164C">
      <w:pPr>
        <w:spacing w:line="276" w:lineRule="auto"/>
        <w:jc w:val="both"/>
      </w:pPr>
    </w:p>
    <w:p w:rsidR="00677AF8" w:rsidRPr="00C0164C" w:rsidRDefault="00677AF8" w:rsidP="00C0164C">
      <w:pPr>
        <w:spacing w:line="276" w:lineRule="auto"/>
        <w:ind w:right="1217"/>
        <w:jc w:val="both"/>
        <w:rPr>
          <w:b/>
        </w:rPr>
      </w:pPr>
    </w:p>
    <w:p w:rsidR="00677AF8" w:rsidRPr="00C0164C" w:rsidRDefault="00677AF8" w:rsidP="00C0164C">
      <w:pPr>
        <w:pStyle w:val="Paragraphedeliste"/>
        <w:widowControl/>
        <w:numPr>
          <w:ilvl w:val="0"/>
          <w:numId w:val="1"/>
        </w:numPr>
        <w:spacing w:line="276" w:lineRule="auto"/>
        <w:jc w:val="both"/>
        <w:rPr>
          <w:b/>
          <w:sz w:val="24"/>
          <w:szCs w:val="24"/>
        </w:rPr>
      </w:pPr>
      <w:r w:rsidRPr="00C0164C">
        <w:rPr>
          <w:b/>
          <w:sz w:val="24"/>
          <w:szCs w:val="24"/>
        </w:rPr>
        <w:t>TABLEAU DES RESULTATS ET INDICATEURS</w:t>
      </w:r>
    </w:p>
    <w:p w:rsidR="00677AF8" w:rsidRPr="00C0164C" w:rsidRDefault="00677AF8" w:rsidP="00C0164C">
      <w:pPr>
        <w:pStyle w:val="Paragraphedeliste"/>
        <w:widowControl/>
        <w:numPr>
          <w:ilvl w:val="0"/>
          <w:numId w:val="1"/>
        </w:numPr>
        <w:spacing w:line="276" w:lineRule="auto"/>
        <w:jc w:val="both"/>
        <w:rPr>
          <w:b/>
          <w:sz w:val="24"/>
          <w:szCs w:val="24"/>
        </w:rPr>
        <w:sectPr w:rsidR="00677AF8" w:rsidRPr="00C0164C" w:rsidSect="007D49E1">
          <w:headerReference w:type="default" r:id="rId8"/>
          <w:footerReference w:type="default" r:id="rId9"/>
          <w:pgSz w:w="12240" w:h="15840"/>
          <w:pgMar w:top="0" w:right="1077" w:bottom="1440" w:left="1077" w:header="720" w:footer="720" w:gutter="0"/>
          <w:cols w:space="720"/>
          <w:docGrid w:linePitch="360"/>
        </w:sectPr>
      </w:pPr>
    </w:p>
    <w:tbl>
      <w:tblPr>
        <w:tblStyle w:val="Grilledutableau"/>
        <w:tblpPr w:leftFromText="180" w:rightFromText="180" w:vertAnchor="page" w:horzAnchor="margin" w:tblpX="-866" w:tblpY="1411"/>
        <w:tblW w:w="13603" w:type="dxa"/>
        <w:tblLook w:val="04A0"/>
      </w:tblPr>
      <w:tblGrid>
        <w:gridCol w:w="2405"/>
        <w:gridCol w:w="5387"/>
        <w:gridCol w:w="2976"/>
        <w:gridCol w:w="2835"/>
      </w:tblGrid>
      <w:tr w:rsidR="00F53FFA" w:rsidRPr="00C0164C" w:rsidTr="009D36B0">
        <w:trPr>
          <w:trHeight w:val="260"/>
        </w:trPr>
        <w:tc>
          <w:tcPr>
            <w:tcW w:w="2405" w:type="dxa"/>
            <w:shd w:val="clear" w:color="auto" w:fill="BDD6EE" w:themeFill="accent5" w:themeFillTint="66"/>
          </w:tcPr>
          <w:p w:rsidR="00F53FFA" w:rsidRPr="00C0164C" w:rsidRDefault="00F53FFA" w:rsidP="00C0164C">
            <w:pPr>
              <w:spacing w:line="276" w:lineRule="auto"/>
              <w:jc w:val="center"/>
              <w:rPr>
                <w:b/>
              </w:rPr>
            </w:pPr>
            <w:r w:rsidRPr="00C0164C">
              <w:rPr>
                <w:b/>
              </w:rPr>
              <w:lastRenderedPageBreak/>
              <w:t>Résultats attendus</w:t>
            </w:r>
          </w:p>
        </w:tc>
        <w:tc>
          <w:tcPr>
            <w:tcW w:w="5387" w:type="dxa"/>
            <w:shd w:val="clear" w:color="auto" w:fill="BDD6EE" w:themeFill="accent5" w:themeFillTint="66"/>
          </w:tcPr>
          <w:p w:rsidR="00F53FFA" w:rsidRPr="00C0164C" w:rsidRDefault="00F53FFA" w:rsidP="00C0164C">
            <w:pPr>
              <w:spacing w:line="276" w:lineRule="auto"/>
              <w:jc w:val="center"/>
              <w:rPr>
                <w:b/>
              </w:rPr>
            </w:pPr>
            <w:r w:rsidRPr="00C0164C">
              <w:rPr>
                <w:b/>
              </w:rPr>
              <w:t>Indicateurs</w:t>
            </w:r>
          </w:p>
        </w:tc>
        <w:tc>
          <w:tcPr>
            <w:tcW w:w="2976" w:type="dxa"/>
            <w:shd w:val="clear" w:color="auto" w:fill="BDD6EE" w:themeFill="accent5" w:themeFillTint="66"/>
          </w:tcPr>
          <w:p w:rsidR="00F53FFA" w:rsidRPr="00081BED" w:rsidRDefault="00F53FFA" w:rsidP="00C0164C">
            <w:pPr>
              <w:spacing w:line="276" w:lineRule="auto"/>
              <w:jc w:val="center"/>
              <w:rPr>
                <w:b/>
                <w:color w:val="0070C0"/>
                <w:highlight w:val="yellow"/>
              </w:rPr>
            </w:pPr>
            <w:r w:rsidRPr="009D36B0">
              <w:rPr>
                <w:b/>
              </w:rPr>
              <w:t>Cibles</w:t>
            </w:r>
          </w:p>
        </w:tc>
        <w:tc>
          <w:tcPr>
            <w:tcW w:w="2835" w:type="dxa"/>
            <w:shd w:val="clear" w:color="auto" w:fill="BDD6EE" w:themeFill="accent5" w:themeFillTint="66"/>
          </w:tcPr>
          <w:p w:rsidR="00F53FFA" w:rsidRPr="00C0164C" w:rsidRDefault="00F53FFA" w:rsidP="00C0164C">
            <w:pPr>
              <w:spacing w:line="276" w:lineRule="auto"/>
              <w:jc w:val="center"/>
              <w:rPr>
                <w:b/>
              </w:rPr>
            </w:pPr>
            <w:r w:rsidRPr="00C0164C">
              <w:rPr>
                <w:b/>
              </w:rPr>
              <w:t>Source de vérification</w:t>
            </w:r>
          </w:p>
        </w:tc>
      </w:tr>
      <w:tr w:rsidR="00F53FFA" w:rsidRPr="00C0164C" w:rsidTr="009D36B0">
        <w:trPr>
          <w:trHeight w:val="890"/>
        </w:trPr>
        <w:tc>
          <w:tcPr>
            <w:tcW w:w="2405" w:type="dxa"/>
            <w:vMerge w:val="restart"/>
          </w:tcPr>
          <w:p w:rsidR="00F53FFA" w:rsidRPr="00C0164C" w:rsidRDefault="00F53FFA" w:rsidP="00C0164C">
            <w:pPr>
              <w:spacing w:line="276" w:lineRule="auto"/>
              <w:jc w:val="both"/>
            </w:pPr>
            <w:r w:rsidRPr="00C0164C">
              <w:t>Les organisations et collectifs des femmes sont renforcés dans leur rôle d'acteurs de l'alerte, la prévention et la réponse aux VBG ainsi que dans la coordination de la lutte contre les VBG.</w:t>
            </w:r>
          </w:p>
        </w:tc>
        <w:tc>
          <w:tcPr>
            <w:tcW w:w="5387" w:type="dxa"/>
          </w:tcPr>
          <w:p w:rsidR="00F53FFA" w:rsidRPr="00C0164C" w:rsidRDefault="00F53FFA" w:rsidP="00C0164C">
            <w:pPr>
              <w:spacing w:line="276" w:lineRule="auto"/>
              <w:jc w:val="both"/>
            </w:pPr>
            <w:r w:rsidRPr="00C0164C">
              <w:t xml:space="preserve">Pourcentage des femmes engagées comme actrices de changement de comportements dans l’alerte, la prévention et la réponse aux VBG  </w:t>
            </w:r>
          </w:p>
        </w:tc>
        <w:tc>
          <w:tcPr>
            <w:tcW w:w="2976" w:type="dxa"/>
            <w:shd w:val="clear" w:color="auto" w:fill="auto"/>
          </w:tcPr>
          <w:p w:rsidR="00F53FFA" w:rsidRPr="00081BED" w:rsidRDefault="00F53FFA" w:rsidP="00C0164C">
            <w:pPr>
              <w:spacing w:line="276" w:lineRule="auto"/>
              <w:jc w:val="both"/>
              <w:rPr>
                <w:color w:val="0070C0"/>
                <w:highlight w:val="yellow"/>
              </w:rPr>
            </w:pPr>
          </w:p>
        </w:tc>
        <w:tc>
          <w:tcPr>
            <w:tcW w:w="2835" w:type="dxa"/>
          </w:tcPr>
          <w:p w:rsidR="00F53FFA" w:rsidRPr="00C0164C" w:rsidRDefault="00F53FFA" w:rsidP="00C0164C">
            <w:pPr>
              <w:spacing w:line="276" w:lineRule="auto"/>
              <w:jc w:val="both"/>
            </w:pPr>
            <w:r w:rsidRPr="00C0164C">
              <w:t xml:space="preserve">Rapport </w:t>
            </w:r>
            <w:r w:rsidR="00480110">
              <w:t>d’activités</w:t>
            </w:r>
          </w:p>
          <w:p w:rsidR="00F53FFA" w:rsidRDefault="00F53FFA" w:rsidP="00C0164C">
            <w:pPr>
              <w:spacing w:line="276" w:lineRule="auto"/>
              <w:jc w:val="both"/>
            </w:pPr>
            <w:r w:rsidRPr="00C0164C">
              <w:t xml:space="preserve">Outils de suivi </w:t>
            </w:r>
          </w:p>
          <w:p w:rsidR="00F53FFA" w:rsidRPr="00C0164C" w:rsidRDefault="00F53FFA" w:rsidP="00C0164C">
            <w:pPr>
              <w:spacing w:line="276" w:lineRule="auto"/>
              <w:jc w:val="both"/>
            </w:pPr>
            <w:r>
              <w:t xml:space="preserve">Registre </w:t>
            </w:r>
          </w:p>
        </w:tc>
      </w:tr>
      <w:tr w:rsidR="00F53FFA" w:rsidRPr="00C0164C" w:rsidTr="009D36B0">
        <w:trPr>
          <w:trHeight w:val="890"/>
        </w:trPr>
        <w:tc>
          <w:tcPr>
            <w:tcW w:w="2405" w:type="dxa"/>
            <w:vMerge/>
          </w:tcPr>
          <w:p w:rsidR="00F53FFA" w:rsidRPr="00C0164C" w:rsidRDefault="00F53FFA" w:rsidP="00C0164C">
            <w:pPr>
              <w:spacing w:line="276" w:lineRule="auto"/>
              <w:jc w:val="both"/>
              <w:rPr>
                <w:b/>
              </w:rPr>
            </w:pPr>
          </w:p>
        </w:tc>
        <w:tc>
          <w:tcPr>
            <w:tcW w:w="5387" w:type="dxa"/>
          </w:tcPr>
          <w:p w:rsidR="00F53FFA" w:rsidRPr="00C0164C" w:rsidRDefault="00F53FFA" w:rsidP="00C0164C">
            <w:pPr>
              <w:spacing w:line="276" w:lineRule="auto"/>
              <w:jc w:val="both"/>
            </w:pPr>
            <w:r w:rsidRPr="00C0164C">
              <w:t xml:space="preserve">Nombre d’actions d’alerte, de prévention et de réponse tendant à lutter contre les VBG initiées par les associations féminines ayant bénéficié de renforcement des capacités   </w:t>
            </w:r>
          </w:p>
        </w:tc>
        <w:tc>
          <w:tcPr>
            <w:tcW w:w="2976" w:type="dxa"/>
            <w:shd w:val="clear" w:color="auto" w:fill="auto"/>
          </w:tcPr>
          <w:p w:rsidR="00F53FFA" w:rsidRPr="00F53FFA" w:rsidRDefault="00F53FFA" w:rsidP="00C0164C">
            <w:pPr>
              <w:spacing w:line="276" w:lineRule="auto"/>
              <w:jc w:val="both"/>
              <w:rPr>
                <w:highlight w:val="yellow"/>
              </w:rPr>
            </w:pPr>
          </w:p>
        </w:tc>
        <w:tc>
          <w:tcPr>
            <w:tcW w:w="2835" w:type="dxa"/>
          </w:tcPr>
          <w:p w:rsidR="00F53FFA" w:rsidRPr="00C0164C" w:rsidRDefault="00F53FFA" w:rsidP="00C0164C">
            <w:pPr>
              <w:spacing w:line="276" w:lineRule="auto"/>
              <w:jc w:val="both"/>
            </w:pPr>
            <w:r w:rsidRPr="00C0164C">
              <w:t>Rapport</w:t>
            </w:r>
            <w:r w:rsidR="009D36B0">
              <w:t xml:space="preserve"> d’activités</w:t>
            </w:r>
          </w:p>
          <w:p w:rsidR="00F53FFA" w:rsidRPr="00C0164C" w:rsidRDefault="00F53FFA" w:rsidP="00C0164C">
            <w:pPr>
              <w:spacing w:line="276" w:lineRule="auto"/>
              <w:jc w:val="both"/>
            </w:pPr>
            <w:r w:rsidRPr="00C0164C">
              <w:t>Outils de suivi</w:t>
            </w:r>
          </w:p>
        </w:tc>
      </w:tr>
      <w:tr w:rsidR="00F53FFA" w:rsidRPr="00C0164C" w:rsidTr="009D36B0">
        <w:trPr>
          <w:trHeight w:val="890"/>
        </w:trPr>
        <w:tc>
          <w:tcPr>
            <w:tcW w:w="2405" w:type="dxa"/>
            <w:vMerge/>
          </w:tcPr>
          <w:p w:rsidR="00F53FFA" w:rsidRPr="00C0164C" w:rsidRDefault="00F53FFA" w:rsidP="00C0164C">
            <w:pPr>
              <w:spacing w:line="276" w:lineRule="auto"/>
              <w:jc w:val="both"/>
              <w:rPr>
                <w:b/>
              </w:rPr>
            </w:pPr>
          </w:p>
        </w:tc>
        <w:tc>
          <w:tcPr>
            <w:tcW w:w="5387" w:type="dxa"/>
          </w:tcPr>
          <w:p w:rsidR="00F53FFA" w:rsidRPr="00C0164C" w:rsidRDefault="00F53FFA" w:rsidP="00C0164C">
            <w:pPr>
              <w:spacing w:line="276" w:lineRule="auto"/>
              <w:jc w:val="both"/>
            </w:pPr>
            <w:r w:rsidRPr="00C0164C">
              <w:t>Nombre de cas des VBG identifiés et référés par les mécanismes communautaires d’alerte, de référencement et de protection vers les services de prise en charge</w:t>
            </w:r>
          </w:p>
        </w:tc>
        <w:tc>
          <w:tcPr>
            <w:tcW w:w="2976" w:type="dxa"/>
            <w:shd w:val="clear" w:color="auto" w:fill="auto"/>
          </w:tcPr>
          <w:p w:rsidR="00F53FFA" w:rsidRPr="00C0164C" w:rsidRDefault="00F53FFA" w:rsidP="00C0164C">
            <w:pPr>
              <w:spacing w:line="276" w:lineRule="auto"/>
              <w:jc w:val="both"/>
            </w:pPr>
          </w:p>
        </w:tc>
        <w:tc>
          <w:tcPr>
            <w:tcW w:w="2835" w:type="dxa"/>
          </w:tcPr>
          <w:p w:rsidR="00F53FFA" w:rsidRPr="00C0164C" w:rsidRDefault="00F53FFA" w:rsidP="00C0164C">
            <w:pPr>
              <w:spacing w:line="276" w:lineRule="auto"/>
              <w:jc w:val="both"/>
            </w:pPr>
            <w:r w:rsidRPr="00C0164C">
              <w:t>Rapport</w:t>
            </w:r>
            <w:r w:rsidR="009D36B0">
              <w:t xml:space="preserve"> d’activités</w:t>
            </w:r>
          </w:p>
          <w:p w:rsidR="00F53FFA" w:rsidRDefault="00F53FFA" w:rsidP="00C0164C">
            <w:pPr>
              <w:spacing w:line="276" w:lineRule="auto"/>
              <w:jc w:val="both"/>
            </w:pPr>
            <w:r w:rsidRPr="00C0164C">
              <w:t>Outils de suivi</w:t>
            </w:r>
          </w:p>
          <w:p w:rsidR="00F53FFA" w:rsidRPr="00C0164C" w:rsidRDefault="00F53FFA" w:rsidP="00C0164C">
            <w:pPr>
              <w:spacing w:line="276" w:lineRule="auto"/>
              <w:jc w:val="both"/>
            </w:pPr>
            <w:r>
              <w:t>Billet de référencement</w:t>
            </w:r>
          </w:p>
        </w:tc>
      </w:tr>
      <w:tr w:rsidR="00F53FFA" w:rsidRPr="00C0164C" w:rsidTr="009D36B0">
        <w:trPr>
          <w:trHeight w:val="890"/>
        </w:trPr>
        <w:tc>
          <w:tcPr>
            <w:tcW w:w="2405" w:type="dxa"/>
            <w:vMerge/>
          </w:tcPr>
          <w:p w:rsidR="00F53FFA" w:rsidRPr="00C0164C" w:rsidRDefault="00F53FFA" w:rsidP="00C0164C">
            <w:pPr>
              <w:spacing w:line="276" w:lineRule="auto"/>
              <w:jc w:val="both"/>
              <w:rPr>
                <w:b/>
              </w:rPr>
            </w:pPr>
          </w:p>
        </w:tc>
        <w:tc>
          <w:tcPr>
            <w:tcW w:w="5387" w:type="dxa"/>
          </w:tcPr>
          <w:p w:rsidR="00F53FFA" w:rsidRPr="00C0164C" w:rsidRDefault="00F53FFA" w:rsidP="00C0164C">
            <w:pPr>
              <w:spacing w:line="276" w:lineRule="auto"/>
              <w:jc w:val="both"/>
            </w:pPr>
            <w:r w:rsidRPr="00C0164C">
              <w:t xml:space="preserve">Nombre d’organisations féminines renforcées qui participent aux activités de coordination de la lutte contre les VBG  </w:t>
            </w:r>
          </w:p>
        </w:tc>
        <w:tc>
          <w:tcPr>
            <w:tcW w:w="2976" w:type="dxa"/>
            <w:shd w:val="clear" w:color="auto" w:fill="auto"/>
          </w:tcPr>
          <w:p w:rsidR="00F53FFA" w:rsidRPr="00C0164C" w:rsidRDefault="00F53FFA" w:rsidP="00C0164C">
            <w:pPr>
              <w:spacing w:line="276" w:lineRule="auto"/>
              <w:jc w:val="both"/>
            </w:pPr>
          </w:p>
        </w:tc>
        <w:tc>
          <w:tcPr>
            <w:tcW w:w="2835" w:type="dxa"/>
          </w:tcPr>
          <w:p w:rsidR="00F53FFA" w:rsidRPr="00C0164C" w:rsidRDefault="00F53FFA" w:rsidP="00C0164C">
            <w:pPr>
              <w:spacing w:line="276" w:lineRule="auto"/>
              <w:jc w:val="both"/>
            </w:pPr>
            <w:r w:rsidRPr="00C0164C">
              <w:t>Rapport</w:t>
            </w:r>
            <w:r w:rsidR="009D36B0">
              <w:t xml:space="preserve"> d’activités</w:t>
            </w:r>
          </w:p>
          <w:p w:rsidR="00F53FFA" w:rsidRPr="00C0164C" w:rsidRDefault="00F53FFA" w:rsidP="00C0164C">
            <w:pPr>
              <w:spacing w:line="276" w:lineRule="auto"/>
              <w:jc w:val="both"/>
            </w:pPr>
            <w:r w:rsidRPr="00C0164C">
              <w:t xml:space="preserve">Outils de suivi </w:t>
            </w:r>
          </w:p>
          <w:p w:rsidR="00F53FFA" w:rsidRPr="00C0164C" w:rsidRDefault="00F53FFA" w:rsidP="00C0164C">
            <w:pPr>
              <w:spacing w:line="276" w:lineRule="auto"/>
              <w:jc w:val="both"/>
            </w:pPr>
            <w:r w:rsidRPr="00C0164C">
              <w:t xml:space="preserve">Liste de présence des réunions </w:t>
            </w:r>
          </w:p>
        </w:tc>
      </w:tr>
      <w:tr w:rsidR="00F53FFA" w:rsidRPr="00C0164C" w:rsidTr="009D36B0">
        <w:trPr>
          <w:trHeight w:val="1100"/>
        </w:trPr>
        <w:tc>
          <w:tcPr>
            <w:tcW w:w="2405" w:type="dxa"/>
            <w:vMerge/>
          </w:tcPr>
          <w:p w:rsidR="00F53FFA" w:rsidRPr="00C0164C" w:rsidRDefault="00F53FFA" w:rsidP="00C0164C">
            <w:pPr>
              <w:spacing w:line="276" w:lineRule="auto"/>
              <w:jc w:val="both"/>
              <w:rPr>
                <w:b/>
              </w:rPr>
            </w:pPr>
          </w:p>
        </w:tc>
        <w:tc>
          <w:tcPr>
            <w:tcW w:w="5387" w:type="dxa"/>
          </w:tcPr>
          <w:p w:rsidR="00F53FFA" w:rsidRPr="00C0164C" w:rsidRDefault="00F53FFA" w:rsidP="00C0164C">
            <w:pPr>
              <w:spacing w:line="276" w:lineRule="auto"/>
              <w:jc w:val="both"/>
            </w:pPr>
            <w:r w:rsidRPr="00C0164C">
              <w:t>Pourcentage de jeunes filles renforcées en capacités qui sont engagées dans la lutte contre les VBG</w:t>
            </w:r>
          </w:p>
        </w:tc>
        <w:tc>
          <w:tcPr>
            <w:tcW w:w="2976" w:type="dxa"/>
            <w:shd w:val="clear" w:color="auto" w:fill="auto"/>
          </w:tcPr>
          <w:p w:rsidR="00F53FFA" w:rsidRPr="00C0164C" w:rsidRDefault="00F53FFA" w:rsidP="00C0164C">
            <w:pPr>
              <w:spacing w:line="276" w:lineRule="auto"/>
              <w:jc w:val="both"/>
            </w:pPr>
          </w:p>
        </w:tc>
        <w:tc>
          <w:tcPr>
            <w:tcW w:w="2835" w:type="dxa"/>
          </w:tcPr>
          <w:p w:rsidR="00F53FFA" w:rsidRPr="00C0164C" w:rsidRDefault="00F53FFA" w:rsidP="00C0164C">
            <w:pPr>
              <w:spacing w:line="276" w:lineRule="auto"/>
              <w:jc w:val="both"/>
            </w:pPr>
            <w:r w:rsidRPr="00C0164C">
              <w:t>Rapport</w:t>
            </w:r>
            <w:r>
              <w:t xml:space="preserve"> de formation</w:t>
            </w:r>
          </w:p>
          <w:p w:rsidR="00F53FFA" w:rsidRDefault="00F53FFA" w:rsidP="00C0164C">
            <w:pPr>
              <w:spacing w:line="276" w:lineRule="auto"/>
              <w:jc w:val="both"/>
            </w:pPr>
            <w:r w:rsidRPr="00C0164C">
              <w:t xml:space="preserve">Outils de suivi </w:t>
            </w:r>
          </w:p>
          <w:p w:rsidR="00F53FFA" w:rsidRPr="00C0164C" w:rsidRDefault="00F53FFA" w:rsidP="00C0164C">
            <w:pPr>
              <w:spacing w:line="276" w:lineRule="auto"/>
              <w:jc w:val="both"/>
            </w:pPr>
            <w:r>
              <w:t xml:space="preserve">Liste de participation </w:t>
            </w:r>
          </w:p>
        </w:tc>
      </w:tr>
    </w:tbl>
    <w:p w:rsidR="00677AF8" w:rsidRDefault="00F53FFA" w:rsidP="00C0164C">
      <w:pPr>
        <w:spacing w:line="276" w:lineRule="auto"/>
        <w:rPr>
          <w:b/>
        </w:rPr>
      </w:pPr>
      <w:r w:rsidRPr="00F53FFA">
        <w:rPr>
          <w:b/>
        </w:rPr>
        <w:t>4.</w:t>
      </w:r>
      <w:r w:rsidRPr="00F53FFA">
        <w:rPr>
          <w:b/>
        </w:rPr>
        <w:tab/>
        <w:t>TABLEAU DES RESULTATS ET INDICATEURS</w:t>
      </w:r>
    </w:p>
    <w:p w:rsidR="00F53FFA" w:rsidRDefault="00F53FFA" w:rsidP="00C0164C">
      <w:pPr>
        <w:spacing w:line="276" w:lineRule="auto"/>
        <w:rPr>
          <w:b/>
        </w:rPr>
      </w:pPr>
    </w:p>
    <w:p w:rsidR="00F53FFA" w:rsidRDefault="00F53FFA" w:rsidP="00C0164C">
      <w:pPr>
        <w:spacing w:line="276" w:lineRule="auto"/>
        <w:rPr>
          <w:b/>
        </w:rPr>
      </w:pPr>
    </w:p>
    <w:p w:rsidR="00F53FFA" w:rsidRDefault="00F53FFA" w:rsidP="00C0164C">
      <w:pPr>
        <w:spacing w:line="276" w:lineRule="auto"/>
        <w:rPr>
          <w:b/>
        </w:rPr>
      </w:pPr>
    </w:p>
    <w:p w:rsidR="00F53FFA" w:rsidRDefault="00F53FFA" w:rsidP="00C0164C">
      <w:pPr>
        <w:spacing w:line="276" w:lineRule="auto"/>
        <w:rPr>
          <w:b/>
        </w:rPr>
      </w:pPr>
    </w:p>
    <w:p w:rsidR="00F53FFA" w:rsidRDefault="00F53FFA" w:rsidP="00C0164C">
      <w:pPr>
        <w:spacing w:line="276" w:lineRule="auto"/>
        <w:rPr>
          <w:b/>
        </w:rPr>
      </w:pPr>
    </w:p>
    <w:p w:rsidR="00F53FFA" w:rsidRPr="00F53FFA" w:rsidRDefault="00F53FFA" w:rsidP="00C0164C">
      <w:pPr>
        <w:spacing w:line="276" w:lineRule="auto"/>
        <w:rPr>
          <w:b/>
        </w:rPr>
      </w:pPr>
    </w:p>
    <w:p w:rsidR="00677AF8" w:rsidRPr="00C0164C" w:rsidRDefault="00677AF8" w:rsidP="00C0164C">
      <w:pPr>
        <w:spacing w:line="276" w:lineRule="auto"/>
      </w:pPr>
    </w:p>
    <w:p w:rsidR="00677AF8" w:rsidRPr="00C0164C" w:rsidRDefault="00677AF8" w:rsidP="00C0164C">
      <w:pPr>
        <w:spacing w:line="276" w:lineRule="auto"/>
      </w:pPr>
    </w:p>
    <w:p w:rsidR="002C38A0" w:rsidRPr="00C0164C" w:rsidRDefault="002C38A0" w:rsidP="00C0164C">
      <w:pPr>
        <w:spacing w:line="276" w:lineRule="auto"/>
      </w:pPr>
    </w:p>
    <w:p w:rsidR="002C38A0" w:rsidRPr="00C0164C" w:rsidRDefault="002C38A0" w:rsidP="00C0164C">
      <w:pPr>
        <w:spacing w:line="276" w:lineRule="auto"/>
        <w:sectPr w:rsidR="002C38A0" w:rsidRPr="00C0164C" w:rsidSect="007D49E1">
          <w:footerReference w:type="default" r:id="rId10"/>
          <w:pgSz w:w="15840" w:h="12240" w:orient="landscape"/>
          <w:pgMar w:top="1077" w:right="244" w:bottom="1077" w:left="1440" w:header="720" w:footer="720" w:gutter="0"/>
          <w:cols w:space="720"/>
          <w:docGrid w:linePitch="360"/>
        </w:sectPr>
      </w:pPr>
    </w:p>
    <w:p w:rsidR="002C38A0" w:rsidRPr="00C0164C" w:rsidRDefault="002C38A0" w:rsidP="00C0164C">
      <w:pPr>
        <w:pStyle w:val="Paragraphedeliste"/>
        <w:widowControl/>
        <w:numPr>
          <w:ilvl w:val="0"/>
          <w:numId w:val="1"/>
        </w:numPr>
        <w:spacing w:line="276" w:lineRule="auto"/>
        <w:jc w:val="both"/>
        <w:rPr>
          <w:b/>
          <w:sz w:val="24"/>
          <w:szCs w:val="24"/>
        </w:rPr>
      </w:pPr>
      <w:r w:rsidRPr="00C0164C">
        <w:rPr>
          <w:b/>
          <w:sz w:val="24"/>
          <w:szCs w:val="24"/>
        </w:rPr>
        <w:lastRenderedPageBreak/>
        <w:t>DUREE DU PROJET</w:t>
      </w:r>
    </w:p>
    <w:p w:rsidR="002C38A0" w:rsidRPr="00C0164C" w:rsidRDefault="002C38A0" w:rsidP="00C0164C">
      <w:pPr>
        <w:spacing w:line="276" w:lineRule="auto"/>
        <w:ind w:left="360"/>
        <w:jc w:val="both"/>
        <w:rPr>
          <w:b/>
        </w:rPr>
      </w:pPr>
    </w:p>
    <w:p w:rsidR="002C38A0" w:rsidRPr="00C0164C" w:rsidRDefault="002C38A0" w:rsidP="00C0164C">
      <w:pPr>
        <w:spacing w:line="276" w:lineRule="auto"/>
        <w:jc w:val="both"/>
      </w:pPr>
      <w:r w:rsidRPr="00C0164C">
        <w:t xml:space="preserve">Le document de projet doit être conçu pour une durée d’une année à compter de la date de signature de l’accord de partenariat avec le PNUD. Le projet soumis devra indiquer les mesures de pérennisation des résultats. </w:t>
      </w:r>
    </w:p>
    <w:p w:rsidR="002C38A0" w:rsidRPr="00C0164C" w:rsidRDefault="002C38A0" w:rsidP="00C0164C">
      <w:pPr>
        <w:spacing w:line="276" w:lineRule="auto"/>
        <w:jc w:val="both"/>
      </w:pPr>
    </w:p>
    <w:p w:rsidR="002C38A0" w:rsidRPr="00C0164C" w:rsidRDefault="002C38A0" w:rsidP="00C0164C">
      <w:pPr>
        <w:pStyle w:val="Paragraphedeliste"/>
        <w:widowControl/>
        <w:numPr>
          <w:ilvl w:val="0"/>
          <w:numId w:val="1"/>
        </w:numPr>
        <w:spacing w:line="276" w:lineRule="auto"/>
        <w:jc w:val="both"/>
        <w:rPr>
          <w:b/>
          <w:sz w:val="24"/>
          <w:szCs w:val="24"/>
        </w:rPr>
      </w:pPr>
      <w:r w:rsidRPr="00C0164C">
        <w:rPr>
          <w:b/>
          <w:sz w:val="24"/>
          <w:szCs w:val="24"/>
        </w:rPr>
        <w:t xml:space="preserve"> PROFIL DES ONG OU DES STRUCTURES </w:t>
      </w:r>
      <w:r w:rsidR="00797E4B" w:rsidRPr="00C0164C">
        <w:rPr>
          <w:b/>
          <w:sz w:val="24"/>
          <w:szCs w:val="24"/>
        </w:rPr>
        <w:t>SOUMISSIONNAIRES</w:t>
      </w:r>
    </w:p>
    <w:p w:rsidR="002C38A0" w:rsidRPr="00C0164C" w:rsidRDefault="002C38A0" w:rsidP="00C0164C">
      <w:pPr>
        <w:spacing w:line="276" w:lineRule="auto"/>
        <w:jc w:val="both"/>
      </w:pPr>
    </w:p>
    <w:p w:rsidR="002C38A0" w:rsidRPr="00C0164C" w:rsidRDefault="002C38A0" w:rsidP="00C0164C">
      <w:pPr>
        <w:spacing w:line="276" w:lineRule="auto"/>
        <w:jc w:val="both"/>
      </w:pPr>
      <w:r w:rsidRPr="00C0164C">
        <w:t xml:space="preserve">Sont éligibles au présent appel à projet, les </w:t>
      </w:r>
      <w:r w:rsidR="00DD2FE4">
        <w:t>réseaux</w:t>
      </w:r>
      <w:r w:rsidR="009D36B0">
        <w:t>/</w:t>
      </w:r>
      <w:r w:rsidR="00CB5E38" w:rsidRPr="00C0164C">
        <w:t>collectifs des femmes</w:t>
      </w:r>
      <w:r w:rsidRPr="00C0164C">
        <w:t xml:space="preserve"> re</w:t>
      </w:r>
      <w:r w:rsidR="009D36B0">
        <w:t>mplissant les critères suivants</w:t>
      </w:r>
      <w:r w:rsidRPr="00C0164C">
        <w:t>:</w:t>
      </w:r>
    </w:p>
    <w:p w:rsidR="002C38A0" w:rsidRPr="00C0164C" w:rsidRDefault="002C38A0" w:rsidP="00C0164C">
      <w:pPr>
        <w:numPr>
          <w:ilvl w:val="0"/>
          <w:numId w:val="9"/>
        </w:numPr>
        <w:spacing w:line="276" w:lineRule="auto"/>
        <w:jc w:val="both"/>
      </w:pPr>
      <w:r w:rsidRPr="00C0164C">
        <w:t>Avoir une autorisation de fonctionnement et/ou une personnalité juridique valide et délivrée par l’autorité compétente ;</w:t>
      </w:r>
    </w:p>
    <w:p w:rsidR="002C38A0" w:rsidRDefault="002C38A0" w:rsidP="00C0164C">
      <w:pPr>
        <w:numPr>
          <w:ilvl w:val="0"/>
          <w:numId w:val="9"/>
        </w:numPr>
        <w:spacing w:line="276" w:lineRule="auto"/>
        <w:jc w:val="both"/>
      </w:pPr>
      <w:r w:rsidRPr="00C0164C">
        <w:t xml:space="preserve">Avoir un personnel d’encadrement et de coordination des activités de </w:t>
      </w:r>
      <w:r w:rsidR="00CB5E38" w:rsidRPr="00C0164C">
        <w:t xml:space="preserve">l’organisation ou du collectif </w:t>
      </w:r>
      <w:r w:rsidRPr="00C0164C">
        <w:t>possédant une qualification</w:t>
      </w:r>
      <w:r w:rsidR="00CB5E38" w:rsidRPr="00C0164C">
        <w:t>/expérience</w:t>
      </w:r>
      <w:r w:rsidR="006855DA" w:rsidRPr="009D36B0">
        <w:t xml:space="preserve"> avérée</w:t>
      </w:r>
      <w:r w:rsidRPr="00C0164C">
        <w:t>dans les domaines de sensibilisation des communautés</w:t>
      </w:r>
      <w:r w:rsidR="00CB5E38" w:rsidRPr="00C0164C">
        <w:t xml:space="preserve">, de prévention, de référencement des cas de VBG et de participation à des réunions de coordination </w:t>
      </w:r>
      <w:r w:rsidRPr="00C0164C">
        <w:t>;</w:t>
      </w:r>
    </w:p>
    <w:p w:rsidR="006855DA" w:rsidRPr="009D36B0" w:rsidRDefault="006855DA" w:rsidP="00C0164C">
      <w:pPr>
        <w:numPr>
          <w:ilvl w:val="0"/>
          <w:numId w:val="9"/>
        </w:numPr>
        <w:spacing w:line="276" w:lineRule="auto"/>
        <w:jc w:val="both"/>
      </w:pPr>
      <w:r w:rsidRPr="009D36B0">
        <w:t xml:space="preserve">Avoir une expérience éprouvée en matière de plaidoyer </w:t>
      </w:r>
      <w:r w:rsidR="000804D3" w:rsidRPr="009D36B0">
        <w:t>institutionnel ;</w:t>
      </w:r>
    </w:p>
    <w:p w:rsidR="002C38A0" w:rsidRPr="00081BED" w:rsidRDefault="002C38A0" w:rsidP="00C0164C">
      <w:pPr>
        <w:numPr>
          <w:ilvl w:val="0"/>
          <w:numId w:val="9"/>
        </w:numPr>
        <w:spacing w:line="276" w:lineRule="auto"/>
        <w:jc w:val="both"/>
        <w:rPr>
          <w:color w:val="0070C0"/>
        </w:rPr>
      </w:pPr>
      <w:r w:rsidRPr="00C0164C">
        <w:t xml:space="preserve">Etre en mesure d’entretenir la collaboration avec les </w:t>
      </w:r>
      <w:r w:rsidR="00CB5E38" w:rsidRPr="00C0164C">
        <w:t xml:space="preserve">autres </w:t>
      </w:r>
      <w:r w:rsidR="00AB2050">
        <w:t>réseaux</w:t>
      </w:r>
      <w:r w:rsidR="009D36B0">
        <w:t>/</w:t>
      </w:r>
      <w:r w:rsidR="00CB5E38" w:rsidRPr="00C0164C">
        <w:t>collectifs</w:t>
      </w:r>
      <w:r w:rsidR="00AF41A4" w:rsidRPr="00C0164C">
        <w:t xml:space="preserve"> des femmes ainsi que les ONG internationales œuvrant dans le domaine de la prévention</w:t>
      </w:r>
      <w:r w:rsidR="006855DA">
        <w:t xml:space="preserve">, </w:t>
      </w:r>
      <w:r w:rsidR="006855DA" w:rsidRPr="009D36B0">
        <w:t>la réponse, la coordination et</w:t>
      </w:r>
      <w:r w:rsidR="00081BED" w:rsidRPr="009D36B0">
        <w:t xml:space="preserve"> le plaidoyer ;</w:t>
      </w:r>
    </w:p>
    <w:p w:rsidR="00287E53" w:rsidRDefault="00287E53" w:rsidP="00287E53">
      <w:pPr>
        <w:numPr>
          <w:ilvl w:val="0"/>
          <w:numId w:val="9"/>
        </w:numPr>
        <w:spacing w:line="276" w:lineRule="auto"/>
        <w:jc w:val="both"/>
      </w:pPr>
      <w:r w:rsidRPr="009D36B0">
        <w:t>Disposer d’une cartographie des associations et/ou ONG féminines membres du réseau/collectif des femmes intervenant dans les zones d’intervention du programme ;</w:t>
      </w:r>
    </w:p>
    <w:p w:rsidR="00287E53" w:rsidRPr="009D36B0" w:rsidRDefault="00287E53" w:rsidP="00287E53">
      <w:pPr>
        <w:numPr>
          <w:ilvl w:val="0"/>
          <w:numId w:val="9"/>
        </w:numPr>
        <w:spacing w:line="276" w:lineRule="auto"/>
        <w:jc w:val="both"/>
      </w:pPr>
      <w:r>
        <w:t xml:space="preserve">Etre en mesure d’entretenir une bonne collaboration et coordination entre les différentes associations et/ou ONG féminines membres du réseau/collectif des femmes ; </w:t>
      </w:r>
    </w:p>
    <w:p w:rsidR="002C38A0" w:rsidRDefault="002C38A0" w:rsidP="00C0164C">
      <w:pPr>
        <w:numPr>
          <w:ilvl w:val="0"/>
          <w:numId w:val="9"/>
        </w:numPr>
        <w:spacing w:line="276" w:lineRule="auto"/>
        <w:jc w:val="both"/>
      </w:pPr>
      <w:r w:rsidRPr="00C0164C">
        <w:t>Avoir une bonne connaissance des zones d’intervention indiquées ci-haut ;</w:t>
      </w:r>
    </w:p>
    <w:p w:rsidR="00BF0BF0" w:rsidRPr="009D36B0" w:rsidRDefault="00BF0BF0" w:rsidP="00C0164C">
      <w:pPr>
        <w:numPr>
          <w:ilvl w:val="0"/>
          <w:numId w:val="9"/>
        </w:numPr>
        <w:spacing w:line="276" w:lineRule="auto"/>
        <w:jc w:val="both"/>
      </w:pPr>
      <w:r w:rsidRPr="009D36B0">
        <w:t>Disposer d’une représentation dans les zones d’intervention de la province ciblée serait un atout</w:t>
      </w:r>
      <w:r w:rsidR="00081BED" w:rsidRPr="009D36B0">
        <w:t> ;</w:t>
      </w:r>
    </w:p>
    <w:p w:rsidR="002C38A0" w:rsidRDefault="002C38A0" w:rsidP="00C0164C">
      <w:pPr>
        <w:numPr>
          <w:ilvl w:val="0"/>
          <w:numId w:val="9"/>
        </w:numPr>
        <w:spacing w:line="276" w:lineRule="auto"/>
        <w:jc w:val="both"/>
      </w:pPr>
      <w:r w:rsidRPr="00C0164C">
        <w:t xml:space="preserve">Attester </w:t>
      </w:r>
      <w:r w:rsidR="00064086" w:rsidRPr="00C0164C">
        <w:t>d’</w:t>
      </w:r>
      <w:r w:rsidRPr="00C0164C">
        <w:t>une bonne coopération avec les autorités locales ;</w:t>
      </w:r>
    </w:p>
    <w:p w:rsidR="002C38A0" w:rsidRDefault="002C38A0" w:rsidP="00C0164C">
      <w:pPr>
        <w:numPr>
          <w:ilvl w:val="0"/>
          <w:numId w:val="9"/>
        </w:numPr>
        <w:spacing w:line="276" w:lineRule="auto"/>
        <w:jc w:val="both"/>
      </w:pPr>
      <w:r w:rsidRPr="00C0164C">
        <w:t>Justifier d’une exécution satisfaisante des contrats antérieurs conclus avec des agences bilatérales et</w:t>
      </w:r>
      <w:r w:rsidR="000804D3">
        <w:t>/</w:t>
      </w:r>
      <w:r w:rsidR="000804D3" w:rsidRPr="009D36B0">
        <w:t>ou</w:t>
      </w:r>
      <w:r w:rsidRPr="00C0164C">
        <w:t xml:space="preserve"> multilatérales ;</w:t>
      </w:r>
    </w:p>
    <w:p w:rsidR="0075739D" w:rsidRPr="0075739D" w:rsidRDefault="0075739D" w:rsidP="0075739D">
      <w:pPr>
        <w:numPr>
          <w:ilvl w:val="0"/>
          <w:numId w:val="9"/>
        </w:numPr>
        <w:spacing w:line="276" w:lineRule="auto"/>
        <w:jc w:val="both"/>
        <w:rPr>
          <w:color w:val="000000" w:themeColor="text1"/>
        </w:rPr>
      </w:pPr>
      <w:r w:rsidRPr="004B6AF7">
        <w:rPr>
          <w:color w:val="000000" w:themeColor="text1"/>
        </w:rPr>
        <w:t>Avoir été micro-évalué à travers le système HACT (Approche harmonisée pour le transfert des fonds) des Nations Unies)  est un atout ;</w:t>
      </w:r>
    </w:p>
    <w:p w:rsidR="002C38A0" w:rsidRDefault="002C38A0" w:rsidP="00BF0BF0">
      <w:pPr>
        <w:numPr>
          <w:ilvl w:val="0"/>
          <w:numId w:val="9"/>
        </w:numPr>
        <w:spacing w:line="276" w:lineRule="auto"/>
        <w:jc w:val="both"/>
      </w:pPr>
      <w:r w:rsidRPr="00C0164C">
        <w:t xml:space="preserve">Avoir déjà travaillé avec le PNUD, </w:t>
      </w:r>
      <w:r w:rsidR="00064086" w:rsidRPr="00C0164C">
        <w:t>UNFPA</w:t>
      </w:r>
      <w:r w:rsidRPr="00C0164C">
        <w:t xml:space="preserve"> ou une Agence du système des Nations Unies est un atout.</w:t>
      </w:r>
    </w:p>
    <w:p w:rsidR="00BF0BF0" w:rsidRPr="00C0164C" w:rsidRDefault="00BF0BF0" w:rsidP="00C0164C">
      <w:pPr>
        <w:spacing w:line="276" w:lineRule="auto"/>
        <w:jc w:val="both"/>
      </w:pPr>
    </w:p>
    <w:p w:rsidR="002C38A0" w:rsidRPr="00C0164C" w:rsidRDefault="002C38A0" w:rsidP="00C0164C">
      <w:pPr>
        <w:pStyle w:val="Paragraphedeliste"/>
        <w:widowControl/>
        <w:numPr>
          <w:ilvl w:val="0"/>
          <w:numId w:val="1"/>
        </w:numPr>
        <w:spacing w:line="276" w:lineRule="auto"/>
        <w:jc w:val="both"/>
        <w:rPr>
          <w:b/>
          <w:sz w:val="24"/>
          <w:szCs w:val="24"/>
        </w:rPr>
      </w:pPr>
      <w:r w:rsidRPr="00C0164C">
        <w:rPr>
          <w:b/>
          <w:sz w:val="24"/>
          <w:szCs w:val="24"/>
        </w:rPr>
        <w:t xml:space="preserve">AUTRES DISPOSITIONS </w:t>
      </w:r>
    </w:p>
    <w:p w:rsidR="002C38A0" w:rsidRPr="00C0164C" w:rsidRDefault="002C38A0" w:rsidP="00C0164C">
      <w:pPr>
        <w:spacing w:line="276" w:lineRule="auto"/>
        <w:jc w:val="both"/>
      </w:pPr>
    </w:p>
    <w:p w:rsidR="002C38A0" w:rsidRPr="00C0164C" w:rsidRDefault="002C38A0" w:rsidP="00C0164C">
      <w:pPr>
        <w:spacing w:line="276" w:lineRule="auto"/>
        <w:jc w:val="both"/>
      </w:pPr>
      <w:r w:rsidRPr="00C0164C">
        <w:t>Cet</w:t>
      </w:r>
      <w:r w:rsidR="00797E4B" w:rsidRPr="00C0164C">
        <w:t xml:space="preserve"> appel </w:t>
      </w:r>
      <w:r w:rsidRPr="00C0164C">
        <w:t xml:space="preserve">à </w:t>
      </w:r>
      <w:r w:rsidR="00797E4B" w:rsidRPr="00C0164C">
        <w:t xml:space="preserve">proposition de projets </w:t>
      </w:r>
      <w:r w:rsidRPr="00C0164C">
        <w:t xml:space="preserve">est </w:t>
      </w:r>
      <w:r w:rsidR="00797E4B" w:rsidRPr="00C0164C">
        <w:t>adressé</w:t>
      </w:r>
      <w:r w:rsidRPr="00C0164C">
        <w:t xml:space="preserve"> aux </w:t>
      </w:r>
      <w:r w:rsidR="00AB2050">
        <w:t>réseaux</w:t>
      </w:r>
      <w:r w:rsidR="009D36B0">
        <w:t>/</w:t>
      </w:r>
      <w:r w:rsidR="00064086" w:rsidRPr="00C0164C">
        <w:t>collectifs des femmes</w:t>
      </w:r>
      <w:r w:rsidRPr="00C0164C">
        <w:t>.Sur base de l’objectif et résultats indiqués dans le présent cahier de charge</w:t>
      </w:r>
      <w:r w:rsidR="004B1A15" w:rsidRPr="00C0164C">
        <w:t>s</w:t>
      </w:r>
      <w:r w:rsidRPr="00C0164C">
        <w:t>, les soumissionnaires doivent élaborer leur proposition dans un document de projet conforme au canevas en annexe.</w:t>
      </w:r>
    </w:p>
    <w:p w:rsidR="002C38A0" w:rsidRPr="00C0164C" w:rsidRDefault="002C38A0" w:rsidP="00C0164C">
      <w:pPr>
        <w:spacing w:line="276" w:lineRule="auto"/>
        <w:jc w:val="both"/>
      </w:pPr>
    </w:p>
    <w:p w:rsidR="002C38A0" w:rsidRPr="00C0164C" w:rsidRDefault="002C38A0" w:rsidP="00C0164C">
      <w:pPr>
        <w:spacing w:line="276" w:lineRule="auto"/>
        <w:jc w:val="both"/>
      </w:pPr>
      <w:r w:rsidRPr="00C0164C">
        <w:t>Le dossier à soumettre au PNUD devra comprendre les éléments suivants :</w:t>
      </w:r>
    </w:p>
    <w:p w:rsidR="002C38A0" w:rsidRPr="00C0164C" w:rsidRDefault="002C38A0" w:rsidP="00C0164C">
      <w:pPr>
        <w:spacing w:line="276" w:lineRule="auto"/>
        <w:jc w:val="both"/>
      </w:pPr>
    </w:p>
    <w:p w:rsidR="002C38A0" w:rsidRPr="00C0164C" w:rsidRDefault="002C38A0" w:rsidP="00C0164C">
      <w:pPr>
        <w:numPr>
          <w:ilvl w:val="0"/>
          <w:numId w:val="9"/>
        </w:numPr>
        <w:spacing w:line="276" w:lineRule="auto"/>
        <w:jc w:val="both"/>
      </w:pPr>
      <w:r w:rsidRPr="00C0164C">
        <w:t>Une lettre de transmission</w:t>
      </w:r>
      <w:r w:rsidR="009D36B0">
        <w:t> ;</w:t>
      </w:r>
    </w:p>
    <w:p w:rsidR="004D016F" w:rsidRDefault="002C38A0" w:rsidP="00C0164C">
      <w:pPr>
        <w:numPr>
          <w:ilvl w:val="0"/>
          <w:numId w:val="9"/>
        </w:numPr>
        <w:spacing w:line="276" w:lineRule="auto"/>
        <w:jc w:val="both"/>
      </w:pPr>
      <w:r w:rsidRPr="00C0164C">
        <w:t>Un document de projet répondant au canevas en annexe</w:t>
      </w:r>
      <w:r w:rsidR="009D36B0">
        <w:t> ;</w:t>
      </w:r>
    </w:p>
    <w:p w:rsidR="002C38A0" w:rsidRPr="009D36B0" w:rsidRDefault="004D016F" w:rsidP="00C0164C">
      <w:pPr>
        <w:numPr>
          <w:ilvl w:val="0"/>
          <w:numId w:val="9"/>
        </w:numPr>
        <w:spacing w:line="276" w:lineRule="auto"/>
        <w:jc w:val="both"/>
      </w:pPr>
      <w:r w:rsidRPr="009D36B0">
        <w:t>U</w:t>
      </w:r>
      <w:r w:rsidR="00AB2050" w:rsidRPr="009D36B0">
        <w:t>ne cartographie des associations et ou ONG féminines membres du réseau/collectif des femmes intervenant dans les zones d’intervention du programme</w:t>
      </w:r>
      <w:r w:rsidR="009D36B0">
        <w:t> ;</w:t>
      </w:r>
    </w:p>
    <w:p w:rsidR="002C38A0" w:rsidRPr="00C0164C" w:rsidRDefault="002C38A0" w:rsidP="00C0164C">
      <w:pPr>
        <w:numPr>
          <w:ilvl w:val="0"/>
          <w:numId w:val="9"/>
        </w:numPr>
        <w:spacing w:line="276" w:lineRule="auto"/>
        <w:jc w:val="both"/>
      </w:pPr>
      <w:r w:rsidRPr="00C0164C">
        <w:t xml:space="preserve">Une offre technique et financière </w:t>
      </w:r>
      <w:r w:rsidR="00C0164C" w:rsidRPr="00C0164C">
        <w:t>pour u</w:t>
      </w:r>
      <w:r w:rsidR="009D36B0">
        <w:t>n montant total ;</w:t>
      </w:r>
    </w:p>
    <w:p w:rsidR="002C38A0" w:rsidRPr="009D36B0" w:rsidRDefault="002C38A0" w:rsidP="00C0164C">
      <w:pPr>
        <w:numPr>
          <w:ilvl w:val="0"/>
          <w:numId w:val="9"/>
        </w:numPr>
        <w:spacing w:line="276" w:lineRule="auto"/>
        <w:jc w:val="both"/>
      </w:pPr>
      <w:r w:rsidRPr="009D36B0">
        <w:t>Un document décrivant les expériences antérieures, les projets réalisés et les bailleurs ou partenaires d</w:t>
      </w:r>
      <w:r w:rsidR="00AB2050" w:rsidRPr="009D36B0">
        <w:t xml:space="preserve">u réseau </w:t>
      </w:r>
      <w:r w:rsidR="00064086" w:rsidRPr="009D36B0">
        <w:t xml:space="preserve">/collectif </w:t>
      </w:r>
      <w:r w:rsidRPr="009D36B0">
        <w:t>(un</w:t>
      </w:r>
      <w:r w:rsidR="000804D3" w:rsidRPr="009D36B0">
        <w:t xml:space="preserve"> tableau d’un</w:t>
      </w:r>
      <w:r w:rsidRPr="009D36B0">
        <w:t>e page au maximum)</w:t>
      </w:r>
      <w:r w:rsidR="009D36B0" w:rsidRPr="009D36B0">
        <w:t> ;</w:t>
      </w:r>
    </w:p>
    <w:p w:rsidR="0075739D" w:rsidRDefault="002C38A0" w:rsidP="0075739D">
      <w:pPr>
        <w:numPr>
          <w:ilvl w:val="0"/>
          <w:numId w:val="9"/>
        </w:numPr>
        <w:spacing w:line="276" w:lineRule="auto"/>
        <w:jc w:val="both"/>
      </w:pPr>
      <w:r w:rsidRPr="00C0164C">
        <w:t>Les copies des documents prouvant l’existence légale en RD Congo</w:t>
      </w:r>
      <w:r w:rsidR="009D36B0">
        <w:t> ;</w:t>
      </w:r>
    </w:p>
    <w:p w:rsidR="002C38A0" w:rsidRDefault="002C38A0" w:rsidP="0075739D">
      <w:pPr>
        <w:numPr>
          <w:ilvl w:val="0"/>
          <w:numId w:val="9"/>
        </w:numPr>
        <w:spacing w:line="276" w:lineRule="auto"/>
        <w:jc w:val="both"/>
      </w:pPr>
      <w:r w:rsidRPr="00C0164C">
        <w:t>Trois CV des principaux animateurs d</w:t>
      </w:r>
      <w:r w:rsidR="004D016F">
        <w:t>uréseau</w:t>
      </w:r>
      <w:r w:rsidR="004D016F" w:rsidRPr="00C0164C">
        <w:t xml:space="preserve"> /collectif</w:t>
      </w:r>
      <w:r w:rsidR="009D36B0">
        <w:t> ;</w:t>
      </w:r>
    </w:p>
    <w:p w:rsidR="0075739D" w:rsidRDefault="0075739D" w:rsidP="0075739D">
      <w:pPr>
        <w:numPr>
          <w:ilvl w:val="0"/>
          <w:numId w:val="9"/>
        </w:numPr>
        <w:spacing w:line="276" w:lineRule="auto"/>
        <w:jc w:val="both"/>
      </w:pPr>
      <w:r>
        <w:t>La preuve de l’évaluation HACT (si disponible)</w:t>
      </w:r>
    </w:p>
    <w:p w:rsidR="009D36B0" w:rsidRPr="00C0164C" w:rsidRDefault="009D36B0" w:rsidP="00C0164C">
      <w:pPr>
        <w:spacing w:line="276" w:lineRule="auto"/>
        <w:ind w:left="1065"/>
        <w:jc w:val="both"/>
      </w:pPr>
    </w:p>
    <w:p w:rsidR="002C38A0" w:rsidRPr="00C0164C" w:rsidRDefault="002C38A0" w:rsidP="00C0164C">
      <w:pPr>
        <w:spacing w:line="276" w:lineRule="auto"/>
        <w:jc w:val="both"/>
        <w:rPr>
          <w:b/>
        </w:rPr>
      </w:pPr>
      <w:r w:rsidRPr="00C0164C">
        <w:t xml:space="preserve">Toutes les soumissions devront être transmises </w:t>
      </w:r>
      <w:r w:rsidRPr="00C0164C">
        <w:rPr>
          <w:b/>
        </w:rPr>
        <w:t xml:space="preserve">au plus tard le </w:t>
      </w:r>
      <w:r w:rsidR="00B11993">
        <w:rPr>
          <w:b/>
        </w:rPr>
        <w:t>25</w:t>
      </w:r>
      <w:r w:rsidR="0075739D">
        <w:rPr>
          <w:b/>
        </w:rPr>
        <w:t xml:space="preserve"> Mars </w:t>
      </w:r>
      <w:r w:rsidRPr="00C0164C">
        <w:rPr>
          <w:b/>
        </w:rPr>
        <w:t>201</w:t>
      </w:r>
      <w:r w:rsidR="00064086" w:rsidRPr="00C0164C">
        <w:rPr>
          <w:b/>
        </w:rPr>
        <w:t>9</w:t>
      </w:r>
      <w:r w:rsidRPr="00C0164C">
        <w:t>UNIQUEMENT par mail à l’adresse suivante :</w:t>
      </w:r>
      <w:hyperlink r:id="rId11" w:history="1">
        <w:r w:rsidR="00B11993" w:rsidRPr="00B11993">
          <w:rPr>
            <w:color w:val="0000FF"/>
            <w:sz w:val="26"/>
            <w:szCs w:val="26"/>
            <w:u w:val="single"/>
          </w:rPr>
          <w:t>soumissions.cd@undp.org</w:t>
        </w:r>
      </w:hyperlink>
      <w:r w:rsidRPr="00C0164C">
        <w:t xml:space="preserve">avec mention dans l’objet du mail : </w:t>
      </w:r>
      <w:r w:rsidRPr="00C0164C">
        <w:rPr>
          <w:b/>
        </w:rPr>
        <w:t xml:space="preserve">APPEL </w:t>
      </w:r>
      <w:r w:rsidR="008755A2" w:rsidRPr="00C0164C">
        <w:rPr>
          <w:b/>
          <w:sz w:val="28"/>
          <w:szCs w:val="28"/>
        </w:rPr>
        <w:t xml:space="preserve">A </w:t>
      </w:r>
      <w:r w:rsidR="008755A2" w:rsidRPr="00C0164C">
        <w:rPr>
          <w:b/>
        </w:rPr>
        <w:t>PROPOSITION DE PROJETS </w:t>
      </w:r>
      <w:r w:rsidR="008755A2" w:rsidRPr="00C0164C">
        <w:rPr>
          <w:b/>
          <w:highlight w:val="yellow"/>
        </w:rPr>
        <w:t>N° 001/UNDP/CDP/2018</w:t>
      </w:r>
      <w:r w:rsidR="008755A2" w:rsidRPr="00C0164C">
        <w:rPr>
          <w:b/>
        </w:rPr>
        <w:t>.</w:t>
      </w:r>
    </w:p>
    <w:p w:rsidR="002C38A0" w:rsidRPr="00C0164C" w:rsidRDefault="002C38A0" w:rsidP="00C0164C">
      <w:pPr>
        <w:spacing w:line="276" w:lineRule="auto"/>
        <w:jc w:val="both"/>
      </w:pPr>
    </w:p>
    <w:p w:rsidR="002C38A0" w:rsidRPr="00C0164C" w:rsidRDefault="002C38A0" w:rsidP="00C0164C">
      <w:pPr>
        <w:spacing w:line="276" w:lineRule="auto"/>
        <w:jc w:val="both"/>
      </w:pPr>
      <w:r w:rsidRPr="00C0164C">
        <w:t>Les propositions retenues ainsi que les autres modalités de mise en œuvre peuvent faire l’objet de potentielles révisions et orien</w:t>
      </w:r>
      <w:r w:rsidR="00064086" w:rsidRPr="00C0164C">
        <w:t>tations par les experts du PNUD</w:t>
      </w:r>
      <w:r w:rsidRPr="00C0164C">
        <w:t>. Par ailleurs, il est utile de préciser que le PNUD ne sera tenu à aucun remboursement des frais engagés pendant le montage des dossiers.</w:t>
      </w:r>
    </w:p>
    <w:p w:rsidR="002C38A0" w:rsidRPr="00C0164C" w:rsidRDefault="002C38A0" w:rsidP="00C0164C">
      <w:pPr>
        <w:spacing w:line="276" w:lineRule="auto"/>
        <w:jc w:val="both"/>
      </w:pPr>
    </w:p>
    <w:p w:rsidR="002C38A0" w:rsidRPr="00C0164C" w:rsidRDefault="002C38A0" w:rsidP="00C0164C">
      <w:pPr>
        <w:spacing w:line="276" w:lineRule="auto"/>
        <w:jc w:val="both"/>
        <w:rPr>
          <w:b/>
        </w:rPr>
      </w:pPr>
      <w:r w:rsidRPr="00C0164C">
        <w:rPr>
          <w:b/>
        </w:rPr>
        <w:t xml:space="preserve">ANNEXE : Canevas de projet </w:t>
      </w:r>
    </w:p>
    <w:bookmarkStart w:id="0" w:name="_MON_1613566900"/>
    <w:bookmarkEnd w:id="0"/>
    <w:p w:rsidR="002C38A0" w:rsidRPr="00C0164C" w:rsidRDefault="00691F60" w:rsidP="00C0164C">
      <w:pPr>
        <w:spacing w:line="276" w:lineRule="auto"/>
        <w:jc w:val="both"/>
      </w:pPr>
      <w: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8" ShapeID="_x0000_i1025" DrawAspect="Icon" ObjectID="_1613621895" r:id="rId13">
            <o:FieldCodes>\s</o:FieldCodes>
          </o:OLEObject>
        </w:object>
      </w:r>
    </w:p>
    <w:p w:rsidR="002C38A0" w:rsidRPr="00C0164C" w:rsidRDefault="002C38A0" w:rsidP="00C0164C">
      <w:pPr>
        <w:spacing w:line="276" w:lineRule="auto"/>
        <w:jc w:val="right"/>
      </w:pPr>
    </w:p>
    <w:p w:rsidR="002C38A0" w:rsidRPr="00C0164C" w:rsidRDefault="002C38A0" w:rsidP="00C0164C">
      <w:pPr>
        <w:spacing w:line="276" w:lineRule="auto"/>
        <w:jc w:val="both"/>
      </w:pPr>
      <w:r w:rsidRPr="00C0164C">
        <w:t xml:space="preserve">Kinshasa, le </w:t>
      </w:r>
      <w:r w:rsidR="00B11993">
        <w:t>8 mars</w:t>
      </w:r>
      <w:r w:rsidRPr="00C0164C">
        <w:t xml:space="preserve"> 201</w:t>
      </w:r>
      <w:r w:rsidR="00064086" w:rsidRPr="00C0164C">
        <w:t>9</w:t>
      </w:r>
      <w:r w:rsidRPr="00C0164C">
        <w:t>.</w:t>
      </w:r>
    </w:p>
    <w:p w:rsidR="002C38A0" w:rsidRPr="00C0164C" w:rsidRDefault="002C38A0" w:rsidP="00C0164C">
      <w:pPr>
        <w:spacing w:line="276" w:lineRule="auto"/>
        <w:jc w:val="both"/>
      </w:pPr>
    </w:p>
    <w:p w:rsidR="002C38A0" w:rsidRPr="00C0164C" w:rsidRDefault="002C38A0" w:rsidP="00C0164C">
      <w:pPr>
        <w:spacing w:line="276" w:lineRule="auto"/>
        <w:jc w:val="both"/>
      </w:pPr>
    </w:p>
    <w:p w:rsidR="002C38A0" w:rsidRPr="00C0164C" w:rsidRDefault="002C38A0" w:rsidP="00C0164C">
      <w:pPr>
        <w:spacing w:line="276" w:lineRule="auto"/>
      </w:pPr>
    </w:p>
    <w:p w:rsidR="002C38A0" w:rsidRPr="00C0164C" w:rsidRDefault="002C38A0" w:rsidP="00C0164C">
      <w:pPr>
        <w:spacing w:line="276" w:lineRule="auto"/>
      </w:pPr>
    </w:p>
    <w:p w:rsidR="002C38A0" w:rsidRPr="00C0164C" w:rsidRDefault="002C38A0" w:rsidP="00C0164C">
      <w:pPr>
        <w:spacing w:line="276" w:lineRule="auto"/>
      </w:pPr>
    </w:p>
    <w:p w:rsidR="002C38A0" w:rsidRPr="00C0164C" w:rsidRDefault="002C38A0" w:rsidP="00C0164C">
      <w:pPr>
        <w:spacing w:line="276" w:lineRule="auto"/>
      </w:pPr>
    </w:p>
    <w:p w:rsidR="002C38A0" w:rsidRPr="00C0164C" w:rsidRDefault="002C38A0" w:rsidP="00C0164C">
      <w:pPr>
        <w:spacing w:line="276" w:lineRule="auto"/>
      </w:pPr>
    </w:p>
    <w:p w:rsidR="002C38A0" w:rsidRPr="00C0164C" w:rsidRDefault="002C38A0" w:rsidP="00C0164C">
      <w:pPr>
        <w:spacing w:line="276" w:lineRule="auto"/>
      </w:pPr>
      <w:bookmarkStart w:id="1" w:name="_GoBack"/>
      <w:bookmarkEnd w:id="1"/>
    </w:p>
    <w:p w:rsidR="00677AF8" w:rsidRPr="00C0164C" w:rsidRDefault="00677AF8" w:rsidP="00C0164C">
      <w:pPr>
        <w:spacing w:line="276" w:lineRule="auto"/>
      </w:pPr>
    </w:p>
    <w:p w:rsidR="00D01365" w:rsidRPr="00C0164C" w:rsidRDefault="004450FA" w:rsidP="00C0164C">
      <w:pPr>
        <w:spacing w:line="276" w:lineRule="auto"/>
      </w:pPr>
    </w:p>
    <w:sectPr w:rsidR="00D01365" w:rsidRPr="00C0164C" w:rsidSect="002C38A0">
      <w:pgSz w:w="12240" w:h="15840"/>
      <w:pgMar w:top="245"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0FA" w:rsidRDefault="004450FA" w:rsidP="00677AF8">
      <w:r>
        <w:separator/>
      </w:r>
    </w:p>
  </w:endnote>
  <w:endnote w:type="continuationSeparator" w:id="1">
    <w:p w:rsidR="004450FA" w:rsidRDefault="004450FA" w:rsidP="00677AF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E1" w:rsidRDefault="004450FA">
    <w:pPr>
      <w:pStyle w:val="Pieddepage"/>
      <w:jc w:val="right"/>
    </w:pPr>
  </w:p>
  <w:p w:rsidR="007D49E1" w:rsidRDefault="004450F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E1" w:rsidRDefault="00C74B6C">
    <w:pPr>
      <w:pStyle w:val="Pieddepage"/>
      <w:jc w:val="right"/>
    </w:pPr>
    <w:r>
      <w:fldChar w:fldCharType="begin"/>
    </w:r>
    <w:r w:rsidR="00961B12">
      <w:instrText xml:space="preserve"> PAGE   \* MERGEFORMAT </w:instrText>
    </w:r>
    <w:r>
      <w:fldChar w:fldCharType="separate"/>
    </w:r>
    <w:r w:rsidR="00FA6DF5">
      <w:rPr>
        <w:noProof/>
      </w:rPr>
      <w:t>4</w:t>
    </w:r>
    <w:r>
      <w:rPr>
        <w:noProof/>
      </w:rPr>
      <w:fldChar w:fldCharType="end"/>
    </w:r>
  </w:p>
  <w:p w:rsidR="007D49E1" w:rsidRDefault="004450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0FA" w:rsidRDefault="004450FA" w:rsidP="00677AF8">
      <w:r>
        <w:separator/>
      </w:r>
    </w:p>
  </w:footnote>
  <w:footnote w:type="continuationSeparator" w:id="1">
    <w:p w:rsidR="004450FA" w:rsidRDefault="004450FA" w:rsidP="00677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E1" w:rsidRDefault="004450FA" w:rsidP="007D49E1">
    <w:pPr>
      <w:pStyle w:val="En-tte"/>
      <w:ind w:right="164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588"/>
    <w:multiLevelType w:val="hybridMultilevel"/>
    <w:tmpl w:val="EA0EB99A"/>
    <w:lvl w:ilvl="0" w:tplc="0409000F">
      <w:start w:val="1"/>
      <w:numFmt w:val="decimal"/>
      <w:lvlText w:val="%1."/>
      <w:lvlJc w:val="left"/>
      <w:pPr>
        <w:ind w:left="720" w:hanging="360"/>
      </w:pPr>
      <w:rPr>
        <w:rFonts w:cs="Times New Roman" w:hint="default"/>
      </w:rPr>
    </w:lvl>
    <w:lvl w:ilvl="1" w:tplc="040C0011">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D0244E"/>
    <w:multiLevelType w:val="hybridMultilevel"/>
    <w:tmpl w:val="30D823F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nsid w:val="06F64354"/>
    <w:multiLevelType w:val="hybridMultilevel"/>
    <w:tmpl w:val="C29EDF36"/>
    <w:lvl w:ilvl="0" w:tplc="14CC39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A5238"/>
    <w:multiLevelType w:val="hybridMultilevel"/>
    <w:tmpl w:val="EA0EB99A"/>
    <w:lvl w:ilvl="0" w:tplc="0409000F">
      <w:start w:val="1"/>
      <w:numFmt w:val="decimal"/>
      <w:lvlText w:val="%1."/>
      <w:lvlJc w:val="left"/>
      <w:pPr>
        <w:ind w:left="720" w:hanging="360"/>
      </w:pPr>
      <w:rPr>
        <w:rFonts w:cs="Times New Roman" w:hint="default"/>
      </w:rPr>
    </w:lvl>
    <w:lvl w:ilvl="1" w:tplc="040C0011">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6A7510"/>
    <w:multiLevelType w:val="hybridMultilevel"/>
    <w:tmpl w:val="4A6439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B6B5275"/>
    <w:multiLevelType w:val="hybridMultilevel"/>
    <w:tmpl w:val="0ED41B40"/>
    <w:lvl w:ilvl="0" w:tplc="F0F459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3F5BF3"/>
    <w:multiLevelType w:val="hybridMultilevel"/>
    <w:tmpl w:val="9F4A44B2"/>
    <w:lvl w:ilvl="0" w:tplc="CBAC42E4">
      <w:start w:val="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60A5780B"/>
    <w:multiLevelType w:val="hybridMultilevel"/>
    <w:tmpl w:val="25708FB4"/>
    <w:lvl w:ilvl="0" w:tplc="4028A9B6">
      <w:numFmt w:val="bullet"/>
      <w:lvlText w:val="-"/>
      <w:lvlJc w:val="left"/>
      <w:pPr>
        <w:ind w:left="1065" w:hanging="360"/>
      </w:pPr>
      <w:rPr>
        <w:rFonts w:ascii="Cambria" w:eastAsia="Times New Roman" w:hAnsi="Cambria"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8">
    <w:nsid w:val="612B6E9E"/>
    <w:multiLevelType w:val="hybridMultilevel"/>
    <w:tmpl w:val="07441160"/>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8"/>
  </w:num>
  <w:num w:numId="6">
    <w:abstractNumId w:val="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677AF8"/>
    <w:rsid w:val="00023D26"/>
    <w:rsid w:val="00034B04"/>
    <w:rsid w:val="0004056B"/>
    <w:rsid w:val="00064086"/>
    <w:rsid w:val="000804D3"/>
    <w:rsid w:val="00081BED"/>
    <w:rsid w:val="000A1F75"/>
    <w:rsid w:val="001052CC"/>
    <w:rsid w:val="001179D4"/>
    <w:rsid w:val="00183C16"/>
    <w:rsid w:val="001B4120"/>
    <w:rsid w:val="001B71EE"/>
    <w:rsid w:val="001F0F68"/>
    <w:rsid w:val="00287E53"/>
    <w:rsid w:val="00296F5A"/>
    <w:rsid w:val="002C38A0"/>
    <w:rsid w:val="003422E5"/>
    <w:rsid w:val="003B7A9C"/>
    <w:rsid w:val="003C579A"/>
    <w:rsid w:val="004204D5"/>
    <w:rsid w:val="004450FA"/>
    <w:rsid w:val="00480110"/>
    <w:rsid w:val="004A614A"/>
    <w:rsid w:val="004B16EA"/>
    <w:rsid w:val="004B1A15"/>
    <w:rsid w:val="004C41E8"/>
    <w:rsid w:val="004D016F"/>
    <w:rsid w:val="004D7B4B"/>
    <w:rsid w:val="004F3E96"/>
    <w:rsid w:val="005423C8"/>
    <w:rsid w:val="00560457"/>
    <w:rsid w:val="00585000"/>
    <w:rsid w:val="00587C7E"/>
    <w:rsid w:val="005B0344"/>
    <w:rsid w:val="005B3B7F"/>
    <w:rsid w:val="005D7FE7"/>
    <w:rsid w:val="005F2CBB"/>
    <w:rsid w:val="0065783A"/>
    <w:rsid w:val="00666CC9"/>
    <w:rsid w:val="00677AF8"/>
    <w:rsid w:val="006809FD"/>
    <w:rsid w:val="006855DA"/>
    <w:rsid w:val="00691F60"/>
    <w:rsid w:val="006C44BC"/>
    <w:rsid w:val="0070029F"/>
    <w:rsid w:val="00703052"/>
    <w:rsid w:val="0075739D"/>
    <w:rsid w:val="007632F1"/>
    <w:rsid w:val="00797E4B"/>
    <w:rsid w:val="007D3AC5"/>
    <w:rsid w:val="00830613"/>
    <w:rsid w:val="00841CBD"/>
    <w:rsid w:val="00854718"/>
    <w:rsid w:val="00856A94"/>
    <w:rsid w:val="008755A2"/>
    <w:rsid w:val="008E1F3E"/>
    <w:rsid w:val="00961B12"/>
    <w:rsid w:val="00982BA1"/>
    <w:rsid w:val="009D36B0"/>
    <w:rsid w:val="009F2CCA"/>
    <w:rsid w:val="00A0197A"/>
    <w:rsid w:val="00A30D93"/>
    <w:rsid w:val="00AA2A8C"/>
    <w:rsid w:val="00AA6BCA"/>
    <w:rsid w:val="00AB2050"/>
    <w:rsid w:val="00AC368A"/>
    <w:rsid w:val="00AE2EFB"/>
    <w:rsid w:val="00AF41A4"/>
    <w:rsid w:val="00B11972"/>
    <w:rsid w:val="00B11993"/>
    <w:rsid w:val="00B73BCE"/>
    <w:rsid w:val="00B73E1E"/>
    <w:rsid w:val="00BF0BF0"/>
    <w:rsid w:val="00C0164C"/>
    <w:rsid w:val="00C74B6C"/>
    <w:rsid w:val="00CB5E38"/>
    <w:rsid w:val="00CB719E"/>
    <w:rsid w:val="00CD27E3"/>
    <w:rsid w:val="00CD42C1"/>
    <w:rsid w:val="00CF4446"/>
    <w:rsid w:val="00D666CF"/>
    <w:rsid w:val="00D674C8"/>
    <w:rsid w:val="00D864F1"/>
    <w:rsid w:val="00DC7200"/>
    <w:rsid w:val="00DD2FE4"/>
    <w:rsid w:val="00E309E4"/>
    <w:rsid w:val="00E5609F"/>
    <w:rsid w:val="00EB3333"/>
    <w:rsid w:val="00F06C8D"/>
    <w:rsid w:val="00F3249F"/>
    <w:rsid w:val="00F53FFA"/>
    <w:rsid w:val="00FA1D41"/>
    <w:rsid w:val="00FA6DF5"/>
    <w:rsid w:val="00FF4A6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F8"/>
    <w:pPr>
      <w:spacing w:after="0" w:line="240" w:lineRule="auto"/>
    </w:pPr>
    <w:rPr>
      <w:rFonts w:ascii="Times New Roman" w:eastAsia="Times New Roman" w:hAnsi="Times New Roman"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677AF8"/>
    <w:pPr>
      <w:spacing w:before="100" w:beforeAutospacing="1" w:after="100" w:afterAutospacing="1"/>
    </w:pPr>
    <w:rPr>
      <w:lang w:val="en-US"/>
    </w:rPr>
  </w:style>
  <w:style w:type="paragraph" w:styleId="En-tte">
    <w:name w:val="header"/>
    <w:aliases w:val=" Car"/>
    <w:basedOn w:val="Normal"/>
    <w:link w:val="En-tteCar"/>
    <w:uiPriority w:val="99"/>
    <w:rsid w:val="00677AF8"/>
    <w:pPr>
      <w:tabs>
        <w:tab w:val="center" w:pos="4536"/>
        <w:tab w:val="right" w:pos="9072"/>
      </w:tabs>
    </w:pPr>
    <w:rPr>
      <w:lang w:val="en-US"/>
    </w:rPr>
  </w:style>
  <w:style w:type="character" w:customStyle="1" w:styleId="En-tteCar">
    <w:name w:val="En-tête Car"/>
    <w:aliases w:val=" Car Car"/>
    <w:basedOn w:val="Policepardfaut"/>
    <w:link w:val="En-tte"/>
    <w:uiPriority w:val="99"/>
    <w:rsid w:val="00677AF8"/>
    <w:rPr>
      <w:rFonts w:ascii="Times New Roman" w:eastAsia="Times New Roman" w:hAnsi="Times New Roman" w:cs="Times New Roman"/>
      <w:sz w:val="24"/>
      <w:szCs w:val="24"/>
    </w:rPr>
  </w:style>
  <w:style w:type="paragraph" w:styleId="Paragraphedeliste">
    <w:name w:val="List Paragraph"/>
    <w:basedOn w:val="Normal"/>
    <w:link w:val="ParagraphedelisteCar"/>
    <w:uiPriority w:val="34"/>
    <w:qFormat/>
    <w:rsid w:val="00677AF8"/>
    <w:pPr>
      <w:widowControl w:val="0"/>
      <w:ind w:left="720"/>
      <w:contextualSpacing/>
    </w:pPr>
    <w:rPr>
      <w:sz w:val="20"/>
      <w:szCs w:val="20"/>
      <w:lang w:eastAsia="fr-FR"/>
    </w:rPr>
  </w:style>
  <w:style w:type="paragraph" w:styleId="Pieddepage">
    <w:name w:val="footer"/>
    <w:basedOn w:val="Normal"/>
    <w:link w:val="PieddepageCar"/>
    <w:uiPriority w:val="99"/>
    <w:unhideWhenUsed/>
    <w:rsid w:val="00677AF8"/>
    <w:pPr>
      <w:tabs>
        <w:tab w:val="center" w:pos="4536"/>
        <w:tab w:val="right" w:pos="9072"/>
      </w:tabs>
    </w:pPr>
  </w:style>
  <w:style w:type="character" w:customStyle="1" w:styleId="PieddepageCar">
    <w:name w:val="Pied de page Car"/>
    <w:basedOn w:val="Policepardfaut"/>
    <w:link w:val="Pieddepage"/>
    <w:uiPriority w:val="99"/>
    <w:rsid w:val="00677AF8"/>
    <w:rPr>
      <w:rFonts w:ascii="Times New Roman" w:eastAsia="Times New Roman" w:hAnsi="Times New Roman" w:cs="Times New Roman"/>
      <w:sz w:val="24"/>
      <w:szCs w:val="24"/>
      <w:lang w:val="fr-FR"/>
    </w:rPr>
  </w:style>
  <w:style w:type="table" w:styleId="Grilledutableau">
    <w:name w:val="Table Grid"/>
    <w:basedOn w:val="TableauNormal"/>
    <w:uiPriority w:val="59"/>
    <w:rsid w:val="00677AF8"/>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notedebasdep">
    <w:name w:val="footnote reference"/>
    <w:aliases w:val="ftref,16 Point,Superscript 6 Point,Car Car Char Car Char Car Car Char Car Char Char,Car Car Car Car Car Car Car Car Char Car Car Char Car Car Car Char Car Char Char Char,SUPERS,Ref,de nota al pie,BVI fnr,Footnote Reference Number"/>
    <w:link w:val="BVIfnrCharCarChar"/>
    <w:rsid w:val="00677AF8"/>
    <w:rPr>
      <w:rFonts w:ascii="Arial" w:hAnsi="Arial"/>
      <w:sz w:val="18"/>
      <w:vertAlign w:val="superscript"/>
    </w:rPr>
  </w:style>
  <w:style w:type="paragraph" w:customStyle="1" w:styleId="BVIfnrCharCarChar">
    <w:name w:val="BVI fnr Char Car Char"/>
    <w:aliases w:val="BVI fnr Zchn Char Car Char Car Char Car Char, BVI fnr Car Car Zchn Zchn Char Char Car Car Char Char Car Car Char Char Char Char Car Char, BVI fnr Car Char Car Char,BVI fnr Car Char Car Char"/>
    <w:basedOn w:val="Normal"/>
    <w:link w:val="Appelnotedebasdep"/>
    <w:rsid w:val="00677AF8"/>
    <w:pPr>
      <w:spacing w:after="160" w:line="240" w:lineRule="exact"/>
      <w:jc w:val="both"/>
    </w:pPr>
    <w:rPr>
      <w:rFonts w:ascii="Arial" w:eastAsiaTheme="minorHAnsi" w:hAnsi="Arial" w:cstheme="minorBidi"/>
      <w:sz w:val="18"/>
      <w:szCs w:val="22"/>
      <w:vertAlign w:val="superscript"/>
      <w:lang w:val="en-US"/>
    </w:rPr>
  </w:style>
  <w:style w:type="character" w:customStyle="1" w:styleId="ParagraphedelisteCar">
    <w:name w:val="Paragraphe de liste Car"/>
    <w:link w:val="Paragraphedeliste"/>
    <w:uiPriority w:val="34"/>
    <w:rsid w:val="00B73E1E"/>
    <w:rPr>
      <w:rFonts w:ascii="Times New Roman" w:eastAsia="Times New Roman" w:hAnsi="Times New Roman" w:cs="Times New Roman"/>
      <w:sz w:val="20"/>
      <w:szCs w:val="20"/>
      <w:lang w:val="fr-FR" w:eastAsia="fr-FR"/>
    </w:rPr>
  </w:style>
  <w:style w:type="character" w:styleId="Lienhypertexte">
    <w:name w:val="Hyperlink"/>
    <w:basedOn w:val="Policepardfaut"/>
    <w:uiPriority w:val="99"/>
    <w:unhideWhenUsed/>
    <w:rsid w:val="002C38A0"/>
    <w:rPr>
      <w:color w:val="0563C1" w:themeColor="hyperlink"/>
      <w:u w:val="single"/>
    </w:rPr>
  </w:style>
  <w:style w:type="paragraph" w:styleId="Textedebulles">
    <w:name w:val="Balloon Text"/>
    <w:basedOn w:val="Normal"/>
    <w:link w:val="TextedebullesCar"/>
    <w:uiPriority w:val="99"/>
    <w:semiHidden/>
    <w:unhideWhenUsed/>
    <w:rsid w:val="005B03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0344"/>
    <w:rPr>
      <w:rFonts w:ascii="Segoe UI" w:eastAsia="Times New Roman" w:hAnsi="Segoe UI" w:cs="Segoe UI"/>
      <w:sz w:val="18"/>
      <w:szCs w:val="18"/>
      <w:lang w:val="fr-FR"/>
    </w:rPr>
  </w:style>
  <w:style w:type="character" w:styleId="Marquedecommentaire">
    <w:name w:val="annotation reference"/>
    <w:basedOn w:val="Policepardfaut"/>
    <w:uiPriority w:val="99"/>
    <w:semiHidden/>
    <w:unhideWhenUsed/>
    <w:rsid w:val="004B1A15"/>
    <w:rPr>
      <w:sz w:val="16"/>
      <w:szCs w:val="16"/>
    </w:rPr>
  </w:style>
  <w:style w:type="paragraph" w:styleId="Commentaire">
    <w:name w:val="annotation text"/>
    <w:basedOn w:val="Normal"/>
    <w:link w:val="CommentaireCar"/>
    <w:uiPriority w:val="99"/>
    <w:semiHidden/>
    <w:unhideWhenUsed/>
    <w:rsid w:val="004B1A15"/>
    <w:rPr>
      <w:sz w:val="20"/>
      <w:szCs w:val="20"/>
    </w:rPr>
  </w:style>
  <w:style w:type="character" w:customStyle="1" w:styleId="CommentaireCar">
    <w:name w:val="Commentaire Car"/>
    <w:basedOn w:val="Policepardfaut"/>
    <w:link w:val="Commentaire"/>
    <w:uiPriority w:val="99"/>
    <w:semiHidden/>
    <w:rsid w:val="004B1A15"/>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4B1A15"/>
    <w:rPr>
      <w:b/>
      <w:bCs/>
    </w:rPr>
  </w:style>
  <w:style w:type="character" w:customStyle="1" w:styleId="ObjetducommentaireCar">
    <w:name w:val="Objet du commentaire Car"/>
    <w:basedOn w:val="CommentaireCar"/>
    <w:link w:val="Objetducommentaire"/>
    <w:uiPriority w:val="99"/>
    <w:semiHidden/>
    <w:rsid w:val="004B1A15"/>
    <w:rPr>
      <w:rFonts w:ascii="Times New Roman" w:eastAsia="Times New Roman" w:hAnsi="Times New Roman" w:cs="Times New Roman"/>
      <w:b/>
      <w:bCs/>
      <w:sz w:val="20"/>
      <w:szCs w:val="20"/>
      <w:lang w:val="fr-FR"/>
    </w:rPr>
  </w:style>
  <w:style w:type="paragraph" w:styleId="Notedebasdepage">
    <w:name w:val="footnote text"/>
    <w:basedOn w:val="Normal"/>
    <w:link w:val="NotedebasdepageCar"/>
    <w:uiPriority w:val="99"/>
    <w:rsid w:val="0070029F"/>
    <w:pPr>
      <w:widowControl w:val="0"/>
      <w:spacing w:after="60"/>
      <w:jc w:val="both"/>
    </w:pPr>
    <w:rPr>
      <w:rFonts w:ascii="Courier" w:hAnsi="Courier"/>
      <w:sz w:val="22"/>
      <w:szCs w:val="20"/>
      <w:lang w:val="en-US"/>
    </w:rPr>
  </w:style>
  <w:style w:type="character" w:customStyle="1" w:styleId="NotedebasdepageCar">
    <w:name w:val="Note de bas de page Car"/>
    <w:basedOn w:val="Policepardfaut"/>
    <w:link w:val="Notedebasdepage"/>
    <w:uiPriority w:val="99"/>
    <w:rsid w:val="0070029F"/>
    <w:rPr>
      <w:rFonts w:ascii="Courier" w:eastAsia="Times New Roman" w:hAnsi="Courier" w:cs="Times New Roman"/>
      <w:szCs w:val="20"/>
    </w:rPr>
  </w:style>
  <w:style w:type="character" w:customStyle="1" w:styleId="UnresolvedMention">
    <w:name w:val="Unresolved Mention"/>
    <w:basedOn w:val="Policepardfaut"/>
    <w:uiPriority w:val="99"/>
    <w:semiHidden/>
    <w:unhideWhenUsed/>
    <w:rsid w:val="00B1199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Document_Microsoft_Office_Word_97_-_20031.doc"/><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umissions.cd@und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10009</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Kabangu</dc:creator>
  <cp:lastModifiedBy>lp dell</cp:lastModifiedBy>
  <cp:revision>2</cp:revision>
  <dcterms:created xsi:type="dcterms:W3CDTF">2019-03-09T06:32:00Z</dcterms:created>
  <dcterms:modified xsi:type="dcterms:W3CDTF">2019-03-09T06:32:00Z</dcterms:modified>
</cp:coreProperties>
</file>