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825BBE" w:rsidRDefault="00D56C11" w:rsidP="00D56C11">
      <w:pPr>
        <w:tabs>
          <w:tab w:val="left" w:pos="1410"/>
        </w:tabs>
        <w:spacing w:after="0" w:line="240" w:lineRule="auto"/>
        <w:jc w:val="center"/>
        <w:rPr>
          <w:rFonts w:cstheme="minorHAnsi"/>
          <w:b/>
          <w:sz w:val="32"/>
          <w:szCs w:val="32"/>
          <w:lang w:val="fr-FR"/>
        </w:rPr>
      </w:pPr>
      <w:r w:rsidRPr="00825BBE">
        <w:rPr>
          <w:rFonts w:cstheme="minorHAnsi"/>
          <w:b/>
          <w:sz w:val="32"/>
          <w:szCs w:val="32"/>
          <w:lang w:val="fr-FR"/>
        </w:rPr>
        <w:t>NOTICE DE SELECTION</w:t>
      </w:r>
    </w:p>
    <w:p w:rsidR="0037636E" w:rsidRPr="00825BBE" w:rsidRDefault="0037636E" w:rsidP="0037636E">
      <w:pPr>
        <w:tabs>
          <w:tab w:val="left" w:pos="1410"/>
        </w:tabs>
        <w:spacing w:after="0" w:line="240" w:lineRule="auto"/>
        <w:jc w:val="center"/>
        <w:rPr>
          <w:rFonts w:cstheme="minorHAnsi"/>
          <w:color w:val="0070C0"/>
          <w:u w:color="0070C0"/>
          <w:lang w:val="fr-FR"/>
        </w:rPr>
      </w:pPr>
    </w:p>
    <w:p w:rsidR="0037636E" w:rsidRPr="00825BBE" w:rsidRDefault="004B3FB1" w:rsidP="0037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548DD4" w:themeColor="text2" w:themeTint="99"/>
          <w:lang w:val="fr-FR" w:eastAsia="fr-FR"/>
        </w:rPr>
      </w:pPr>
      <w:r w:rsidRPr="00825BBE">
        <w:rPr>
          <w:rFonts w:eastAsia="Times New Roman" w:cstheme="minorHAnsi"/>
          <w:b/>
          <w:color w:val="548DD4" w:themeColor="text2" w:themeTint="99"/>
          <w:lang w:val="fr-FR" w:eastAsia="fr-FR"/>
        </w:rPr>
        <w:t>Un (e)</w:t>
      </w:r>
      <w:r w:rsidR="0037636E" w:rsidRPr="00825BBE">
        <w:rPr>
          <w:rFonts w:eastAsia="Times New Roman" w:cstheme="minorHAnsi"/>
          <w:b/>
          <w:color w:val="548DD4" w:themeColor="text2" w:themeTint="99"/>
          <w:lang w:val="fr-FR" w:eastAsia="fr-FR"/>
        </w:rPr>
        <w:t xml:space="preserve"> Consultant(e) pour l’évaluation institutionnelle des entraves et des besoins des capacités pour l’intégration des changements climatiques dans </w:t>
      </w:r>
      <w:r w:rsidR="00941A93">
        <w:rPr>
          <w:rFonts w:eastAsia="Times New Roman" w:cstheme="minorHAnsi"/>
          <w:b/>
          <w:color w:val="548DD4" w:themeColor="text2" w:themeTint="99"/>
          <w:lang w:val="fr-FR" w:eastAsia="fr-FR"/>
        </w:rPr>
        <w:t>deux</w:t>
      </w:r>
      <w:r w:rsidR="00C8317D">
        <w:rPr>
          <w:rFonts w:eastAsia="Times New Roman" w:cstheme="minorHAnsi"/>
          <w:b/>
          <w:color w:val="548DD4" w:themeColor="text2" w:themeTint="99"/>
          <w:lang w:val="fr-FR" w:eastAsia="fr-FR"/>
        </w:rPr>
        <w:t xml:space="preserve"> </w:t>
      </w:r>
      <w:r w:rsidR="0037636E" w:rsidRPr="00825BBE">
        <w:rPr>
          <w:rFonts w:eastAsia="Times New Roman" w:cstheme="minorHAnsi"/>
          <w:b/>
          <w:color w:val="548DD4" w:themeColor="text2" w:themeTint="99"/>
          <w:lang w:val="fr-FR" w:eastAsia="fr-FR"/>
        </w:rPr>
        <w:t>provinces pilotes (</w:t>
      </w:r>
      <w:r w:rsidR="00D90DA0" w:rsidRPr="00825BBE">
        <w:rPr>
          <w:rFonts w:eastAsia="Times New Roman" w:cstheme="minorHAnsi"/>
          <w:b/>
          <w:color w:val="548DD4" w:themeColor="text2" w:themeTint="99"/>
          <w:lang w:val="fr-FR" w:eastAsia="fr-FR"/>
        </w:rPr>
        <w:t>Tshopo et Haut-Katanga)</w:t>
      </w:r>
    </w:p>
    <w:p w:rsidR="00D56C11" w:rsidRPr="00825BBE" w:rsidRDefault="00D56C11" w:rsidP="00C07F93">
      <w:pPr>
        <w:pStyle w:val="Corps"/>
        <w:spacing w:after="0" w:line="240" w:lineRule="auto"/>
        <w:jc w:val="center"/>
        <w:rPr>
          <w:rFonts w:asciiTheme="minorHAnsi" w:eastAsiaTheme="minorHAnsi" w:hAnsiTheme="minorHAnsi" w:cstheme="minorHAnsi"/>
          <w:color w:val="0070C0"/>
          <w:u w:color="0070C0"/>
          <w:bdr w:val="none" w:sz="0" w:space="0" w:color="auto"/>
        </w:rPr>
      </w:pPr>
    </w:p>
    <w:p w:rsidR="00D56C11" w:rsidRPr="00825BBE" w:rsidRDefault="00D56C11" w:rsidP="00D56C11">
      <w:pPr>
        <w:spacing w:after="0" w:line="240" w:lineRule="auto"/>
        <w:jc w:val="center"/>
        <w:rPr>
          <w:rFonts w:eastAsia="Times New Roman" w:cstheme="minorHAnsi"/>
          <w:b/>
          <w:sz w:val="24"/>
          <w:szCs w:val="24"/>
          <w:lang w:val="fr-FR" w:eastAsia="fr-FR"/>
        </w:rPr>
      </w:pPr>
      <w:r w:rsidRPr="00825BBE">
        <w:rPr>
          <w:rFonts w:eastAsia="Times New Roman" w:cstheme="minorHAnsi"/>
          <w:b/>
          <w:sz w:val="24"/>
          <w:szCs w:val="24"/>
          <w:lang w:val="fr-FR" w:eastAsia="rw-RW"/>
        </w:rPr>
        <w:t xml:space="preserve">Référence du dossier : </w:t>
      </w:r>
      <w:bookmarkStart w:id="0" w:name="_Hlk951126"/>
      <w:r w:rsidRPr="00825BBE">
        <w:rPr>
          <w:rFonts w:eastAsia="Times New Roman" w:cstheme="minorHAnsi"/>
          <w:b/>
          <w:sz w:val="24"/>
          <w:szCs w:val="24"/>
          <w:lang w:val="fr-FR" w:eastAsia="fr-FR"/>
        </w:rPr>
        <w:t>0</w:t>
      </w:r>
      <w:r w:rsidR="00714BE9" w:rsidRPr="00825BBE">
        <w:rPr>
          <w:rFonts w:eastAsia="Times New Roman" w:cstheme="minorHAnsi"/>
          <w:b/>
          <w:sz w:val="24"/>
          <w:szCs w:val="24"/>
          <w:lang w:val="fr-FR" w:eastAsia="fr-FR"/>
        </w:rPr>
        <w:t>1</w:t>
      </w:r>
      <w:r w:rsidR="009A4AC3" w:rsidRPr="00825BBE">
        <w:rPr>
          <w:rFonts w:eastAsia="Times New Roman" w:cstheme="minorHAnsi"/>
          <w:b/>
          <w:sz w:val="24"/>
          <w:szCs w:val="24"/>
          <w:lang w:val="fr-FR" w:eastAsia="fr-FR"/>
        </w:rPr>
        <w:t>8</w:t>
      </w:r>
      <w:r w:rsidRPr="00825BBE">
        <w:rPr>
          <w:rFonts w:eastAsia="Times New Roman" w:cstheme="minorHAnsi"/>
          <w:b/>
          <w:sz w:val="24"/>
          <w:szCs w:val="24"/>
          <w:lang w:val="fr-FR" w:eastAsia="fr-FR"/>
        </w:rPr>
        <w:t>/IC-NATIONAL/</w:t>
      </w:r>
      <w:r w:rsidR="008B4655" w:rsidRPr="00825BBE">
        <w:rPr>
          <w:rFonts w:eastAsia="Times New Roman" w:cstheme="minorHAnsi"/>
          <w:b/>
          <w:sz w:val="24"/>
          <w:szCs w:val="24"/>
          <w:lang w:val="fr-FR" w:eastAsia="fr-FR"/>
        </w:rPr>
        <w:t>PNA</w:t>
      </w:r>
      <w:r w:rsidRPr="00825BBE">
        <w:rPr>
          <w:rFonts w:eastAsia="Times New Roman" w:cstheme="minorHAnsi"/>
          <w:b/>
          <w:sz w:val="24"/>
          <w:szCs w:val="24"/>
          <w:lang w:val="fr-FR" w:eastAsia="fr-FR"/>
        </w:rPr>
        <w:t>/2019</w:t>
      </w:r>
      <w:bookmarkEnd w:id="0"/>
    </w:p>
    <w:p w:rsidR="00167362" w:rsidRPr="00825BBE" w:rsidRDefault="00167362" w:rsidP="00D56C11">
      <w:pPr>
        <w:spacing w:after="0" w:line="240" w:lineRule="auto"/>
        <w:jc w:val="center"/>
        <w:rPr>
          <w:rFonts w:eastAsia="Times New Roman" w:cstheme="minorHAnsi"/>
          <w:b/>
          <w:sz w:val="24"/>
          <w:szCs w:val="24"/>
          <w:lang w:val="fr-FR" w:eastAsia="fr-FR"/>
        </w:rPr>
      </w:pPr>
    </w:p>
    <w:p w:rsidR="00D56C11" w:rsidRPr="00825BBE" w:rsidRDefault="00D56C11" w:rsidP="00D56C11">
      <w:pPr>
        <w:spacing w:after="0" w:line="240" w:lineRule="auto"/>
        <w:jc w:val="right"/>
        <w:rPr>
          <w:rFonts w:eastAsia="Times New Roman" w:cstheme="minorHAnsi"/>
          <w:b/>
          <w:sz w:val="20"/>
          <w:szCs w:val="20"/>
          <w:lang w:val="fr-FR" w:eastAsia="fr-FR"/>
        </w:rPr>
      </w:pPr>
      <w:r w:rsidRPr="00825BBE">
        <w:rPr>
          <w:rFonts w:eastAsia="Times New Roman" w:cstheme="minorHAnsi"/>
          <w:sz w:val="20"/>
          <w:szCs w:val="20"/>
          <w:lang w:val="fr-FR" w:eastAsia="rw-RW"/>
        </w:rPr>
        <w:t xml:space="preserve">Date : </w:t>
      </w:r>
      <w:r w:rsidR="008B4655" w:rsidRPr="00825BBE">
        <w:rPr>
          <w:rFonts w:eastAsia="Times New Roman" w:cstheme="minorHAnsi"/>
          <w:sz w:val="20"/>
          <w:szCs w:val="20"/>
          <w:lang w:val="fr-FR" w:eastAsia="rw-RW"/>
        </w:rPr>
        <w:t>0</w:t>
      </w:r>
      <w:r w:rsidR="00B25308">
        <w:rPr>
          <w:rFonts w:eastAsia="Times New Roman" w:cstheme="minorHAnsi"/>
          <w:sz w:val="20"/>
          <w:szCs w:val="20"/>
          <w:lang w:val="fr-FR" w:eastAsia="rw-RW"/>
        </w:rPr>
        <w:t>5</w:t>
      </w:r>
      <w:r w:rsidRPr="00825BBE">
        <w:rPr>
          <w:rFonts w:eastAsia="Times New Roman" w:cstheme="minorHAnsi"/>
          <w:sz w:val="20"/>
          <w:szCs w:val="20"/>
          <w:lang w:val="fr-FR" w:eastAsia="rw-RW"/>
        </w:rPr>
        <w:t>/0</w:t>
      </w:r>
      <w:r w:rsidR="008B4655" w:rsidRPr="00825BBE">
        <w:rPr>
          <w:rFonts w:eastAsia="Times New Roman" w:cstheme="minorHAnsi"/>
          <w:sz w:val="20"/>
          <w:szCs w:val="20"/>
          <w:lang w:val="fr-FR" w:eastAsia="rw-RW"/>
        </w:rPr>
        <w:t>4</w:t>
      </w:r>
      <w:r w:rsidRPr="00825BBE">
        <w:rPr>
          <w:rFonts w:eastAsia="Times New Roman" w:cstheme="minorHAnsi"/>
          <w:sz w:val="20"/>
          <w:szCs w:val="20"/>
          <w:lang w:val="fr-FR" w:eastAsia="rw-RW"/>
        </w:rPr>
        <w:t>/2019</w:t>
      </w:r>
    </w:p>
    <w:p w:rsidR="00892EA0" w:rsidRPr="00825BBE" w:rsidRDefault="0061689A" w:rsidP="0065710B">
      <w:pPr>
        <w:tabs>
          <w:tab w:val="left" w:pos="1410"/>
        </w:tabs>
        <w:rPr>
          <w:rFonts w:cstheme="minorHAnsi"/>
          <w:b/>
          <w:sz w:val="20"/>
          <w:szCs w:val="20"/>
          <w:lang w:val="fr-FR"/>
        </w:rPr>
      </w:pPr>
      <w:r w:rsidRPr="0061689A">
        <w:rPr>
          <w:rFonts w:cstheme="minorHAnsi"/>
          <w:b/>
          <w:noProof/>
          <w:sz w:val="20"/>
          <w:szCs w:val="20"/>
        </w:rPr>
        <w:pict>
          <v:shapetype id="_x0000_t32" coordsize="21600,21600" o:spt="32" o:oned="t" path="m,l21600,21600e" filled="f">
            <v:path arrowok="t" fillok="f" o:connecttype="none"/>
            <o:lock v:ext="edit" shapetype="t"/>
          </v:shapetype>
          <v:shape id="AutoShape 3" o:spid="_x0000_s1026" type="#_x0000_t32" style="position:absolute;margin-left:-6.15pt;margin-top:3.2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" strokecolor="blue" strokeweight="4.5pt"/>
        </w:pict>
      </w:r>
    </w:p>
    <w:p w:rsidR="00941A93" w:rsidRPr="00825BBE" w:rsidRDefault="009630B9" w:rsidP="00941A93">
      <w:pPr>
        <w:tabs>
          <w:tab w:val="left" w:pos="2160"/>
        </w:tabs>
        <w:spacing w:after="0" w:line="240" w:lineRule="auto"/>
        <w:ind w:left="2160" w:hanging="2160"/>
        <w:rPr>
          <w:rFonts w:eastAsia="Times New Roman" w:cstheme="minorHAnsi"/>
          <w:lang w:val="fr-FR"/>
        </w:rPr>
      </w:pPr>
      <w:r w:rsidRPr="00825BBE">
        <w:rPr>
          <w:rFonts w:cstheme="minorHAnsi"/>
          <w:b/>
          <w:sz w:val="20"/>
          <w:szCs w:val="20"/>
          <w:lang w:val="fr-FR"/>
        </w:rPr>
        <w:t>Pays :</w:t>
      </w:r>
      <w:r w:rsidR="00C02DC8" w:rsidRPr="00825BBE">
        <w:rPr>
          <w:rFonts w:cstheme="minorHAnsi"/>
          <w:b/>
          <w:sz w:val="20"/>
          <w:szCs w:val="20"/>
          <w:lang w:val="fr-FR"/>
        </w:rPr>
        <w:tab/>
      </w:r>
      <w:r w:rsidR="00B25308">
        <w:rPr>
          <w:rFonts w:cstheme="minorHAnsi"/>
          <w:b/>
          <w:sz w:val="20"/>
          <w:szCs w:val="20"/>
          <w:lang w:val="fr-FR"/>
        </w:rPr>
        <w:t xml:space="preserve">: </w:t>
      </w:r>
      <w:r w:rsidR="00E75675" w:rsidRPr="00825BBE">
        <w:rPr>
          <w:rFonts w:cstheme="minorHAnsi"/>
          <w:sz w:val="20"/>
          <w:szCs w:val="20"/>
          <w:lang w:val="fr-FR"/>
        </w:rPr>
        <w:t>République Démocratique du Congo</w:t>
      </w:r>
      <w:r w:rsidR="00CF54CB">
        <w:rPr>
          <w:rFonts w:cstheme="minorHAnsi"/>
          <w:sz w:val="20"/>
          <w:szCs w:val="20"/>
          <w:lang w:val="fr-FR"/>
        </w:rPr>
        <w:t> :</w:t>
      </w:r>
      <w:r w:rsidR="00941A93" w:rsidRPr="00825BBE">
        <w:rPr>
          <w:rFonts w:cstheme="minorHAnsi"/>
          <w:b/>
          <w:bCs/>
          <w:sz w:val="20"/>
          <w:szCs w:val="20"/>
          <w:lang w:val="fr-FR"/>
        </w:rPr>
        <w:t>Tshopo et Haut-Katanga</w:t>
      </w:r>
    </w:p>
    <w:p w:rsidR="00941A93" w:rsidRPr="00825BBE" w:rsidRDefault="00941A93" w:rsidP="00941A93">
      <w:pPr>
        <w:pStyle w:val="Corps"/>
        <w:tabs>
          <w:tab w:val="left" w:pos="1410"/>
        </w:tabs>
        <w:spacing w:after="0" w:line="240" w:lineRule="auto"/>
        <w:ind w:left="3600" w:hanging="3600"/>
        <w:jc w:val="both"/>
        <w:rPr>
          <w:rFonts w:asciiTheme="minorHAnsi" w:hAnsiTheme="minorHAnsi" w:cstheme="minorHAnsi"/>
          <w:sz w:val="20"/>
          <w:szCs w:val="20"/>
        </w:rPr>
      </w:pPr>
    </w:p>
    <w:p w:rsidR="0065710B" w:rsidRPr="00825BBE" w:rsidRDefault="0065710B" w:rsidP="0065710B">
      <w:pPr>
        <w:tabs>
          <w:tab w:val="left" w:pos="1410"/>
        </w:tabs>
        <w:rPr>
          <w:rFonts w:cstheme="minorHAnsi"/>
          <w:sz w:val="20"/>
          <w:szCs w:val="20"/>
          <w:lang w:val="fr-FR"/>
        </w:rPr>
      </w:pPr>
    </w:p>
    <w:p w:rsidR="005E7226" w:rsidRPr="00825BBE" w:rsidRDefault="009630B9" w:rsidP="005E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r w:rsidRPr="00825BBE">
        <w:rPr>
          <w:rFonts w:cstheme="minorHAnsi"/>
          <w:b/>
          <w:sz w:val="20"/>
          <w:szCs w:val="20"/>
          <w:lang w:val="fr-FR"/>
        </w:rPr>
        <w:t xml:space="preserve">Description de la mission </w:t>
      </w:r>
      <w:r w:rsidR="0065710B" w:rsidRPr="00825BBE">
        <w:rPr>
          <w:rFonts w:cstheme="minorHAnsi"/>
          <w:b/>
          <w:sz w:val="20"/>
          <w:szCs w:val="20"/>
          <w:lang w:val="fr-FR"/>
        </w:rPr>
        <w:t>:</w:t>
      </w:r>
      <w:r w:rsidR="004B3FB1" w:rsidRPr="00825BBE">
        <w:rPr>
          <w:rFonts w:cstheme="minorHAnsi"/>
          <w:b/>
          <w:sz w:val="20"/>
          <w:szCs w:val="20"/>
          <w:lang w:val="fr-FR"/>
        </w:rPr>
        <w:t>Un (e)</w:t>
      </w:r>
      <w:r w:rsidR="005E7226" w:rsidRPr="00825BBE">
        <w:rPr>
          <w:rFonts w:eastAsia="Times New Roman" w:cstheme="minorHAnsi"/>
          <w:b/>
          <w:lang w:val="fr-FR" w:eastAsia="fr-FR"/>
        </w:rPr>
        <w:t xml:space="preserve"> Consultant(e) pour l’évaluation institutionnelle des entraves et des </w:t>
      </w:r>
    </w:p>
    <w:p w:rsidR="005E7226" w:rsidRPr="00825BBE" w:rsidRDefault="005E7226" w:rsidP="005E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r w:rsidRPr="00825BBE">
        <w:rPr>
          <w:rFonts w:eastAsia="Times New Roman" w:cstheme="minorHAnsi"/>
          <w:b/>
          <w:lang w:val="fr-FR" w:eastAsia="fr-FR"/>
        </w:rPr>
        <w:tab/>
      </w:r>
      <w:r w:rsidRPr="00825BBE">
        <w:rPr>
          <w:rFonts w:eastAsia="Times New Roman" w:cstheme="minorHAnsi"/>
          <w:b/>
          <w:lang w:val="fr-FR" w:eastAsia="fr-FR"/>
        </w:rPr>
        <w:tab/>
        <w:t xml:space="preserve">besoins des capacités pour l’intégration des changements climatiques dans </w:t>
      </w:r>
    </w:p>
    <w:p w:rsidR="005E7226" w:rsidRPr="00825BBE" w:rsidRDefault="005E7226" w:rsidP="005E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r w:rsidRPr="00825BBE">
        <w:rPr>
          <w:rFonts w:eastAsia="Times New Roman" w:cstheme="minorHAnsi"/>
          <w:b/>
          <w:lang w:val="fr-FR" w:eastAsia="fr-FR"/>
        </w:rPr>
        <w:tab/>
      </w:r>
      <w:r w:rsidRPr="00825BBE">
        <w:rPr>
          <w:rFonts w:eastAsia="Times New Roman" w:cstheme="minorHAnsi"/>
          <w:b/>
          <w:lang w:val="fr-FR" w:eastAsia="fr-FR"/>
        </w:rPr>
        <w:tab/>
      </w:r>
      <w:r w:rsidR="00941A93">
        <w:rPr>
          <w:rFonts w:eastAsia="Times New Roman" w:cstheme="minorHAnsi"/>
          <w:b/>
          <w:lang w:val="fr-FR" w:eastAsia="fr-FR"/>
        </w:rPr>
        <w:t>deux</w:t>
      </w:r>
      <w:r w:rsidRPr="00825BBE">
        <w:rPr>
          <w:rFonts w:eastAsia="Times New Roman" w:cstheme="minorHAnsi"/>
          <w:b/>
          <w:lang w:val="fr-FR" w:eastAsia="fr-FR"/>
        </w:rPr>
        <w:t>provinces pilotes (</w:t>
      </w:r>
      <w:r w:rsidR="00D90DA0" w:rsidRPr="00825BBE">
        <w:rPr>
          <w:rFonts w:eastAsia="Times New Roman" w:cstheme="minorHAnsi"/>
          <w:b/>
          <w:lang w:val="fr-FR" w:eastAsia="fr-FR"/>
        </w:rPr>
        <w:t>Tshopo et Haut-Katanga)</w:t>
      </w:r>
    </w:p>
    <w:p w:rsidR="001D32A5" w:rsidRPr="00825BBE" w:rsidRDefault="001D32A5" w:rsidP="005E7226">
      <w:pPr>
        <w:spacing w:after="0" w:line="240" w:lineRule="auto"/>
        <w:ind w:left="-90"/>
        <w:rPr>
          <w:rFonts w:cstheme="minorHAnsi"/>
          <w:b/>
          <w:sz w:val="20"/>
          <w:szCs w:val="20"/>
          <w:lang w:val="fr-FR"/>
        </w:rPr>
      </w:pPr>
    </w:p>
    <w:p w:rsidR="00D56C11" w:rsidRPr="00825BBE" w:rsidRDefault="00D56C11" w:rsidP="00411EDD">
      <w:pPr>
        <w:tabs>
          <w:tab w:val="left" w:pos="1410"/>
        </w:tabs>
        <w:rPr>
          <w:rFonts w:cstheme="minorHAnsi"/>
          <w:sz w:val="20"/>
          <w:szCs w:val="20"/>
          <w:lang w:val="fr-FR"/>
        </w:rPr>
      </w:pPr>
      <w:r w:rsidRPr="00825BBE">
        <w:rPr>
          <w:rFonts w:cstheme="minorHAnsi"/>
          <w:b/>
          <w:sz w:val="20"/>
          <w:szCs w:val="20"/>
          <w:lang w:val="fr-FR"/>
        </w:rPr>
        <w:t>Niveau de poste et d’expérience :</w:t>
      </w:r>
      <w:r w:rsidR="00C02DC8" w:rsidRPr="00825BBE">
        <w:rPr>
          <w:rFonts w:cstheme="minorHAnsi"/>
          <w:sz w:val="20"/>
          <w:szCs w:val="20"/>
          <w:lang w:val="fr-FR"/>
        </w:rPr>
        <w:tab/>
      </w:r>
      <w:r w:rsidRPr="00825BBE">
        <w:rPr>
          <w:rFonts w:cstheme="minorHAnsi"/>
          <w:sz w:val="20"/>
          <w:szCs w:val="20"/>
          <w:lang w:val="fr-FR"/>
        </w:rPr>
        <w:t>Consultance,</w:t>
      </w:r>
      <w:r w:rsidR="005E7226" w:rsidRPr="00825BBE">
        <w:rPr>
          <w:rFonts w:cstheme="minorHAnsi"/>
          <w:sz w:val="20"/>
          <w:szCs w:val="20"/>
          <w:lang w:val="fr-FR"/>
        </w:rPr>
        <w:t>N</w:t>
      </w:r>
      <w:r w:rsidRPr="00825BBE">
        <w:rPr>
          <w:rFonts w:cstheme="minorHAnsi"/>
          <w:sz w:val="20"/>
          <w:szCs w:val="20"/>
          <w:lang w:val="fr-FR"/>
        </w:rPr>
        <w:t>ational</w:t>
      </w:r>
    </w:p>
    <w:p w:rsidR="0065710B" w:rsidRPr="00825BBE" w:rsidRDefault="009630B9" w:rsidP="00C02DC8">
      <w:pPr>
        <w:tabs>
          <w:tab w:val="left" w:pos="1410"/>
        </w:tabs>
        <w:ind w:left="2880" w:hanging="2880"/>
        <w:rPr>
          <w:rFonts w:cstheme="minorHAnsi"/>
          <w:sz w:val="20"/>
          <w:szCs w:val="20"/>
          <w:lang w:val="fr-FR"/>
        </w:rPr>
      </w:pPr>
      <w:r w:rsidRPr="00825BBE">
        <w:rPr>
          <w:rFonts w:cstheme="minorHAnsi"/>
          <w:b/>
          <w:sz w:val="20"/>
          <w:szCs w:val="20"/>
          <w:lang w:val="fr-FR"/>
        </w:rPr>
        <w:t xml:space="preserve">Intitulé du projet </w:t>
      </w:r>
      <w:r w:rsidR="0065710B" w:rsidRPr="00825BBE">
        <w:rPr>
          <w:rFonts w:cstheme="minorHAnsi"/>
          <w:b/>
          <w:sz w:val="20"/>
          <w:szCs w:val="20"/>
          <w:lang w:val="fr-FR"/>
        </w:rPr>
        <w:t>:</w:t>
      </w:r>
      <w:r w:rsidR="00C02DC8" w:rsidRPr="00825BBE">
        <w:rPr>
          <w:rFonts w:cstheme="minorHAnsi"/>
          <w:b/>
          <w:sz w:val="20"/>
          <w:szCs w:val="20"/>
          <w:lang w:val="fr-FR"/>
        </w:rPr>
        <w:tab/>
      </w:r>
      <w:r w:rsidR="00E736EB" w:rsidRPr="00825BBE">
        <w:rPr>
          <w:rFonts w:cstheme="minorHAnsi"/>
          <w:sz w:val="20"/>
          <w:szCs w:val="20"/>
          <w:lang w:val="fr-FR"/>
        </w:rPr>
        <w:t xml:space="preserve">Programme </w:t>
      </w:r>
    </w:p>
    <w:p w:rsidR="00072984" w:rsidRPr="00825BBE" w:rsidRDefault="009630B9" w:rsidP="00072984">
      <w:pPr>
        <w:rPr>
          <w:rFonts w:eastAsia="Times New Roman" w:cstheme="minorHAnsi"/>
          <w:sz w:val="24"/>
          <w:szCs w:val="24"/>
          <w:lang w:val="fr-FR"/>
        </w:rPr>
      </w:pPr>
      <w:r w:rsidRPr="00825BBE">
        <w:rPr>
          <w:rFonts w:cstheme="minorHAnsi"/>
          <w:b/>
          <w:sz w:val="20"/>
          <w:szCs w:val="20"/>
          <w:lang w:val="fr-FR"/>
        </w:rPr>
        <w:t>Durée de la mission</w:t>
      </w:r>
      <w:r w:rsidR="0065710B" w:rsidRPr="00825BBE">
        <w:rPr>
          <w:rFonts w:cstheme="minorHAnsi"/>
          <w:b/>
          <w:sz w:val="20"/>
          <w:szCs w:val="20"/>
          <w:lang w:val="fr-FR"/>
        </w:rPr>
        <w:t>:</w:t>
      </w:r>
      <w:r w:rsidR="003D51AC" w:rsidRPr="00825BBE">
        <w:rPr>
          <w:rFonts w:eastAsia="Times New Roman" w:cstheme="minorHAnsi"/>
          <w:lang w:val="fr-FR"/>
        </w:rPr>
        <w:t>4</w:t>
      </w:r>
      <w:r w:rsidR="005E7226" w:rsidRPr="00825BBE">
        <w:rPr>
          <w:rFonts w:eastAsia="Times New Roman" w:cstheme="minorHAnsi"/>
          <w:lang w:val="fr-FR"/>
        </w:rPr>
        <w:t xml:space="preserve">0 H/J (période étendue sur </w:t>
      </w:r>
      <w:r w:rsidR="003D51AC" w:rsidRPr="00825BBE">
        <w:rPr>
          <w:rFonts w:eastAsia="Times New Roman" w:cstheme="minorHAnsi"/>
          <w:lang w:val="fr-FR"/>
        </w:rPr>
        <w:t>7</w:t>
      </w:r>
      <w:r w:rsidR="005E7226" w:rsidRPr="00825BBE">
        <w:rPr>
          <w:rFonts w:eastAsia="Times New Roman" w:cstheme="minorHAnsi"/>
          <w:lang w:val="fr-FR"/>
        </w:rPr>
        <w:t>0 jours calendaires</w:t>
      </w:r>
      <w:r w:rsidR="004B3FB1" w:rsidRPr="00825BBE">
        <w:rPr>
          <w:rFonts w:eastAsia="Times New Roman" w:cstheme="minorHAnsi"/>
          <w:lang w:val="fr-FR"/>
        </w:rPr>
        <w:t>)</w:t>
      </w:r>
    </w:p>
    <w:p w:rsidR="001D32A5" w:rsidRPr="00825BBE" w:rsidRDefault="001D32A5" w:rsidP="001D32A5">
      <w:pPr>
        <w:pStyle w:val="Corps"/>
        <w:tabs>
          <w:tab w:val="left" w:pos="1410"/>
        </w:tabs>
        <w:spacing w:after="0" w:line="240" w:lineRule="auto"/>
        <w:ind w:left="3600" w:hanging="3600"/>
        <w:jc w:val="both"/>
        <w:rPr>
          <w:rFonts w:asciiTheme="minorHAnsi" w:hAnsiTheme="minorHAnsi" w:cstheme="minorHAnsi"/>
          <w:sz w:val="20"/>
          <w:szCs w:val="20"/>
        </w:rPr>
      </w:pPr>
    </w:p>
    <w:p w:rsidR="005E7226" w:rsidRPr="00825BBE" w:rsidRDefault="00281676" w:rsidP="005E7226">
      <w:pPr>
        <w:tabs>
          <w:tab w:val="left" w:pos="2160"/>
        </w:tabs>
        <w:spacing w:after="0" w:line="240" w:lineRule="auto"/>
        <w:ind w:left="2160" w:hanging="2160"/>
        <w:rPr>
          <w:rFonts w:eastAsia="Times New Roman" w:cstheme="minorHAnsi"/>
          <w:lang w:val="fr-FR"/>
        </w:rPr>
      </w:pPr>
      <w:r w:rsidRPr="00825BBE">
        <w:rPr>
          <w:rFonts w:cstheme="minorHAnsi"/>
          <w:b/>
          <w:bCs/>
          <w:sz w:val="20"/>
          <w:szCs w:val="20"/>
          <w:lang w:val="fr-FR"/>
        </w:rPr>
        <w:t>Type et Lieu d’affectation :</w:t>
      </w:r>
      <w:r w:rsidR="003D51AC" w:rsidRPr="00825BBE">
        <w:rPr>
          <w:rFonts w:cstheme="minorHAnsi"/>
          <w:b/>
          <w:bCs/>
          <w:sz w:val="20"/>
          <w:szCs w:val="20"/>
          <w:lang w:val="fr-FR"/>
        </w:rPr>
        <w:t>Tshopo et Haut-Katanga</w:t>
      </w:r>
    </w:p>
    <w:p w:rsidR="00281676" w:rsidRPr="00825BBE" w:rsidRDefault="00281676" w:rsidP="001D32A5">
      <w:pPr>
        <w:pStyle w:val="Corps"/>
        <w:tabs>
          <w:tab w:val="left" w:pos="1410"/>
        </w:tabs>
        <w:spacing w:after="0" w:line="240" w:lineRule="auto"/>
        <w:ind w:left="3600" w:hanging="3600"/>
        <w:jc w:val="both"/>
        <w:rPr>
          <w:rFonts w:asciiTheme="minorHAnsi" w:hAnsiTheme="minorHAnsi" w:cstheme="minorHAnsi"/>
          <w:sz w:val="20"/>
          <w:szCs w:val="20"/>
        </w:rPr>
      </w:pPr>
    </w:p>
    <w:p w:rsidR="00D56C11" w:rsidRPr="00825BBE" w:rsidRDefault="00D56C11" w:rsidP="00C02DC8">
      <w:pPr>
        <w:spacing w:after="0" w:line="240" w:lineRule="auto"/>
        <w:jc w:val="both"/>
        <w:rPr>
          <w:rFonts w:eastAsia="Times New Roman" w:cstheme="minorHAnsi"/>
          <w:b/>
          <w:sz w:val="20"/>
          <w:szCs w:val="20"/>
          <w:lang w:val="fr-FR" w:eastAsia="rw-RW"/>
        </w:rPr>
      </w:pPr>
      <w:bookmarkStart w:id="1" w:name="_Hlk5369760"/>
      <w:r w:rsidRPr="00825BBE">
        <w:rPr>
          <w:rFonts w:eastAsia="Times New Roman" w:cstheme="minorHAnsi"/>
          <w:sz w:val="20"/>
          <w:szCs w:val="20"/>
          <w:lang w:val="fr-FR" w:eastAsia="rw-RW"/>
        </w:rPr>
        <w:t>Prière envoyer vos propositions (propositions technique et financière) dûment signées à l’adresse e-mail</w:t>
      </w:r>
      <w:hyperlink r:id="rId12" w:history="1">
        <w:r w:rsidRPr="00825BBE">
          <w:rPr>
            <w:rStyle w:val="Lienhypertexte"/>
            <w:rFonts w:eastAsia="Times New Roman" w:cstheme="minorHAnsi"/>
            <w:b/>
            <w:sz w:val="20"/>
            <w:szCs w:val="20"/>
            <w:lang w:val="fr-FR" w:eastAsia="rw-RW"/>
          </w:rPr>
          <w:t>soumission.goma@undp.org</w:t>
        </w:r>
      </w:hyperlink>
      <w:r w:rsidRPr="00825BBE">
        <w:rPr>
          <w:rFonts w:eastAsia="Times New Roman" w:cstheme="minorHAnsi"/>
          <w:sz w:val="20"/>
          <w:szCs w:val="20"/>
          <w:lang w:val="fr-FR" w:eastAsia="rw-RW"/>
        </w:rPr>
        <w:t xml:space="preserve"> avec mention de la référence et intitulé du dossier</w:t>
      </w:r>
      <w:r w:rsidRPr="00825BBE">
        <w:rPr>
          <w:rFonts w:eastAsia="Times New Roman" w:cstheme="minorHAnsi"/>
          <w:b/>
          <w:sz w:val="20"/>
          <w:szCs w:val="20"/>
          <w:lang w:val="fr-FR" w:eastAsia="rw-RW"/>
        </w:rPr>
        <w:t xml:space="preserve">. </w:t>
      </w:r>
    </w:p>
    <w:p w:rsidR="00D56C11" w:rsidRPr="00825BBE" w:rsidRDefault="00D56C11" w:rsidP="00C02DC8">
      <w:pPr>
        <w:spacing w:after="0" w:line="240" w:lineRule="auto"/>
        <w:jc w:val="both"/>
        <w:rPr>
          <w:rFonts w:cstheme="minorHAnsi"/>
          <w:b/>
          <w:sz w:val="20"/>
          <w:szCs w:val="20"/>
          <w:lang w:val="fr-FR"/>
        </w:rPr>
      </w:pPr>
    </w:p>
    <w:p w:rsidR="00D56C11" w:rsidRPr="00825BBE" w:rsidRDefault="00D56C11" w:rsidP="00C02DC8">
      <w:pPr>
        <w:spacing w:after="0" w:line="240" w:lineRule="auto"/>
        <w:jc w:val="both"/>
        <w:rPr>
          <w:rFonts w:cstheme="minorHAnsi"/>
          <w:b/>
          <w:sz w:val="20"/>
          <w:szCs w:val="20"/>
          <w:lang w:val="fr-FR"/>
        </w:rPr>
      </w:pPr>
      <w:r w:rsidRPr="00825BBE">
        <w:rPr>
          <w:rFonts w:cstheme="minorHAnsi"/>
          <w:b/>
          <w:sz w:val="20"/>
          <w:szCs w:val="20"/>
          <w:lang w:val="fr-FR"/>
        </w:rPr>
        <w:t xml:space="preserve">Votre proposition devra être reçue </w:t>
      </w:r>
      <w:r w:rsidRPr="00825BBE">
        <w:rPr>
          <w:rFonts w:cstheme="minorHAnsi"/>
          <w:sz w:val="20"/>
          <w:szCs w:val="20"/>
          <w:lang w:val="fr-FR"/>
        </w:rPr>
        <w:t xml:space="preserve">au plus tard </w:t>
      </w:r>
      <w:r w:rsidRPr="00825BBE">
        <w:rPr>
          <w:rFonts w:cstheme="minorHAnsi"/>
          <w:b/>
          <w:sz w:val="20"/>
          <w:szCs w:val="20"/>
          <w:lang w:val="fr-FR"/>
        </w:rPr>
        <w:t>le</w:t>
      </w:r>
      <w:r w:rsidR="00941A93">
        <w:rPr>
          <w:rFonts w:cstheme="minorHAnsi"/>
          <w:b/>
          <w:sz w:val="20"/>
          <w:szCs w:val="20"/>
          <w:lang w:val="fr-FR"/>
        </w:rPr>
        <w:t xml:space="preserve"> lundi22</w:t>
      </w:r>
      <w:r w:rsidR="00061457" w:rsidRPr="00825BBE">
        <w:rPr>
          <w:rFonts w:cstheme="minorHAnsi"/>
          <w:b/>
          <w:sz w:val="20"/>
          <w:szCs w:val="20"/>
          <w:lang w:val="fr-FR"/>
        </w:rPr>
        <w:t xml:space="preserve"> avril</w:t>
      </w:r>
      <w:r w:rsidRPr="00825BBE">
        <w:rPr>
          <w:rFonts w:cstheme="minorHAnsi"/>
          <w:b/>
          <w:sz w:val="20"/>
          <w:szCs w:val="20"/>
          <w:lang w:val="fr-FR"/>
        </w:rPr>
        <w:t xml:space="preserve"> 2019 à 16h heure de </w:t>
      </w:r>
      <w:r w:rsidR="003D51AC" w:rsidRPr="00825BBE">
        <w:rPr>
          <w:rFonts w:cstheme="minorHAnsi"/>
          <w:b/>
          <w:sz w:val="20"/>
          <w:szCs w:val="20"/>
          <w:lang w:val="fr-FR"/>
        </w:rPr>
        <w:t>Goma</w:t>
      </w:r>
    </w:p>
    <w:p w:rsidR="00983EB8" w:rsidRDefault="00983EB8" w:rsidP="00C02DC8">
      <w:pPr>
        <w:spacing w:after="0" w:line="240" w:lineRule="auto"/>
        <w:jc w:val="both"/>
        <w:rPr>
          <w:rStyle w:val="lev"/>
          <w:lang w:val="fr-FR"/>
        </w:rPr>
      </w:pPr>
    </w:p>
    <w:p w:rsidR="00D56C11" w:rsidRDefault="00983EB8" w:rsidP="00C02DC8">
      <w:pPr>
        <w:spacing w:after="0" w:line="240" w:lineRule="auto"/>
        <w:jc w:val="both"/>
        <w:rPr>
          <w:rStyle w:val="lev"/>
          <w:lang w:val="fr-FR"/>
        </w:rPr>
      </w:pPr>
      <w:bookmarkStart w:id="2" w:name="_GoBack"/>
      <w:bookmarkEnd w:id="2"/>
      <w:r w:rsidRPr="00983EB8">
        <w:rPr>
          <w:rStyle w:val="lev"/>
          <w:lang w:val="fr-FR"/>
        </w:rPr>
        <w:t>Toute offre soumise après ce délai sera automatiquement rejetée</w:t>
      </w:r>
    </w:p>
    <w:p w:rsidR="00983EB8" w:rsidRPr="00983EB8" w:rsidRDefault="00983EB8" w:rsidP="00C02DC8">
      <w:pPr>
        <w:spacing w:after="0" w:line="240" w:lineRule="auto"/>
        <w:jc w:val="both"/>
        <w:rPr>
          <w:rFonts w:cstheme="minorHAnsi"/>
          <w:sz w:val="20"/>
          <w:szCs w:val="20"/>
          <w:lang w:val="fr-FR"/>
        </w:rPr>
      </w:pPr>
    </w:p>
    <w:p w:rsidR="00D56C11" w:rsidRPr="00825BBE" w:rsidRDefault="00D56C11" w:rsidP="00C02DC8">
      <w:pPr>
        <w:pStyle w:val="Retraitcorpsdetexte"/>
        <w:ind w:left="0"/>
        <w:jc w:val="both"/>
        <w:rPr>
          <w:rFonts w:asciiTheme="minorHAnsi" w:hAnsiTheme="minorHAnsi" w:cstheme="minorHAnsi"/>
          <w:sz w:val="20"/>
          <w:szCs w:val="20"/>
        </w:rPr>
      </w:pPr>
      <w:r w:rsidRPr="00825BBE">
        <w:rPr>
          <w:rFonts w:asciiTheme="minorHAnsi" w:hAnsiTheme="minorHAnsi" w:cstheme="minorHAnsi"/>
          <w:sz w:val="20"/>
          <w:szCs w:val="20"/>
        </w:rPr>
        <w:t xml:space="preserve">N’hésitez pas à écrire à l’adresse </w:t>
      </w:r>
      <w:hyperlink r:id="rId13" w:history="1">
        <w:r w:rsidR="004B1614" w:rsidRPr="00825BBE">
          <w:rPr>
            <w:rStyle w:val="Lienhypertexte"/>
            <w:rFonts w:asciiTheme="minorHAnsi" w:hAnsiTheme="minorHAnsi" w:cstheme="minorHAnsi"/>
            <w:sz w:val="20"/>
            <w:szCs w:val="20"/>
          </w:rPr>
          <w:t>soumission.info@undp.org</w:t>
        </w:r>
      </w:hyperlink>
      <w:r w:rsidRPr="00825BBE">
        <w:rPr>
          <w:rFonts w:asciiTheme="minorHAnsi" w:hAnsiTheme="minorHAnsi" w:cstheme="minorHAnsi"/>
          <w:sz w:val="20"/>
          <w:szCs w:val="20"/>
        </w:rPr>
        <w:t xml:space="preserve"> pour toute information complémentaire avant la date limite de dépôt des offres. </w:t>
      </w:r>
    </w:p>
    <w:p w:rsidR="00D56C11" w:rsidRPr="00825BBE" w:rsidRDefault="00D56C11" w:rsidP="00C02DC8">
      <w:pPr>
        <w:pStyle w:val="Retraitcorpsdetexte"/>
        <w:ind w:left="0"/>
        <w:jc w:val="both"/>
        <w:rPr>
          <w:rFonts w:asciiTheme="minorHAnsi" w:hAnsiTheme="minorHAnsi" w:cstheme="minorHAnsi"/>
          <w:sz w:val="20"/>
          <w:szCs w:val="20"/>
        </w:rPr>
      </w:pPr>
    </w:p>
    <w:p w:rsidR="00D56C11" w:rsidRPr="00825BBE" w:rsidRDefault="00D56C11" w:rsidP="00C02DC8">
      <w:pPr>
        <w:pStyle w:val="Retraitcorpsdetexte"/>
        <w:ind w:left="0"/>
        <w:jc w:val="both"/>
        <w:rPr>
          <w:rFonts w:asciiTheme="minorHAnsi" w:hAnsiTheme="minorHAnsi" w:cstheme="minorHAnsi"/>
          <w:sz w:val="20"/>
          <w:szCs w:val="20"/>
        </w:rPr>
      </w:pPr>
      <w:r w:rsidRPr="00825BBE">
        <w:rPr>
          <w:rFonts w:asciiTheme="minorHAnsi" w:hAnsiTheme="minorHAnsi" w:cstheme="minorHAnsi"/>
          <w:sz w:val="20"/>
          <w:szCs w:val="20"/>
        </w:rPr>
        <w:t xml:space="preserve">Les offres sont publiées sur les sites suivants du PNUD :  </w:t>
      </w:r>
    </w:p>
    <w:p w:rsidR="00D56C11" w:rsidRPr="00825BBE" w:rsidRDefault="0061689A" w:rsidP="00C02DC8">
      <w:pPr>
        <w:spacing w:after="0" w:line="240" w:lineRule="auto"/>
        <w:jc w:val="both"/>
        <w:rPr>
          <w:rFonts w:cstheme="minorHAnsi"/>
          <w:sz w:val="20"/>
          <w:szCs w:val="20"/>
          <w:lang w:val="fr-FR"/>
        </w:rPr>
      </w:pPr>
      <w:hyperlink r:id="rId14" w:history="1">
        <w:r w:rsidR="00D56C11" w:rsidRPr="00825BBE">
          <w:rPr>
            <w:rStyle w:val="Lienhypertexte"/>
            <w:rFonts w:cstheme="minorHAnsi"/>
            <w:sz w:val="20"/>
            <w:szCs w:val="20"/>
            <w:lang w:val="fr-FR"/>
          </w:rPr>
          <w:t>http://procurement-notices.undp.org/view_notice.cfm?notice_id=</w:t>
        </w:r>
      </w:hyperlink>
    </w:p>
    <w:bookmarkEnd w:id="1"/>
    <w:p w:rsidR="00D56C11" w:rsidRPr="00825BBE" w:rsidRDefault="00D56C11" w:rsidP="00C02DC8">
      <w:pPr>
        <w:spacing w:after="0" w:line="240" w:lineRule="auto"/>
        <w:jc w:val="both"/>
        <w:rPr>
          <w:rFonts w:cstheme="minorHAnsi"/>
          <w:b/>
          <w:color w:val="0000FF"/>
          <w:sz w:val="20"/>
          <w:szCs w:val="20"/>
          <w:u w:val="single"/>
          <w:lang w:val="fr-FR"/>
        </w:rPr>
      </w:pPr>
    </w:p>
    <w:p w:rsidR="00D56C11" w:rsidRPr="00825BBE" w:rsidRDefault="00D56C11" w:rsidP="00C02DC8">
      <w:pPr>
        <w:pStyle w:val="Retraitcorpsdetexte"/>
        <w:ind w:left="0"/>
        <w:jc w:val="both"/>
        <w:rPr>
          <w:rFonts w:asciiTheme="minorHAnsi" w:hAnsiTheme="minorHAnsi" w:cstheme="minorHAnsi"/>
          <w:b/>
          <w:color w:val="00B050"/>
          <w:sz w:val="20"/>
          <w:szCs w:val="20"/>
        </w:rPr>
      </w:pPr>
      <w:r w:rsidRPr="00825BBE">
        <w:rPr>
          <w:rFonts w:asciiTheme="minorHAnsi" w:hAnsiTheme="minorHAnsi" w:cstheme="minorHAnsi"/>
          <w:b/>
          <w:color w:val="00B050"/>
          <w:sz w:val="20"/>
          <w:szCs w:val="20"/>
          <w:u w:val="single"/>
        </w:rPr>
        <w:t>Les candidatures féminines sont vivement encouragées</w:t>
      </w:r>
      <w:r w:rsidRPr="00825BBE">
        <w:rPr>
          <w:rFonts w:asciiTheme="minorHAnsi" w:hAnsiTheme="minorHAnsi" w:cstheme="minorHAnsi"/>
          <w:b/>
          <w:color w:val="00B050"/>
          <w:sz w:val="20"/>
          <w:szCs w:val="20"/>
        </w:rPr>
        <w:t>.</w:t>
      </w:r>
    </w:p>
    <w:p w:rsidR="009E2B22" w:rsidRPr="00825BBE" w:rsidRDefault="0061689A" w:rsidP="009E2B22">
      <w:pPr>
        <w:tabs>
          <w:tab w:val="left" w:pos="1410"/>
        </w:tabs>
        <w:rPr>
          <w:rFonts w:cstheme="minorHAnsi"/>
          <w:sz w:val="20"/>
          <w:szCs w:val="20"/>
          <w:lang w:val="fr-FR"/>
        </w:rPr>
      </w:pPr>
      <w:r w:rsidRPr="0061689A">
        <w:rPr>
          <w:rFonts w:cstheme="minorHAnsi"/>
          <w:noProof/>
          <w:sz w:val="20"/>
          <w:szCs w:val="20"/>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825BBE" w:rsidRDefault="009E2B22" w:rsidP="009E2B22">
      <w:pPr>
        <w:tabs>
          <w:tab w:val="left" w:pos="1410"/>
        </w:tabs>
        <w:rPr>
          <w:rFonts w:cstheme="minorHAnsi"/>
          <w:b/>
          <w:sz w:val="20"/>
          <w:szCs w:val="20"/>
          <w:lang w:val="fr-FR"/>
        </w:rPr>
      </w:pPr>
      <w:r w:rsidRPr="00825BBE">
        <w:rPr>
          <w:rFonts w:cstheme="minorHAnsi"/>
          <w:b/>
          <w:sz w:val="20"/>
          <w:szCs w:val="20"/>
          <w:lang w:val="fr-FR"/>
        </w:rPr>
        <w:t xml:space="preserve">1. </w:t>
      </w:r>
      <w:r w:rsidR="00213A46" w:rsidRPr="00825BBE">
        <w:rPr>
          <w:rFonts w:cstheme="minorHAnsi"/>
          <w:b/>
          <w:sz w:val="20"/>
          <w:szCs w:val="20"/>
          <w:lang w:val="fr-FR"/>
        </w:rPr>
        <w:t xml:space="preserve">Contexte </w:t>
      </w:r>
      <w:r w:rsidR="007054B6" w:rsidRPr="00825BBE">
        <w:rPr>
          <w:rFonts w:cstheme="minorHAnsi"/>
          <w:b/>
          <w:sz w:val="20"/>
          <w:szCs w:val="20"/>
          <w:lang w:val="fr-FR"/>
        </w:rPr>
        <w:t>et objectifs</w:t>
      </w:r>
    </w:p>
    <w:tbl>
      <w:tblPr>
        <w:tblStyle w:val="Grilledutableau"/>
        <w:tblW w:w="0" w:type="auto"/>
        <w:tblLook w:val="04A0"/>
      </w:tblPr>
      <w:tblGrid>
        <w:gridCol w:w="9350"/>
      </w:tblGrid>
      <w:tr w:rsidR="00AF0F93" w:rsidRPr="009A3491" w:rsidTr="00411EDD">
        <w:tc>
          <w:tcPr>
            <w:tcW w:w="9350" w:type="dxa"/>
          </w:tcPr>
          <w:p w:rsidR="00AF0F93" w:rsidRPr="00825BBE" w:rsidRDefault="00AF0F93" w:rsidP="00AF0F93">
            <w:pPr>
              <w:jc w:val="both"/>
              <w:rPr>
                <w:rFonts w:eastAsia="Times New Roman" w:cstheme="minorHAnsi"/>
                <w:lang w:val="fr-FR" w:eastAsia="fr-FR"/>
              </w:rPr>
            </w:pPr>
          </w:p>
          <w:p w:rsidR="005E7226" w:rsidRPr="00825BBE" w:rsidRDefault="005E7226" w:rsidP="005E7226">
            <w:pPr>
              <w:spacing w:line="276" w:lineRule="auto"/>
              <w:jc w:val="both"/>
              <w:rPr>
                <w:rFonts w:cstheme="minorHAnsi"/>
                <w:lang w:val="fr-FR" w:eastAsia="fr-FR"/>
              </w:rPr>
            </w:pPr>
            <w:r w:rsidRPr="00825BBE">
              <w:rPr>
                <w:rFonts w:cstheme="minorHAnsi"/>
                <w:lang w:val="fr-FR" w:eastAsia="fr-FR"/>
              </w:rPr>
              <w:t>Le territoire de la République Démocratique du Congo (RDC), d'une superficie de 2.345.409 km</w:t>
            </w:r>
            <w:r w:rsidRPr="00825BBE">
              <w:rPr>
                <w:rFonts w:cstheme="minorHAnsi"/>
                <w:vertAlign w:val="superscript"/>
                <w:lang w:val="fr-FR" w:eastAsia="fr-FR"/>
              </w:rPr>
              <w:t>2</w:t>
            </w:r>
            <w:r w:rsidRPr="00825BBE">
              <w:rPr>
                <w:rFonts w:cstheme="minorHAnsi"/>
                <w:lang w:val="fr-FR" w:eastAsia="fr-FR"/>
              </w:rPr>
              <w:t xml:space="preserve"> et à cheval sur l'équateur, est composé d'un bassin central (entouré de montagnes à l'est et au sud-est), </w:t>
            </w:r>
            <w:r w:rsidRPr="00825BBE">
              <w:rPr>
                <w:rFonts w:cstheme="minorHAnsi"/>
                <w:lang w:val="fr-FR" w:eastAsia="fr-FR"/>
              </w:rPr>
              <w:lastRenderedPageBreak/>
              <w:t>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rsidR="0037636E" w:rsidRPr="00825BBE" w:rsidRDefault="0037636E" w:rsidP="005E7226">
            <w:pPr>
              <w:spacing w:line="276" w:lineRule="auto"/>
              <w:jc w:val="both"/>
              <w:rPr>
                <w:rFonts w:cstheme="minorHAnsi"/>
                <w:lang w:val="fr-FR" w:eastAsia="fr-FR"/>
              </w:rPr>
            </w:pPr>
          </w:p>
          <w:p w:rsidR="005E7226" w:rsidRPr="00825BBE" w:rsidRDefault="005E7226" w:rsidP="005E7226">
            <w:pPr>
              <w:spacing w:line="276" w:lineRule="auto"/>
              <w:jc w:val="both"/>
              <w:rPr>
                <w:rFonts w:cstheme="minorHAnsi"/>
                <w:lang w:val="fr-FR" w:eastAsia="fr-FR"/>
              </w:rPr>
            </w:pPr>
            <w:r w:rsidRPr="00825BBE">
              <w:rPr>
                <w:rFonts w:cstheme="minorHAnsi"/>
                <w:lang w:val="fr-FR"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825BBE">
              <w:rPr>
                <w:rStyle w:val="Appelnotedebasdep"/>
                <w:rFonts w:cstheme="minorHAnsi"/>
                <w:lang w:val="fr-FR" w:eastAsia="fr-FR"/>
              </w:rPr>
              <w:footnoteReference w:id="2"/>
            </w:r>
            <w:r w:rsidRPr="00825BBE">
              <w:rPr>
                <w:rFonts w:cstheme="minorHAnsi"/>
                <w:lang w:val="fr-FR" w:eastAsia="fr-FR"/>
              </w:rPr>
              <w:t xml:space="preserve">. </w:t>
            </w:r>
          </w:p>
          <w:p w:rsidR="0037636E" w:rsidRPr="00825BBE" w:rsidRDefault="0037636E" w:rsidP="005E7226">
            <w:pPr>
              <w:spacing w:line="276" w:lineRule="auto"/>
              <w:jc w:val="both"/>
              <w:rPr>
                <w:rFonts w:cstheme="minorHAnsi"/>
                <w:lang w:val="fr-FR" w:eastAsia="fr-FR"/>
              </w:rPr>
            </w:pPr>
          </w:p>
          <w:p w:rsidR="005E7226" w:rsidRPr="00825BBE" w:rsidRDefault="005E7226" w:rsidP="005E7226">
            <w:pPr>
              <w:spacing w:line="276" w:lineRule="auto"/>
              <w:jc w:val="both"/>
              <w:rPr>
                <w:rFonts w:cstheme="minorHAnsi"/>
                <w:lang w:val="fr-FR" w:eastAsia="fr-FR"/>
              </w:rPr>
            </w:pPr>
            <w:r w:rsidRPr="00825BBE">
              <w:rPr>
                <w:rFonts w:cstheme="minorHAnsi"/>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à la faible capacité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rsidR="0037636E" w:rsidRPr="00825BBE" w:rsidRDefault="0037636E" w:rsidP="005E7226">
            <w:pPr>
              <w:spacing w:line="276" w:lineRule="auto"/>
              <w:jc w:val="both"/>
              <w:rPr>
                <w:rFonts w:cstheme="minorHAnsi"/>
                <w:lang w:val="fr-FR" w:eastAsia="fr-FR"/>
              </w:rPr>
            </w:pPr>
          </w:p>
          <w:p w:rsidR="005E7226" w:rsidRPr="00825BBE" w:rsidRDefault="005E7226" w:rsidP="005E7226">
            <w:pPr>
              <w:spacing w:line="276" w:lineRule="auto"/>
              <w:jc w:val="both"/>
              <w:rPr>
                <w:rFonts w:cstheme="minorHAnsi"/>
                <w:lang w:val="fr-FR" w:eastAsia="fr-FR"/>
              </w:rPr>
            </w:pPr>
            <w:r w:rsidRPr="00825BBE">
              <w:rPr>
                <w:rFonts w:cstheme="minorHAnsi"/>
                <w:lang w:val="fr-FR" w:eastAsia="fr-FR"/>
              </w:rPr>
              <w:t>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Tshopo, Haut Katanga et Kongo Central), pour des secteurs prioritaires comme l'agriculture, le développement rural, la gestion de la zone côtière, la biodiversité, l'énergie, les transports, et l'eau et l'assainissement.</w:t>
            </w:r>
          </w:p>
          <w:p w:rsidR="0037636E" w:rsidRPr="00825BBE" w:rsidRDefault="005E7226" w:rsidP="005E7226">
            <w:pPr>
              <w:spacing w:line="276" w:lineRule="auto"/>
              <w:jc w:val="both"/>
              <w:rPr>
                <w:rFonts w:cstheme="minorHAnsi"/>
                <w:lang w:val="fr-FR" w:eastAsia="fr-FR"/>
              </w:rPr>
            </w:pPr>
            <w:r w:rsidRPr="00825BBE">
              <w:rPr>
                <w:rFonts w:cstheme="minorHAnsi"/>
                <w:lang w:val="fr-FR" w:eastAsia="fr-FR"/>
              </w:rPr>
              <w:t xml:space="preserve">Par ailleurs, la protection de l’environnement et l’adaptation aux changements climatiques </w:t>
            </w:r>
            <w:r w:rsidRPr="00825BBE">
              <w:rPr>
                <w:rFonts w:cstheme="minorHAnsi"/>
                <w:lang w:val="fr-FR" w:eastAsia="fr-FR"/>
              </w:rPr>
              <w:lastRenderedPageBreak/>
              <w:t xml:space="preserve">constituent l’un de sept objectifs stratégiques du Plan National Stratégique de Développement (PNSD) (2017-2050). </w:t>
            </w:r>
          </w:p>
          <w:p w:rsidR="0037636E" w:rsidRPr="00825BBE" w:rsidRDefault="0037636E" w:rsidP="005E7226">
            <w:pPr>
              <w:spacing w:line="276" w:lineRule="auto"/>
              <w:jc w:val="both"/>
              <w:rPr>
                <w:rFonts w:cstheme="minorHAnsi"/>
                <w:lang w:val="fr-FR" w:eastAsia="fr-FR"/>
              </w:rPr>
            </w:pPr>
          </w:p>
          <w:p w:rsidR="005E7226" w:rsidRPr="00825BBE" w:rsidRDefault="005E7226" w:rsidP="005E7226">
            <w:pPr>
              <w:spacing w:line="276" w:lineRule="auto"/>
              <w:jc w:val="both"/>
              <w:rPr>
                <w:rFonts w:cstheme="minorHAnsi"/>
                <w:lang w:val="fr-FR" w:eastAsia="fr-FR"/>
              </w:rPr>
            </w:pPr>
            <w:r w:rsidRPr="00825BBE">
              <w:rPr>
                <w:rFonts w:cstheme="minorHAnsi"/>
                <w:lang w:val="fr-FR" w:eastAsia="fr-FR"/>
              </w:rPr>
              <w:t>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rsidR="0037636E" w:rsidRPr="00825BBE" w:rsidRDefault="0037636E" w:rsidP="005E7226">
            <w:pPr>
              <w:spacing w:line="276" w:lineRule="auto"/>
              <w:jc w:val="both"/>
              <w:rPr>
                <w:rFonts w:cstheme="minorHAnsi"/>
                <w:lang w:val="fr-FR" w:eastAsia="fr-FR"/>
              </w:rPr>
            </w:pPr>
          </w:p>
          <w:p w:rsidR="005E7226" w:rsidRPr="00825BBE" w:rsidRDefault="005E7226" w:rsidP="005E7226">
            <w:pPr>
              <w:jc w:val="both"/>
              <w:rPr>
                <w:rFonts w:eastAsia="Times New Roman" w:cstheme="minorHAnsi"/>
                <w:lang w:val="fr-FR" w:eastAsia="fr-FR"/>
              </w:rPr>
            </w:pPr>
            <w:r w:rsidRPr="00825BBE">
              <w:rPr>
                <w:rFonts w:eastAsia="Times New Roman" w:cstheme="minorHAnsi"/>
                <w:lang w:val="fr-FR" w:eastAsia="fr-FR"/>
              </w:rPr>
              <w:t>Le Projet PNA propose trois résultats :</w:t>
            </w:r>
          </w:p>
          <w:p w:rsidR="005E7226" w:rsidRPr="00825BBE" w:rsidRDefault="005E7226" w:rsidP="005E7226">
            <w:pPr>
              <w:numPr>
                <w:ilvl w:val="0"/>
                <w:numId w:val="25"/>
              </w:numPr>
              <w:jc w:val="both"/>
              <w:rPr>
                <w:rFonts w:eastAsia="Times New Roman" w:cstheme="minorHAnsi"/>
                <w:lang w:val="fr-FR" w:eastAsia="fr-FR"/>
              </w:rPr>
            </w:pPr>
            <w:r w:rsidRPr="00825BBE">
              <w:rPr>
                <w:rFonts w:eastAsia="Times New Roman" w:cstheme="minorHAnsi"/>
                <w:b/>
                <w:bCs/>
                <w:lang w:val="fr-FR" w:eastAsia="fr-FR"/>
              </w:rPr>
              <w:t>Résultat 1 :</w:t>
            </w:r>
            <w:r w:rsidRPr="00825BBE">
              <w:rPr>
                <w:rFonts w:eastAsia="Times New Roman" w:cstheme="minorHAnsi"/>
                <w:lang w:val="fr-FR" w:eastAsia="fr-FR"/>
              </w:rPr>
              <w:t xml:space="preserve"> la mise en œuvre d</w:t>
            </w:r>
            <w:r w:rsidR="0037636E" w:rsidRPr="00825BBE">
              <w:rPr>
                <w:rFonts w:eastAsia="Times New Roman" w:cstheme="minorHAnsi"/>
                <w:lang w:val="fr-FR" w:eastAsia="fr-FR"/>
              </w:rPr>
              <w:t>e</w:t>
            </w:r>
            <w:r w:rsidRPr="00825BBE">
              <w:rPr>
                <w:rFonts w:eastAsia="Times New Roman" w:cstheme="minorHAnsi"/>
                <w:lang w:val="fr-FR" w:eastAsia="fr-FR"/>
              </w:rPr>
              <w:t xml:space="preserve"> la PSPA-CC 2016-2020 est facilitée grâce au renforcement du cadre juridique et institutionnel et au renforcement des capacités pour la planification de l’adaptation au</w:t>
            </w:r>
            <w:r w:rsidR="0037636E" w:rsidRPr="00825BBE">
              <w:rPr>
                <w:rFonts w:eastAsia="Times New Roman" w:cstheme="minorHAnsi"/>
                <w:lang w:val="fr-FR" w:eastAsia="fr-FR"/>
              </w:rPr>
              <w:t>x</w:t>
            </w:r>
            <w:r w:rsidRPr="00825BBE">
              <w:rPr>
                <w:rFonts w:eastAsia="Times New Roman" w:cstheme="minorHAnsi"/>
                <w:lang w:val="fr-FR" w:eastAsia="fr-FR"/>
              </w:rPr>
              <w:t xml:space="preserve"> changements climatiques </w:t>
            </w:r>
          </w:p>
          <w:p w:rsidR="005E7226" w:rsidRPr="00825BBE" w:rsidRDefault="005E7226" w:rsidP="005E7226">
            <w:pPr>
              <w:numPr>
                <w:ilvl w:val="0"/>
                <w:numId w:val="25"/>
              </w:numPr>
              <w:jc w:val="both"/>
              <w:rPr>
                <w:rFonts w:eastAsia="Times New Roman" w:cstheme="minorHAnsi"/>
                <w:lang w:val="fr-FR" w:eastAsia="fr-FR"/>
              </w:rPr>
            </w:pPr>
            <w:r w:rsidRPr="00825BBE">
              <w:rPr>
                <w:rFonts w:eastAsia="Times New Roman" w:cstheme="minorHAnsi"/>
                <w:b/>
                <w:bCs/>
                <w:lang w:val="fr-FR" w:eastAsia="fr-FR"/>
              </w:rPr>
              <w:t>Résultat 2 :</w:t>
            </w:r>
            <w:r w:rsidRPr="00825BBE">
              <w:rPr>
                <w:rFonts w:eastAsia="Times New Roman" w:cstheme="minorHAnsi"/>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rsidR="005E7226" w:rsidRPr="00825BBE" w:rsidRDefault="005E7226" w:rsidP="005E7226">
            <w:pPr>
              <w:numPr>
                <w:ilvl w:val="0"/>
                <w:numId w:val="25"/>
              </w:numPr>
              <w:jc w:val="both"/>
              <w:rPr>
                <w:rFonts w:eastAsia="Times New Roman" w:cstheme="minorHAnsi"/>
                <w:lang w:val="fr-FR" w:eastAsia="fr-FR"/>
              </w:rPr>
            </w:pPr>
            <w:r w:rsidRPr="00825BBE">
              <w:rPr>
                <w:rFonts w:eastAsia="Times New Roman" w:cstheme="minorHAnsi"/>
                <w:b/>
                <w:bCs/>
                <w:lang w:val="fr-FR" w:eastAsia="fr-FR"/>
              </w:rPr>
              <w:t>Résultat 3 :</w:t>
            </w:r>
            <w:r w:rsidRPr="00825BBE">
              <w:rPr>
                <w:rFonts w:eastAsia="Times New Roman" w:cstheme="minorHAnsi"/>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rsidR="005E7226" w:rsidRPr="00825BBE" w:rsidRDefault="005E7226" w:rsidP="005E7226">
            <w:pPr>
              <w:jc w:val="both"/>
              <w:rPr>
                <w:rFonts w:eastAsia="Times New Roman" w:cstheme="minorHAnsi"/>
                <w:lang w:val="fr-FR" w:eastAsia="fr-FR"/>
              </w:rPr>
            </w:pPr>
          </w:p>
          <w:p w:rsidR="005E7226" w:rsidRPr="00825BBE" w:rsidRDefault="005E7226" w:rsidP="005E7226">
            <w:pPr>
              <w:jc w:val="both"/>
              <w:rPr>
                <w:rFonts w:eastAsia="Times New Roman" w:cstheme="minorHAnsi"/>
                <w:lang w:val="fr-FR" w:eastAsia="fr-FR"/>
              </w:rPr>
            </w:pPr>
            <w:r w:rsidRPr="00825BBE">
              <w:rPr>
                <w:rFonts w:eastAsia="Times New Roman" w:cstheme="minorHAnsi"/>
                <w:lang w:val="fr-FR" w:eastAsia="fr-FR"/>
              </w:rPr>
              <w:t>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w:t>
            </w:r>
          </w:p>
          <w:p w:rsidR="005E7226" w:rsidRPr="00825BBE" w:rsidRDefault="005E7226" w:rsidP="005E7226">
            <w:pPr>
              <w:jc w:val="both"/>
              <w:rPr>
                <w:rFonts w:eastAsia="Times New Roman" w:cstheme="minorHAnsi"/>
                <w:lang w:val="fr-FR" w:eastAsia="fr-FR"/>
              </w:rPr>
            </w:pPr>
          </w:p>
          <w:p w:rsidR="005E7226" w:rsidRPr="00825BBE" w:rsidRDefault="005E7226" w:rsidP="005E7226">
            <w:pPr>
              <w:jc w:val="both"/>
              <w:rPr>
                <w:rFonts w:eastAsia="Times New Roman" w:cstheme="minorHAnsi"/>
                <w:lang w:val="fr-FR" w:eastAsia="fr-FR"/>
              </w:rPr>
            </w:pPr>
            <w:r w:rsidRPr="00825BBE">
              <w:rPr>
                <w:rFonts w:eastAsia="Times New Roman" w:cstheme="minorHAnsi"/>
                <w:lang w:val="fr-FR" w:eastAsia="fr-FR"/>
              </w:rPr>
              <w:t xml:space="preserve">Au cours de cet atelier, un Plan de Travail Annuel 2019 a été validé et une feuille de route a été adoptée.  Ce plan de travail prévoit des études et activités spécifiques à mener au premier semestre de cette année en vue de produire une stratégie exhaustive de renforcement des capacités des institutions ciblées en matière de planification de l’adaptation aux changements climatiques sensible au genre dont un rapport semestriel doit-être soumis au Fonds Vert pour le Climat au mois de juillet 2019. </w:t>
            </w:r>
          </w:p>
          <w:p w:rsidR="005E7226" w:rsidRPr="00825BBE" w:rsidRDefault="005E7226" w:rsidP="005E7226">
            <w:pPr>
              <w:jc w:val="both"/>
              <w:rPr>
                <w:rFonts w:eastAsia="Times New Roman" w:cstheme="minorHAnsi"/>
                <w:lang w:val="fr-FR" w:eastAsia="fr-FR"/>
              </w:rPr>
            </w:pPr>
          </w:p>
          <w:p w:rsidR="005E7226" w:rsidRPr="00825BBE" w:rsidRDefault="005E7226" w:rsidP="005E7226">
            <w:pPr>
              <w:jc w:val="both"/>
              <w:rPr>
                <w:rFonts w:eastAsia="Times New Roman" w:cstheme="minorHAnsi"/>
                <w:lang w:val="fr-FR" w:eastAsia="fr-FR"/>
              </w:rPr>
            </w:pPr>
            <w:r w:rsidRPr="00825BBE">
              <w:rPr>
                <w:rFonts w:eastAsia="Times New Roman" w:cstheme="minorHAnsi"/>
                <w:lang w:val="fr-FR" w:eastAsia="fr-FR"/>
              </w:rPr>
              <w:t xml:space="preserve">C’est dans ce cadre que le PNUD cherche à recruter un (e) consultant (e ) international  (e ) chargé(e ) de mener </w:t>
            </w:r>
            <w:bookmarkStart w:id="3" w:name="_Hlk1535676"/>
            <w:r w:rsidRPr="00825BBE">
              <w:rPr>
                <w:rFonts w:eastAsia="Times New Roman" w:cstheme="minorHAnsi"/>
                <w:lang w:val="fr-FR" w:eastAsia="fr-FR"/>
              </w:rPr>
              <w:t>une évaluation institutionnelle sur des entraves à l’intégration du changements climatiques au niveau national. Il (elle) identifiera les entraves institutionnelles à la planification de l’adaptation aux changements climatiques en conduisant plusieurs évaluations dans au moins 10 institutions.</w:t>
            </w:r>
            <w:bookmarkEnd w:id="3"/>
            <w:r w:rsidRPr="00825BBE">
              <w:rPr>
                <w:rFonts w:eastAsia="Times New Roman" w:cstheme="minorHAnsi"/>
                <w:lang w:val="fr-FR" w:eastAsia="fr-FR"/>
              </w:rPr>
              <w:t xml:space="preserve"> Il (elle) améliorera l’efficacité des mécanismes de coordination et de mise en œuvre des investissements et de la planification de l’adaptation. Cela renforcera le rôle du MEDD/DDD dans sa tâche de coordination du processus de planification de l’ACC et de pilotage du comité national pour la planification ainsi que du suivi du document de Politique Stratégie et Plan d’Action en matière de Changements climatiques (PSPA-CC). </w:t>
            </w:r>
          </w:p>
          <w:p w:rsidR="005E7226" w:rsidRPr="00825BBE" w:rsidRDefault="005E7226" w:rsidP="005E7226">
            <w:pPr>
              <w:jc w:val="both"/>
              <w:rPr>
                <w:rFonts w:eastAsia="Times New Roman" w:cstheme="minorHAnsi"/>
                <w:lang w:val="fr-FR" w:eastAsia="fr-FR"/>
              </w:rPr>
            </w:pPr>
          </w:p>
          <w:p w:rsidR="005E7226" w:rsidRPr="00825BBE" w:rsidRDefault="005E7226" w:rsidP="005E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825BBE">
              <w:rPr>
                <w:rFonts w:eastAsia="Times New Roman" w:cstheme="minorHAnsi"/>
                <w:b/>
                <w:bCs/>
                <w:lang w:val="fr-FR" w:eastAsia="fr-FR"/>
              </w:rPr>
              <w:t>Objectif de la mission</w:t>
            </w:r>
          </w:p>
          <w:p w:rsidR="005E7226" w:rsidRPr="00825BBE" w:rsidRDefault="005E7226" w:rsidP="005E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FR" w:eastAsia="fr-FR"/>
              </w:rPr>
            </w:pPr>
            <w:r w:rsidRPr="00825BBE">
              <w:rPr>
                <w:rFonts w:eastAsia="Times New Roman" w:cstheme="minorHAnsi"/>
                <w:lang w:val="fr-FR" w:eastAsia="fr-FR"/>
              </w:rPr>
              <w:br/>
            </w:r>
            <w:r w:rsidRPr="00825BBE">
              <w:rPr>
                <w:rFonts w:eastAsia="Times New Roman" w:cstheme="minorHAnsi"/>
                <w:lang w:val="fr-FR" w:eastAsia="fr-FR"/>
              </w:rPr>
              <w:lastRenderedPageBreak/>
              <w:t>L’objectif de la mission est de procéder à l’é</w:t>
            </w:r>
            <w:r w:rsidRPr="00825BBE">
              <w:rPr>
                <w:rFonts w:cstheme="minorHAnsi"/>
                <w:lang w:val="fr-FR" w:eastAsia="fr-FR"/>
              </w:rPr>
              <w:t xml:space="preserve">valuation institutionnelle des entraves et des besoins des capacités pour l’intégration de l’Adaptation aux Changements Climatiques dans le processus provincial de planification </w:t>
            </w:r>
            <w:r w:rsidRPr="00825BBE">
              <w:rPr>
                <w:rFonts w:eastAsia="Times New Roman" w:cstheme="minorHAnsi"/>
                <w:lang w:val="fr-FR" w:eastAsia="fr-FR"/>
              </w:rPr>
              <w:t>et de faire des propositions et recommandations pour améliorer le cadre institutionnel, en tenant compte de l’égalité des sexes et de la vulnérabilité aux conditions climatiques.</w:t>
            </w:r>
          </w:p>
          <w:p w:rsidR="0037636E" w:rsidRPr="00825BBE" w:rsidRDefault="0037636E" w:rsidP="005E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FR" w:eastAsia="fr-FR"/>
              </w:rPr>
            </w:pPr>
          </w:p>
          <w:p w:rsidR="005E7226" w:rsidRPr="00825BBE" w:rsidRDefault="005E7226" w:rsidP="005E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FR" w:eastAsia="fr-FR"/>
              </w:rPr>
            </w:pPr>
            <w:r w:rsidRPr="00825BBE">
              <w:rPr>
                <w:rFonts w:eastAsia="Times New Roman" w:cstheme="minorHAnsi"/>
                <w:lang w:val="fr-FR" w:eastAsia="fr-FR"/>
              </w:rPr>
              <w:t xml:space="preserve">La mission sera menée dans </w:t>
            </w:r>
            <w:r w:rsidR="003D51AC" w:rsidRPr="00825BBE">
              <w:rPr>
                <w:rFonts w:eastAsia="Times New Roman" w:cstheme="minorHAnsi"/>
                <w:lang w:val="fr-FR" w:eastAsia="fr-FR"/>
              </w:rPr>
              <w:t xml:space="preserve">deux </w:t>
            </w:r>
            <w:r w:rsidRPr="00825BBE">
              <w:rPr>
                <w:rFonts w:eastAsia="Times New Roman" w:cstheme="minorHAnsi"/>
                <w:lang w:val="fr-FR" w:eastAsia="fr-FR"/>
              </w:rPr>
              <w:t xml:space="preserve">provinces pilotes : </w:t>
            </w:r>
            <w:r w:rsidR="003D51AC" w:rsidRPr="00825BBE">
              <w:rPr>
                <w:rFonts w:eastAsia="Times New Roman" w:cstheme="minorHAnsi"/>
                <w:lang w:val="fr-FR" w:eastAsia="fr-FR"/>
              </w:rPr>
              <w:t>Tshopo et Haut-Katanga</w:t>
            </w:r>
            <w:bookmarkStart w:id="4" w:name="_Hlk5183747"/>
            <w:r w:rsidR="0037636E" w:rsidRPr="00825BBE">
              <w:rPr>
                <w:rFonts w:eastAsia="Times New Roman" w:cstheme="minorHAnsi"/>
                <w:lang w:val="fr-FR" w:eastAsia="fr-FR"/>
              </w:rPr>
              <w:t>.</w:t>
            </w:r>
            <w:bookmarkEnd w:id="4"/>
          </w:p>
          <w:p w:rsidR="00AF0F93" w:rsidRPr="00825BBE" w:rsidRDefault="00AF0F93" w:rsidP="00AF0F93">
            <w:pPr>
              <w:jc w:val="both"/>
              <w:rPr>
                <w:rFonts w:cstheme="minorHAnsi"/>
                <w:lang w:val="fr-FR"/>
              </w:rPr>
            </w:pPr>
          </w:p>
        </w:tc>
      </w:tr>
    </w:tbl>
    <w:p w:rsidR="005E7226" w:rsidRPr="00825BBE" w:rsidRDefault="005E7226" w:rsidP="009E2B22">
      <w:pPr>
        <w:tabs>
          <w:tab w:val="left" w:pos="1410"/>
        </w:tabs>
        <w:rPr>
          <w:rFonts w:cstheme="minorHAnsi"/>
          <w:b/>
          <w:sz w:val="20"/>
          <w:szCs w:val="20"/>
          <w:lang w:val="fr-FR"/>
        </w:rPr>
      </w:pPr>
    </w:p>
    <w:p w:rsidR="00626DA2" w:rsidRPr="00825BBE" w:rsidRDefault="00984CA9" w:rsidP="00626DA2">
      <w:pPr>
        <w:rPr>
          <w:rFonts w:cstheme="minorHAnsi"/>
          <w:b/>
          <w:sz w:val="20"/>
          <w:szCs w:val="20"/>
          <w:lang w:val="fr-FR"/>
        </w:rPr>
      </w:pPr>
      <w:r w:rsidRPr="00825BBE">
        <w:rPr>
          <w:rFonts w:cstheme="minorHAnsi"/>
          <w:b/>
          <w:sz w:val="20"/>
          <w:szCs w:val="20"/>
          <w:lang w:val="fr-FR"/>
        </w:rPr>
        <w:t>2</w:t>
      </w:r>
      <w:r w:rsidR="00626DA2" w:rsidRPr="00825BBE">
        <w:rPr>
          <w:rFonts w:cstheme="minorHAnsi"/>
          <w:b/>
          <w:sz w:val="20"/>
          <w:szCs w:val="20"/>
          <w:lang w:val="fr-FR"/>
        </w:rPr>
        <w:t xml:space="preserve">. </w:t>
      </w:r>
      <w:r w:rsidRPr="00825BBE">
        <w:rPr>
          <w:rFonts w:cstheme="minorHAnsi"/>
          <w:b/>
          <w:sz w:val="20"/>
          <w:szCs w:val="20"/>
          <w:lang w:val="fr-FR"/>
        </w:rPr>
        <w:t>Méthodologie de travail</w:t>
      </w:r>
    </w:p>
    <w:tbl>
      <w:tblPr>
        <w:tblStyle w:val="Grilledutableau"/>
        <w:tblW w:w="0" w:type="auto"/>
        <w:tblLook w:val="04A0"/>
      </w:tblPr>
      <w:tblGrid>
        <w:gridCol w:w="9350"/>
      </w:tblGrid>
      <w:tr w:rsidR="00626DA2" w:rsidRPr="009A3491" w:rsidTr="00661B15">
        <w:tc>
          <w:tcPr>
            <w:tcW w:w="9350" w:type="dxa"/>
          </w:tcPr>
          <w:p w:rsidR="005E7226" w:rsidRPr="00825BBE" w:rsidRDefault="005E7226" w:rsidP="005E7226">
            <w:pPr>
              <w:jc w:val="both"/>
              <w:rPr>
                <w:rFonts w:eastAsia="Calibri" w:cstheme="minorHAnsi"/>
                <w:b/>
                <w:lang w:val="fr-FR"/>
              </w:rPr>
            </w:pPr>
            <w:r w:rsidRPr="00825BBE">
              <w:rPr>
                <w:rFonts w:eastAsia="Calibri" w:cstheme="minorHAnsi"/>
                <w:b/>
                <w:lang w:val="fr-FR"/>
              </w:rPr>
              <w:t>Méthodologie de travail</w:t>
            </w:r>
          </w:p>
          <w:p w:rsidR="005E7226" w:rsidRPr="00825BBE" w:rsidRDefault="005E7226" w:rsidP="005E7226">
            <w:pPr>
              <w:ind w:left="720"/>
              <w:jc w:val="both"/>
              <w:rPr>
                <w:rFonts w:eastAsia="Calibri" w:cstheme="minorHAnsi"/>
                <w:lang w:val="fr-FR"/>
              </w:rPr>
            </w:pPr>
          </w:p>
          <w:p w:rsidR="005E7226" w:rsidRPr="00825BBE" w:rsidRDefault="005E7226" w:rsidP="005E7226">
            <w:pPr>
              <w:jc w:val="both"/>
              <w:rPr>
                <w:rFonts w:eastAsia="Calibri" w:cstheme="minorHAnsi"/>
                <w:lang w:val="fr-FR"/>
              </w:rPr>
            </w:pPr>
            <w:r w:rsidRPr="00825BBE">
              <w:rPr>
                <w:rFonts w:eastAsia="Calibri" w:cstheme="minorHAnsi"/>
                <w:lang w:val="fr-FR"/>
              </w:rPr>
              <w:t xml:space="preserve">L’évaluation sera conduite par </w:t>
            </w:r>
            <w:r w:rsidR="000B468F" w:rsidRPr="00825BBE">
              <w:rPr>
                <w:rFonts w:eastAsia="Calibri" w:cstheme="minorHAnsi"/>
                <w:lang w:val="fr-FR"/>
              </w:rPr>
              <w:t>un ( e)</w:t>
            </w:r>
            <w:r w:rsidRPr="00825BBE">
              <w:rPr>
                <w:rFonts w:eastAsia="Calibri" w:cstheme="minorHAnsi"/>
                <w:lang w:val="fr-FR"/>
              </w:rPr>
              <w:t xml:space="preserve"> consultant (e) nationa</w:t>
            </w:r>
            <w:r w:rsidR="000B468F" w:rsidRPr="00825BBE">
              <w:rPr>
                <w:rFonts w:eastAsia="Calibri" w:cstheme="minorHAnsi"/>
                <w:lang w:val="fr-FR"/>
              </w:rPr>
              <w:t>l (e )</w:t>
            </w:r>
            <w:r w:rsidRPr="00825BBE">
              <w:rPr>
                <w:rFonts w:eastAsia="Calibri" w:cstheme="minorHAnsi"/>
                <w:lang w:val="fr-FR"/>
              </w:rPr>
              <w:t xml:space="preserve"> qui doi</w:t>
            </w:r>
            <w:r w:rsidR="000B468F" w:rsidRPr="00825BBE">
              <w:rPr>
                <w:rFonts w:eastAsia="Calibri" w:cstheme="minorHAnsi"/>
                <w:lang w:val="fr-FR"/>
              </w:rPr>
              <w:t>t</w:t>
            </w:r>
            <w:r w:rsidRPr="00825BBE">
              <w:rPr>
                <w:rFonts w:eastAsia="Calibri" w:cstheme="minorHAnsi"/>
                <w:lang w:val="fr-FR"/>
              </w:rPr>
              <w:t xml:space="preserve"> adopter une approche participative et inclusive. Il sera question des entretiens et réunions avec les experts de l’administration publique responsables et des services techniques (environnement, genre, développement rural, plan, agriculture, affaires foncières, aménagement du territoire, santé, …), les organisations de la société civile et du secteur privé engagées sur les questions des changements climatiques. </w:t>
            </w:r>
          </w:p>
          <w:p w:rsidR="000B468F" w:rsidRPr="00825BBE" w:rsidRDefault="000B468F" w:rsidP="005E7226">
            <w:pPr>
              <w:jc w:val="both"/>
              <w:rPr>
                <w:rFonts w:eastAsia="Calibri" w:cstheme="minorHAnsi"/>
                <w:lang w:val="fr-FR"/>
              </w:rPr>
            </w:pPr>
          </w:p>
          <w:p w:rsidR="005E7226" w:rsidRPr="00825BBE" w:rsidRDefault="005E7226" w:rsidP="005E7226">
            <w:pPr>
              <w:jc w:val="both"/>
              <w:rPr>
                <w:rFonts w:eastAsia="Calibri" w:cstheme="minorHAnsi"/>
                <w:lang w:val="fr-FR"/>
              </w:rPr>
            </w:pPr>
            <w:r w:rsidRPr="00825BBE">
              <w:rPr>
                <w:rFonts w:eastAsia="Calibri" w:cstheme="minorHAnsi"/>
                <w:lang w:val="fr-FR"/>
              </w:rPr>
              <w:t>Après la signature du contrat, il (elle) aur</w:t>
            </w:r>
            <w:r w:rsidR="000B468F" w:rsidRPr="00825BBE">
              <w:rPr>
                <w:rFonts w:eastAsia="Calibri" w:cstheme="minorHAnsi"/>
                <w:lang w:val="fr-FR"/>
              </w:rPr>
              <w:t xml:space="preserve">a </w:t>
            </w:r>
            <w:r w:rsidRPr="00825BBE">
              <w:rPr>
                <w:rFonts w:eastAsia="Calibri" w:cstheme="minorHAnsi"/>
                <w:lang w:val="fr-FR"/>
              </w:rPr>
              <w:t>02 jours pour préparer le cadrage méthodologique et une feuille de route. Il (elle) v</w:t>
            </w:r>
            <w:r w:rsidR="000B468F" w:rsidRPr="00825BBE">
              <w:rPr>
                <w:rFonts w:eastAsia="Calibri" w:cstheme="minorHAnsi"/>
                <w:lang w:val="fr-FR"/>
              </w:rPr>
              <w:t xml:space="preserve">a </w:t>
            </w:r>
            <w:r w:rsidRPr="00825BBE">
              <w:rPr>
                <w:rFonts w:eastAsia="Calibri" w:cstheme="minorHAnsi"/>
                <w:lang w:val="fr-FR"/>
              </w:rPr>
              <w:t>interagir avec les institutions au niveau national et provincial pour collecter les informations et les données nécessaires, conduire des entretiens avec les acteurs clés, et analyser les données.  Il (elle) rédiger</w:t>
            </w:r>
            <w:r w:rsidR="000B468F" w:rsidRPr="00825BBE">
              <w:rPr>
                <w:rFonts w:eastAsia="Calibri" w:cstheme="minorHAnsi"/>
                <w:lang w:val="fr-FR"/>
              </w:rPr>
              <w:t>a</w:t>
            </w:r>
            <w:r w:rsidRPr="00825BBE">
              <w:rPr>
                <w:rFonts w:eastAsia="Calibri" w:cstheme="minorHAnsi"/>
                <w:lang w:val="fr-FR"/>
              </w:rPr>
              <w:t xml:space="preserve"> le rapport et le présenter</w:t>
            </w:r>
            <w:r w:rsidR="000B468F" w:rsidRPr="00825BBE">
              <w:rPr>
                <w:rFonts w:eastAsia="Calibri" w:cstheme="minorHAnsi"/>
                <w:lang w:val="fr-FR"/>
              </w:rPr>
              <w:t xml:space="preserve">a </w:t>
            </w:r>
            <w:r w:rsidRPr="00825BBE">
              <w:rPr>
                <w:rFonts w:eastAsia="Calibri" w:cstheme="minorHAnsi"/>
                <w:lang w:val="fr-FR"/>
              </w:rPr>
              <w:t xml:space="preserve">lors d’un atelier provincial de validation. </w:t>
            </w:r>
          </w:p>
          <w:p w:rsidR="005E7226" w:rsidRPr="00825BBE" w:rsidRDefault="005E7226" w:rsidP="005E7226">
            <w:pPr>
              <w:jc w:val="both"/>
              <w:rPr>
                <w:rFonts w:eastAsia="Calibri" w:cstheme="minorHAnsi"/>
                <w:lang w:val="fr-FR"/>
              </w:rPr>
            </w:pPr>
            <w:r w:rsidRPr="00825BBE">
              <w:rPr>
                <w:rFonts w:eastAsia="Calibri" w:cstheme="minorHAnsi"/>
                <w:lang w:val="fr-FR"/>
              </w:rPr>
              <w:t>Il (elle) animer</w:t>
            </w:r>
            <w:r w:rsidR="000B468F" w:rsidRPr="00825BBE">
              <w:rPr>
                <w:rFonts w:eastAsia="Calibri" w:cstheme="minorHAnsi"/>
                <w:lang w:val="fr-FR"/>
              </w:rPr>
              <w:t xml:space="preserve">a </w:t>
            </w:r>
            <w:r w:rsidRPr="00825BBE">
              <w:rPr>
                <w:rFonts w:eastAsia="Calibri" w:cstheme="minorHAnsi"/>
                <w:lang w:val="fr-FR"/>
              </w:rPr>
              <w:t xml:space="preserve">ledit atelier et rédigera son compte rendu. La durée de la mission est </w:t>
            </w:r>
            <w:r w:rsidR="000B468F" w:rsidRPr="00825BBE">
              <w:rPr>
                <w:rFonts w:eastAsia="Calibri" w:cstheme="minorHAnsi"/>
                <w:lang w:val="fr-FR"/>
              </w:rPr>
              <w:t xml:space="preserve">de </w:t>
            </w:r>
            <w:r w:rsidR="003D51AC" w:rsidRPr="00825BBE">
              <w:rPr>
                <w:rFonts w:eastAsia="Calibri" w:cstheme="minorHAnsi"/>
                <w:lang w:val="fr-FR"/>
              </w:rPr>
              <w:t>4</w:t>
            </w:r>
            <w:r w:rsidRPr="00825BBE">
              <w:rPr>
                <w:rFonts w:eastAsia="Calibri" w:cstheme="minorHAnsi"/>
                <w:lang w:val="fr-FR"/>
              </w:rPr>
              <w:t>0 H/J</w:t>
            </w:r>
            <w:r w:rsidR="000B468F" w:rsidRPr="00825BBE">
              <w:rPr>
                <w:rFonts w:eastAsia="Calibri" w:cstheme="minorHAnsi"/>
                <w:lang w:val="fr-FR"/>
              </w:rPr>
              <w:t xml:space="preserve"> répartis sur </w:t>
            </w:r>
            <w:r w:rsidR="003D51AC" w:rsidRPr="00825BBE">
              <w:rPr>
                <w:rFonts w:eastAsia="Calibri" w:cstheme="minorHAnsi"/>
                <w:lang w:val="fr-FR"/>
              </w:rPr>
              <w:t>7</w:t>
            </w:r>
            <w:r w:rsidRPr="00825BBE">
              <w:rPr>
                <w:rFonts w:eastAsia="Calibri" w:cstheme="minorHAnsi"/>
                <w:lang w:val="fr-FR"/>
              </w:rPr>
              <w:t>0 jours calendaires.</w:t>
            </w:r>
          </w:p>
          <w:p w:rsidR="005E7226" w:rsidRPr="00825BBE" w:rsidRDefault="005E7226" w:rsidP="005E7226">
            <w:pPr>
              <w:jc w:val="both"/>
              <w:rPr>
                <w:rFonts w:eastAsia="Calibri" w:cstheme="minorHAnsi"/>
                <w:b/>
                <w:lang w:val="fr-FR"/>
              </w:rPr>
            </w:pPr>
            <w:r w:rsidRPr="00825BBE">
              <w:rPr>
                <w:rFonts w:eastAsia="Calibri" w:cstheme="minorHAnsi"/>
                <w:lang w:val="fr-FR"/>
              </w:rPr>
              <w:t>Durant la mission, il (elle) maintiendr</w:t>
            </w:r>
            <w:r w:rsidR="000B468F" w:rsidRPr="00825BBE">
              <w:rPr>
                <w:rFonts w:eastAsia="Calibri" w:cstheme="minorHAnsi"/>
                <w:lang w:val="fr-FR"/>
              </w:rPr>
              <w:t>a</w:t>
            </w:r>
            <w:r w:rsidRPr="00825BBE">
              <w:rPr>
                <w:rFonts w:eastAsia="Calibri" w:cstheme="minorHAnsi"/>
                <w:lang w:val="fr-FR"/>
              </w:rPr>
              <w:t xml:space="preserve"> une communication optimale avec le Coordonnateur du Projet PNA et l’Analyste au programme, tous basés à Kinshasa à travers des comptes rendus réguliers succincts, au minimum une fois par semaine.</w:t>
            </w:r>
          </w:p>
          <w:p w:rsidR="005E7226" w:rsidRPr="00825BBE" w:rsidRDefault="005E7226" w:rsidP="005E7226">
            <w:pPr>
              <w:jc w:val="both"/>
              <w:rPr>
                <w:rFonts w:eastAsia="Calibri" w:cstheme="minorHAnsi"/>
                <w:b/>
                <w:lang w:val="fr-FR"/>
              </w:rPr>
            </w:pPr>
          </w:p>
          <w:p w:rsidR="005E7226" w:rsidRPr="00825BBE" w:rsidRDefault="005E7226" w:rsidP="005E7226">
            <w:pPr>
              <w:jc w:val="both"/>
              <w:rPr>
                <w:rFonts w:eastAsia="Calibri" w:cstheme="minorHAnsi"/>
                <w:b/>
                <w:lang w:val="fr-FR"/>
              </w:rPr>
            </w:pPr>
            <w:r w:rsidRPr="00825BBE">
              <w:rPr>
                <w:rFonts w:eastAsia="Calibri" w:cstheme="minorHAnsi"/>
                <w:b/>
                <w:lang w:val="fr-FR"/>
              </w:rPr>
              <w:t>Arrangement de mise en œuvre :</w:t>
            </w:r>
          </w:p>
          <w:p w:rsidR="005E7226" w:rsidRPr="00825BBE" w:rsidRDefault="005E7226" w:rsidP="005E7226">
            <w:pPr>
              <w:jc w:val="both"/>
              <w:rPr>
                <w:rFonts w:eastAsia="Calibri" w:cstheme="minorHAnsi"/>
                <w:lang w:val="fr-FR"/>
              </w:rPr>
            </w:pPr>
          </w:p>
          <w:p w:rsidR="005E7226" w:rsidRPr="00825BBE" w:rsidRDefault="005E7226" w:rsidP="005E7226">
            <w:pPr>
              <w:jc w:val="both"/>
              <w:rPr>
                <w:rFonts w:eastAsia="Calibri" w:cstheme="minorHAnsi"/>
                <w:b/>
                <w:lang w:val="fr-FR"/>
              </w:rPr>
            </w:pPr>
            <w:r w:rsidRPr="00825BBE">
              <w:rPr>
                <w:rFonts w:eastAsia="Calibri" w:cstheme="minorHAnsi"/>
                <w:lang w:val="fr-FR"/>
              </w:rPr>
              <w:t>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L’équipe assurera la coordination, l’organisation et la gestion du processus, y compris la liaison avec les partenaires, l’appui technique et la fourniture de la documentation et des commentaires pertinents au consultant.</w:t>
            </w:r>
          </w:p>
          <w:p w:rsidR="00626DA2" w:rsidRPr="00825BBE" w:rsidRDefault="00626DA2" w:rsidP="005E7226">
            <w:pPr>
              <w:pStyle w:val="Paragraphedeliste"/>
              <w:rPr>
                <w:rFonts w:cstheme="minorHAnsi"/>
                <w:lang w:val="fr-BE"/>
              </w:rPr>
            </w:pPr>
          </w:p>
        </w:tc>
      </w:tr>
    </w:tbl>
    <w:p w:rsidR="00626DA2" w:rsidRPr="00825BBE" w:rsidRDefault="00626DA2" w:rsidP="009E2B22">
      <w:pPr>
        <w:tabs>
          <w:tab w:val="left" w:pos="1410"/>
        </w:tabs>
        <w:rPr>
          <w:rFonts w:cstheme="minorHAnsi"/>
          <w:b/>
          <w:sz w:val="20"/>
          <w:szCs w:val="20"/>
          <w:lang w:val="fr-FR"/>
        </w:rPr>
      </w:pPr>
    </w:p>
    <w:p w:rsidR="00944F40" w:rsidRPr="00825BBE" w:rsidRDefault="0068022B" w:rsidP="00A24134">
      <w:pPr>
        <w:rPr>
          <w:rFonts w:cstheme="minorHAnsi"/>
          <w:b/>
          <w:sz w:val="20"/>
          <w:szCs w:val="20"/>
          <w:lang w:val="fr-FR"/>
        </w:rPr>
      </w:pPr>
      <w:r w:rsidRPr="00825BBE">
        <w:rPr>
          <w:rFonts w:cstheme="minorHAnsi"/>
          <w:b/>
          <w:sz w:val="20"/>
          <w:szCs w:val="20"/>
          <w:lang w:val="fr-FR"/>
        </w:rPr>
        <w:t>3</w:t>
      </w:r>
      <w:r w:rsidR="00944F40" w:rsidRPr="00825BBE">
        <w:rPr>
          <w:rFonts w:cstheme="minorHAnsi"/>
          <w:b/>
          <w:sz w:val="20"/>
          <w:szCs w:val="20"/>
          <w:lang w:val="fr-FR"/>
        </w:rPr>
        <w:t xml:space="preserve">. </w:t>
      </w:r>
      <w:r w:rsidR="00984CA9" w:rsidRPr="00825BBE">
        <w:rPr>
          <w:rFonts w:cstheme="minorHAnsi"/>
          <w:b/>
          <w:bCs/>
          <w:lang w:val="fr-FR"/>
        </w:rPr>
        <w:t>Fonctions</w:t>
      </w:r>
      <w:r w:rsidRPr="00825BBE">
        <w:rPr>
          <w:rFonts w:cstheme="minorHAnsi"/>
          <w:b/>
          <w:bCs/>
          <w:lang w:val="fr-FR"/>
        </w:rPr>
        <w:t xml:space="preserve"> et responsabilités</w:t>
      </w:r>
    </w:p>
    <w:tbl>
      <w:tblPr>
        <w:tblStyle w:val="Grilledutableau"/>
        <w:tblW w:w="0" w:type="auto"/>
        <w:tblLook w:val="04A0"/>
      </w:tblPr>
      <w:tblGrid>
        <w:gridCol w:w="9350"/>
      </w:tblGrid>
      <w:tr w:rsidR="00411EDD" w:rsidRPr="009A3491" w:rsidTr="00411EDD">
        <w:tc>
          <w:tcPr>
            <w:tcW w:w="9350" w:type="dxa"/>
          </w:tcPr>
          <w:p w:rsidR="00411EDD" w:rsidRPr="00825BBE" w:rsidRDefault="00411EDD" w:rsidP="00411EDD">
            <w:pPr>
              <w:pStyle w:val="Paragraphedeliste"/>
              <w:ind w:left="284"/>
              <w:contextualSpacing w:val="0"/>
              <w:jc w:val="both"/>
              <w:rPr>
                <w:rFonts w:cstheme="minorHAnsi"/>
                <w:lang w:val="fr-FR"/>
              </w:rPr>
            </w:pPr>
          </w:p>
          <w:p w:rsidR="005E7226" w:rsidRPr="00825BBE" w:rsidRDefault="005E7226" w:rsidP="005E7226">
            <w:pPr>
              <w:jc w:val="both"/>
              <w:rPr>
                <w:rFonts w:eastAsia="Calibri" w:cstheme="minorHAnsi"/>
                <w:lang w:val="fr-FR"/>
              </w:rPr>
            </w:pPr>
            <w:r w:rsidRPr="00825BBE">
              <w:rPr>
                <w:rFonts w:eastAsia="Calibri" w:cstheme="minorHAnsi"/>
                <w:lang w:val="fr-FR"/>
              </w:rPr>
              <w:t xml:space="preserve">Sous la supervision générale du Team Leader de l’Unité Croissance Inclusive et Développement Durable (CIDD), en étroite coordination avec le Coordonnateur du Pilier CIDD avec l’appui de </w:t>
            </w:r>
            <w:r w:rsidRPr="00825BBE">
              <w:rPr>
                <w:rFonts w:eastAsia="Calibri" w:cstheme="minorHAnsi"/>
                <w:lang w:val="fr-FR"/>
              </w:rPr>
              <w:lastRenderedPageBreak/>
              <w:t>l’analyste au programme du PNUD en charge de la composante « Changements climatiques et Economie Verte » (CCEV), et sous la supervision directe du Coordonnateur du Projet PNA.</w:t>
            </w:r>
          </w:p>
          <w:p w:rsidR="000B468F" w:rsidRPr="00825BBE" w:rsidRDefault="000B468F" w:rsidP="005E7226">
            <w:pPr>
              <w:jc w:val="both"/>
              <w:rPr>
                <w:rFonts w:eastAsia="Calibri" w:cstheme="minorHAnsi"/>
                <w:lang w:val="fr-FR"/>
              </w:rPr>
            </w:pPr>
          </w:p>
          <w:p w:rsidR="005E7226" w:rsidRPr="00825BBE" w:rsidRDefault="005E7226" w:rsidP="005E7226">
            <w:pPr>
              <w:jc w:val="both"/>
              <w:rPr>
                <w:rFonts w:eastAsia="Calibri" w:cstheme="minorHAnsi"/>
                <w:lang w:val="fr-FR"/>
              </w:rPr>
            </w:pPr>
            <w:r w:rsidRPr="00825BBE">
              <w:rPr>
                <w:rFonts w:eastAsia="Calibri" w:cstheme="minorHAnsi"/>
                <w:lang w:val="fr-FR"/>
              </w:rPr>
              <w:t>De manière spécifique, Le</w:t>
            </w:r>
            <w:r w:rsidR="000B468F" w:rsidRPr="00825BBE">
              <w:rPr>
                <w:rFonts w:eastAsia="Calibri" w:cstheme="minorHAnsi"/>
                <w:lang w:val="fr-FR"/>
              </w:rPr>
              <w:t xml:space="preserve"> (la) </w:t>
            </w:r>
            <w:r w:rsidRPr="00825BBE">
              <w:rPr>
                <w:rFonts w:eastAsia="Calibri" w:cstheme="minorHAnsi"/>
                <w:lang w:val="fr-FR"/>
              </w:rPr>
              <w:t>Consultant(e) en évaluation institutionnelle ser</w:t>
            </w:r>
            <w:r w:rsidR="000B468F" w:rsidRPr="00825BBE">
              <w:rPr>
                <w:rFonts w:eastAsia="Calibri" w:cstheme="minorHAnsi"/>
                <w:lang w:val="fr-FR"/>
              </w:rPr>
              <w:t xml:space="preserve">a </w:t>
            </w:r>
            <w:r w:rsidRPr="00825BBE">
              <w:rPr>
                <w:rFonts w:eastAsia="Calibri" w:cstheme="minorHAnsi"/>
                <w:lang w:val="fr-FR"/>
              </w:rPr>
              <w:t xml:space="preserve">chargé(e) de : </w:t>
            </w:r>
          </w:p>
          <w:p w:rsidR="005E7226" w:rsidRPr="00825BBE" w:rsidRDefault="005E7226" w:rsidP="005E722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825BBE">
              <w:rPr>
                <w:rFonts w:eastAsia="Calibri" w:cstheme="minorHAnsi"/>
                <w:lang w:val="fr-FR"/>
              </w:rPr>
              <w:t>Identifier au niveau provincial des institutions et/ou organisations impliqués dans les questions des changements climatiques</w:t>
            </w:r>
            <w:r w:rsidR="000B468F" w:rsidRPr="00825BBE">
              <w:rPr>
                <w:rFonts w:eastAsia="Calibri" w:cstheme="minorHAnsi"/>
                <w:lang w:val="fr-FR"/>
              </w:rPr>
              <w:t> ;</w:t>
            </w:r>
            <w:r w:rsidRPr="00825BBE">
              <w:rPr>
                <w:rFonts w:eastAsia="Calibri" w:cstheme="minorHAnsi"/>
                <w:lang w:val="fr-FR"/>
              </w:rPr>
              <w:t> </w:t>
            </w:r>
          </w:p>
          <w:p w:rsidR="005E7226" w:rsidRPr="00825BBE" w:rsidRDefault="005E7226" w:rsidP="005E722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825BBE">
              <w:rPr>
                <w:rFonts w:cstheme="minorHAnsi"/>
                <w:lang w:val="fr-FR" w:eastAsia="fr-FR"/>
              </w:rPr>
              <w:t>Analyser le dispositif institutionnel au niveau provincial en matière des changements climatiques</w:t>
            </w:r>
            <w:r w:rsidR="000B468F" w:rsidRPr="00825BBE">
              <w:rPr>
                <w:rFonts w:cstheme="minorHAnsi"/>
                <w:lang w:val="fr-FR" w:eastAsia="fr-FR"/>
              </w:rPr>
              <w:t> ;</w:t>
            </w:r>
            <w:r w:rsidRPr="00825BBE">
              <w:rPr>
                <w:rFonts w:cstheme="minorHAnsi"/>
                <w:lang w:val="fr-FR" w:eastAsia="fr-FR"/>
              </w:rPr>
              <w:t xml:space="preserve">   </w:t>
            </w:r>
          </w:p>
          <w:p w:rsidR="005E7226" w:rsidRPr="00825BBE" w:rsidRDefault="005E7226" w:rsidP="005E7226">
            <w:pPr>
              <w:pStyle w:val="Paragraphedeliste"/>
              <w:numPr>
                <w:ilvl w:val="0"/>
                <w:numId w:val="25"/>
              </w:numPr>
              <w:jc w:val="both"/>
              <w:rPr>
                <w:rFonts w:eastAsia="Calibri" w:cstheme="minorHAnsi"/>
                <w:lang w:val="fr-FR"/>
              </w:rPr>
            </w:pPr>
            <w:r w:rsidRPr="00825BBE">
              <w:rPr>
                <w:rFonts w:eastAsia="Calibri" w:cstheme="minorHAnsi"/>
                <w:lang w:val="fr-FR"/>
              </w:rPr>
              <w:t>Evaluer les compétences du personnel administratif (homme-femme) des coordinations provinciales de l’environnement, des ministères provinciaux sectoriels, des services techniques spécialisés ; des organisations de la société civile, et du secteur privé ;</w:t>
            </w:r>
          </w:p>
          <w:p w:rsidR="005E7226" w:rsidRPr="00825BBE" w:rsidRDefault="005E7226" w:rsidP="005E722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825BBE">
              <w:rPr>
                <w:rFonts w:cstheme="minorHAnsi"/>
                <w:lang w:val="fr-FR" w:eastAsia="fr-FR"/>
              </w:rPr>
              <w:t>Évaluer les entraves au cadre institutionnel liées à l’intégration de l’ACC au niveau provincial</w:t>
            </w:r>
            <w:r w:rsidR="000B468F" w:rsidRPr="00825BBE">
              <w:rPr>
                <w:rFonts w:cstheme="minorHAnsi"/>
                <w:lang w:val="fr-FR" w:eastAsia="fr-FR"/>
              </w:rPr>
              <w:t> ;</w:t>
            </w:r>
          </w:p>
          <w:p w:rsidR="005E7226" w:rsidRPr="00825BBE" w:rsidRDefault="005E7226" w:rsidP="005E7226">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825BBE">
              <w:rPr>
                <w:rFonts w:cstheme="minorHAnsi"/>
                <w:lang w:val="fr-FR" w:eastAsia="fr-FR"/>
              </w:rPr>
              <w:t>Evaluer les besoins en renforcement des capacités des institutions provinciales pour l’intégration de l’adaptation aux changements climatiques dans les Plans de Développement Provinciaux (PDP) ;</w:t>
            </w:r>
          </w:p>
          <w:p w:rsidR="005E7226" w:rsidRPr="00825BBE" w:rsidRDefault="005E7226" w:rsidP="005E7226">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825BBE">
              <w:rPr>
                <w:rFonts w:eastAsia="Calibri" w:cstheme="minorHAnsi"/>
                <w:lang w:val="fr-FR"/>
              </w:rPr>
              <w:t>Faire une analyse SWOT des institutions ciblées en matière d’intégration des ODD 5 et 13</w:t>
            </w:r>
            <w:r w:rsidR="000B468F" w:rsidRPr="00825BBE">
              <w:rPr>
                <w:rFonts w:eastAsia="Calibri" w:cstheme="minorHAnsi"/>
                <w:lang w:val="fr-FR"/>
              </w:rPr>
              <w:t> ;</w:t>
            </w:r>
          </w:p>
          <w:p w:rsidR="005E7226" w:rsidRPr="00825BBE" w:rsidRDefault="005E7226" w:rsidP="005E7226">
            <w:pPr>
              <w:numPr>
                <w:ilvl w:val="0"/>
                <w:numId w:val="25"/>
              </w:numPr>
              <w:jc w:val="both"/>
              <w:rPr>
                <w:rFonts w:eastAsia="Calibri" w:cstheme="minorHAnsi"/>
                <w:lang w:val="fr-FR"/>
              </w:rPr>
            </w:pPr>
            <w:r w:rsidRPr="00825BBE">
              <w:rPr>
                <w:rFonts w:eastAsia="Calibri" w:cstheme="minorHAnsi"/>
                <w:lang w:val="fr-FR"/>
              </w:rPr>
              <w:t xml:space="preserve">Evaluer les mécanismes de financement existants en matière des changements climatiques et les éventuelles opportunités de financement ; </w:t>
            </w:r>
          </w:p>
          <w:p w:rsidR="005E7226" w:rsidRPr="00825BBE" w:rsidRDefault="005E7226" w:rsidP="005E7226">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825BBE">
              <w:rPr>
                <w:rFonts w:eastAsia="Calibri" w:cstheme="minorHAnsi"/>
                <w:lang w:val="fr-FR"/>
              </w:rPr>
              <w:t>Proposer des outils sensibles au genre pour mesurer la performance des institutions ciblées sur les questions des changements climatiques</w:t>
            </w:r>
            <w:r w:rsidR="000B468F" w:rsidRPr="00825BBE">
              <w:rPr>
                <w:rFonts w:eastAsia="Calibri" w:cstheme="minorHAnsi"/>
                <w:lang w:val="fr-FR"/>
              </w:rPr>
              <w:t> ;</w:t>
            </w:r>
            <w:r w:rsidRPr="00825BBE">
              <w:rPr>
                <w:rFonts w:eastAsia="Calibri" w:cstheme="minorHAnsi"/>
                <w:lang w:val="fr-FR"/>
              </w:rPr>
              <w:t> </w:t>
            </w:r>
          </w:p>
          <w:p w:rsidR="005E7226" w:rsidRPr="00825BBE" w:rsidRDefault="005E7226" w:rsidP="005E7226">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fr-FR" w:eastAsia="fr-FR"/>
              </w:rPr>
            </w:pPr>
            <w:r w:rsidRPr="00825BBE">
              <w:rPr>
                <w:rFonts w:cstheme="minorHAnsi"/>
                <w:lang w:val="fr-FR" w:eastAsia="fr-FR"/>
              </w:rPr>
              <w:t>Faire des propositions et recommandations en vue d’améliorer le cadre institutionnel provincial pour la planification de l’adaptation aux changements climatiques (ACC) ;</w:t>
            </w:r>
          </w:p>
          <w:p w:rsidR="005E7226" w:rsidRPr="00825BBE" w:rsidRDefault="005E7226" w:rsidP="005E722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FR" w:eastAsia="fr-FR"/>
              </w:rPr>
            </w:pPr>
            <w:r w:rsidRPr="00825BBE">
              <w:rPr>
                <w:rFonts w:cstheme="minorHAnsi"/>
                <w:lang w:val="fr-FR" w:eastAsia="fr-FR"/>
              </w:rPr>
              <w:t>Proposer un plan de renforcement des capacités pour l’intégration de l’ACC dans la planification du développement provincial ;</w:t>
            </w:r>
          </w:p>
          <w:p w:rsidR="005E7226" w:rsidRPr="00825BBE" w:rsidRDefault="005E7226" w:rsidP="005E722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FR" w:eastAsia="fr-FR"/>
              </w:rPr>
            </w:pPr>
            <w:r w:rsidRPr="00825BBE">
              <w:rPr>
                <w:rFonts w:cstheme="minorHAnsi"/>
                <w:lang w:val="fr-FR" w:eastAsia="fr-FR"/>
              </w:rPr>
              <w:t>Elaborer un guide méthodologique, sensible au genre, pour l’intégration de l’ACC dans les Plans de Développement Provinciaux</w:t>
            </w:r>
            <w:r w:rsidR="000B468F" w:rsidRPr="00825BBE">
              <w:rPr>
                <w:rFonts w:cstheme="minorHAnsi"/>
                <w:lang w:val="fr-FR" w:eastAsia="fr-FR"/>
              </w:rPr>
              <w:t> ;</w:t>
            </w:r>
          </w:p>
          <w:p w:rsidR="005E7226" w:rsidRPr="00825BBE" w:rsidRDefault="005E7226" w:rsidP="005E7226">
            <w:pPr>
              <w:numPr>
                <w:ilvl w:val="0"/>
                <w:numId w:val="25"/>
              </w:numPr>
              <w:jc w:val="both"/>
              <w:rPr>
                <w:rFonts w:eastAsia="Calibri" w:cstheme="minorHAnsi"/>
                <w:lang w:val="fr-FR"/>
              </w:rPr>
            </w:pPr>
            <w:r w:rsidRPr="00825BBE">
              <w:rPr>
                <w:rFonts w:eastAsia="Calibri" w:cstheme="minorHAnsi"/>
                <w:lang w:val="fr-FR"/>
              </w:rPr>
              <w:t>Proposer les termes de référence et animer les ateliers provinciaux de validation du rapport d’évaluation institutionnelle, du guide méthodologique et du plan d’actions proposés.</w:t>
            </w:r>
          </w:p>
          <w:p w:rsidR="00411EDD" w:rsidRPr="00825BBE" w:rsidRDefault="00411EDD" w:rsidP="00411EDD">
            <w:pPr>
              <w:jc w:val="both"/>
              <w:rPr>
                <w:rFonts w:cstheme="minorHAnsi"/>
                <w:lang w:val="fr-FR"/>
              </w:rPr>
            </w:pPr>
          </w:p>
        </w:tc>
      </w:tr>
    </w:tbl>
    <w:p w:rsidR="00A30B5F" w:rsidRPr="00825BBE" w:rsidRDefault="00A30B5F" w:rsidP="00A24134">
      <w:pPr>
        <w:rPr>
          <w:rFonts w:cstheme="minorHAnsi"/>
          <w:b/>
          <w:sz w:val="20"/>
          <w:szCs w:val="20"/>
          <w:lang w:val="fr-FR"/>
        </w:rPr>
      </w:pPr>
    </w:p>
    <w:p w:rsidR="005E7226" w:rsidRPr="00825BBE" w:rsidRDefault="00E848E3" w:rsidP="00BF6263">
      <w:pPr>
        <w:rPr>
          <w:rFonts w:cstheme="minorHAnsi"/>
          <w:b/>
          <w:sz w:val="20"/>
          <w:szCs w:val="20"/>
          <w:lang w:val="fr-FR"/>
        </w:rPr>
      </w:pPr>
      <w:r w:rsidRPr="00825BBE">
        <w:rPr>
          <w:rFonts w:cstheme="minorHAnsi"/>
          <w:b/>
          <w:sz w:val="20"/>
          <w:szCs w:val="20"/>
          <w:lang w:val="fr-FR"/>
        </w:rPr>
        <w:t>4</w:t>
      </w:r>
      <w:r w:rsidR="00BF6263" w:rsidRPr="00825BBE">
        <w:rPr>
          <w:rFonts w:cstheme="minorHAnsi"/>
          <w:b/>
          <w:sz w:val="20"/>
          <w:szCs w:val="20"/>
          <w:lang w:val="fr-FR"/>
        </w:rPr>
        <w:t xml:space="preserve">. Livrables </w:t>
      </w:r>
    </w:p>
    <w:p w:rsidR="005E7226" w:rsidRPr="00825BBE" w:rsidRDefault="005E7226" w:rsidP="005E7226">
      <w:pPr>
        <w:spacing w:after="0" w:line="240" w:lineRule="auto"/>
        <w:jc w:val="both"/>
        <w:rPr>
          <w:rFonts w:eastAsia="Times New Roman" w:cstheme="minorHAnsi"/>
          <w:lang w:val="fr-FR"/>
        </w:rPr>
      </w:pPr>
      <w:r w:rsidRPr="00825BBE">
        <w:rPr>
          <w:rFonts w:eastAsia="Times New Roman" w:cstheme="minorHAnsi"/>
          <w:lang w:val="fr-FR"/>
        </w:rPr>
        <w:t>Les principaux l</w:t>
      </w:r>
      <w:r w:rsidRPr="00825BBE">
        <w:rPr>
          <w:rFonts w:eastAsia="Times New Roman" w:cstheme="minorHAnsi"/>
          <w:color w:val="000000"/>
          <w:lang w:val="fr-FR"/>
        </w:rPr>
        <w:t>ivrables du (de la) Consultant</w:t>
      </w:r>
      <w:r w:rsidRPr="00825BBE">
        <w:rPr>
          <w:rFonts w:eastAsia="Times New Roman" w:cstheme="minorHAnsi"/>
          <w:lang w:val="fr-FR"/>
        </w:rPr>
        <w:t>(e) en évaluation institutionnelle sont :</w:t>
      </w:r>
    </w:p>
    <w:p w:rsidR="005E7226" w:rsidRPr="00825BBE" w:rsidRDefault="005E7226" w:rsidP="005E7226">
      <w:pPr>
        <w:spacing w:after="0" w:line="240" w:lineRule="auto"/>
        <w:jc w:val="both"/>
        <w:rPr>
          <w:rFonts w:eastAsia="Times New Roman" w:cstheme="minorHAnsi"/>
          <w:color w:val="000000"/>
          <w:lang w:val="fr-FR"/>
        </w:rPr>
      </w:pPr>
    </w:p>
    <w:p w:rsidR="005E7226" w:rsidRPr="00825BBE" w:rsidRDefault="005E7226" w:rsidP="000B468F">
      <w:pPr>
        <w:pStyle w:val="Paragraphedeliste"/>
        <w:numPr>
          <w:ilvl w:val="0"/>
          <w:numId w:val="32"/>
        </w:numPr>
        <w:spacing w:after="160" w:line="259" w:lineRule="auto"/>
        <w:rPr>
          <w:rFonts w:cstheme="minorHAnsi"/>
        </w:rPr>
      </w:pPr>
      <w:r w:rsidRPr="00825BBE">
        <w:rPr>
          <w:rFonts w:eastAsia="Calibri" w:cstheme="minorHAnsi"/>
        </w:rPr>
        <w:t xml:space="preserve">Note méthodologique </w:t>
      </w:r>
    </w:p>
    <w:p w:rsidR="005E7226" w:rsidRPr="00825BBE" w:rsidRDefault="005E7226" w:rsidP="000B468F">
      <w:pPr>
        <w:pStyle w:val="Paragraphedeliste"/>
        <w:numPr>
          <w:ilvl w:val="0"/>
          <w:numId w:val="32"/>
        </w:numPr>
        <w:spacing w:after="160" w:line="259" w:lineRule="auto"/>
        <w:rPr>
          <w:rFonts w:cstheme="minorHAnsi"/>
        </w:rPr>
      </w:pPr>
      <w:r w:rsidRPr="00825BBE">
        <w:rPr>
          <w:rFonts w:eastAsia="Calibri" w:cstheme="minorHAnsi"/>
        </w:rPr>
        <w:t xml:space="preserve">Rapport de la revue documentaire </w:t>
      </w:r>
    </w:p>
    <w:p w:rsidR="005E7226" w:rsidRPr="00825BBE" w:rsidRDefault="005E7226" w:rsidP="000B468F">
      <w:pPr>
        <w:pStyle w:val="Paragraphedeliste"/>
        <w:numPr>
          <w:ilvl w:val="0"/>
          <w:numId w:val="32"/>
        </w:numPr>
        <w:spacing w:after="160" w:line="259" w:lineRule="auto"/>
        <w:rPr>
          <w:rFonts w:cstheme="minorHAnsi"/>
          <w:lang w:val="fr-FR"/>
        </w:rPr>
      </w:pPr>
      <w:r w:rsidRPr="00825BBE">
        <w:rPr>
          <w:rFonts w:eastAsia="Calibri" w:cstheme="minorHAnsi"/>
          <w:lang w:val="fr-FR"/>
        </w:rPr>
        <w:t xml:space="preserve">Rapport de l’évaluation institutionnelle des entraves et besoins des capacités au niveau provincial </w:t>
      </w:r>
    </w:p>
    <w:p w:rsidR="005E7226" w:rsidRPr="00825BBE" w:rsidRDefault="005E7226" w:rsidP="000B468F">
      <w:pPr>
        <w:pStyle w:val="Paragraphedeliste"/>
        <w:numPr>
          <w:ilvl w:val="0"/>
          <w:numId w:val="32"/>
        </w:numPr>
        <w:spacing w:after="160" w:line="259" w:lineRule="auto"/>
        <w:rPr>
          <w:rFonts w:cstheme="minorHAnsi"/>
          <w:lang w:val="fr-FR"/>
        </w:rPr>
      </w:pPr>
      <w:r w:rsidRPr="00825BBE">
        <w:rPr>
          <w:rFonts w:eastAsia="Calibri" w:cstheme="minorHAnsi"/>
          <w:lang w:val="fr-FR"/>
        </w:rPr>
        <w:t xml:space="preserve">Plan d’actions pour l’intégration de l’ACC au niveau provincial </w:t>
      </w:r>
    </w:p>
    <w:p w:rsidR="005E7226" w:rsidRPr="00825BBE" w:rsidRDefault="005E7226" w:rsidP="000B468F">
      <w:pPr>
        <w:pStyle w:val="Paragraphedeliste"/>
        <w:numPr>
          <w:ilvl w:val="0"/>
          <w:numId w:val="32"/>
        </w:numPr>
        <w:spacing w:after="160" w:line="259" w:lineRule="auto"/>
        <w:rPr>
          <w:rFonts w:cstheme="minorHAnsi"/>
          <w:lang w:val="fr-FR"/>
        </w:rPr>
      </w:pPr>
      <w:r w:rsidRPr="00825BBE">
        <w:rPr>
          <w:rFonts w:eastAsia="Calibri" w:cstheme="minorHAnsi"/>
          <w:lang w:val="fr-FR"/>
        </w:rPr>
        <w:t xml:space="preserve">Plan de renforcement des capacités provincial </w:t>
      </w:r>
    </w:p>
    <w:p w:rsidR="005E7226" w:rsidRPr="00825BBE" w:rsidRDefault="005E7226" w:rsidP="000B468F">
      <w:pPr>
        <w:pStyle w:val="Paragraphedeliste"/>
        <w:numPr>
          <w:ilvl w:val="0"/>
          <w:numId w:val="32"/>
        </w:numPr>
        <w:spacing w:after="160" w:line="259" w:lineRule="auto"/>
        <w:rPr>
          <w:rFonts w:cstheme="minorHAnsi"/>
          <w:lang w:val="fr-FR"/>
        </w:rPr>
      </w:pPr>
      <w:r w:rsidRPr="00825BBE">
        <w:rPr>
          <w:rFonts w:cstheme="minorHAnsi"/>
          <w:lang w:val="fr-FR" w:eastAsia="fr-FR"/>
        </w:rPr>
        <w:t>Guide méthodologique, sensible au genre, pour l’intégration de l’ACC dans les Plans de Développement Provinciaux.</w:t>
      </w:r>
    </w:p>
    <w:p w:rsidR="005E7226" w:rsidRPr="00825BBE" w:rsidRDefault="005E7226" w:rsidP="000B468F">
      <w:pPr>
        <w:pStyle w:val="Paragraphedeliste"/>
        <w:numPr>
          <w:ilvl w:val="0"/>
          <w:numId w:val="32"/>
        </w:numPr>
        <w:spacing w:after="160" w:line="259" w:lineRule="auto"/>
        <w:rPr>
          <w:rFonts w:cstheme="minorHAnsi"/>
          <w:lang w:val="fr-FR"/>
        </w:rPr>
      </w:pPr>
      <w:r w:rsidRPr="00825BBE">
        <w:rPr>
          <w:rFonts w:eastAsia="Calibri" w:cstheme="minorHAnsi"/>
          <w:lang w:val="fr-FR"/>
        </w:rPr>
        <w:t xml:space="preserve">Plan de suivi et évaluation sensible au genre pour mesurer la performance des institutions ciblées sur les questions de l’ACC </w:t>
      </w:r>
    </w:p>
    <w:p w:rsidR="005E7226" w:rsidRPr="00825BBE" w:rsidRDefault="005E7226" w:rsidP="000B468F">
      <w:pPr>
        <w:pStyle w:val="Paragraphedeliste"/>
        <w:numPr>
          <w:ilvl w:val="0"/>
          <w:numId w:val="32"/>
        </w:numPr>
        <w:spacing w:after="160" w:line="259" w:lineRule="auto"/>
        <w:rPr>
          <w:rFonts w:cstheme="minorHAnsi"/>
          <w:lang w:val="fr-FR"/>
        </w:rPr>
      </w:pPr>
      <w:r w:rsidRPr="00825BBE">
        <w:rPr>
          <w:rFonts w:eastAsia="Calibri" w:cstheme="minorHAnsi"/>
          <w:lang w:val="fr-FR"/>
        </w:rPr>
        <w:lastRenderedPageBreak/>
        <w:t xml:space="preserve">Compte rendu des ateliers provinciaux de validation du rapport d’évaluation et du plan de renforcement des capacités </w:t>
      </w:r>
    </w:p>
    <w:p w:rsidR="005E7226" w:rsidRPr="00825BBE" w:rsidRDefault="005E7226" w:rsidP="000B468F">
      <w:pPr>
        <w:pStyle w:val="Paragraphedeliste"/>
        <w:numPr>
          <w:ilvl w:val="0"/>
          <w:numId w:val="32"/>
        </w:numPr>
        <w:spacing w:after="160" w:line="259" w:lineRule="auto"/>
        <w:rPr>
          <w:rFonts w:cstheme="minorHAnsi"/>
          <w:lang w:val="fr-FR"/>
        </w:rPr>
      </w:pPr>
      <w:r w:rsidRPr="00825BBE">
        <w:rPr>
          <w:rFonts w:cstheme="minorHAnsi"/>
          <w:lang w:val="fr-FR"/>
        </w:rPr>
        <w:t>Rapport général de la mission</w:t>
      </w:r>
    </w:p>
    <w:p w:rsidR="000B468F" w:rsidRPr="00825BBE" w:rsidRDefault="000B468F">
      <w:pPr>
        <w:rPr>
          <w:rFonts w:cstheme="minorHAnsi"/>
          <w:lang w:val="fr-FR"/>
        </w:rPr>
      </w:pPr>
      <w:r w:rsidRPr="00825BBE">
        <w:rPr>
          <w:rFonts w:cstheme="minorHAnsi"/>
          <w:lang w:val="fr-FR"/>
        </w:rPr>
        <w:br w:type="page"/>
      </w:r>
    </w:p>
    <w:p w:rsidR="00BF6263" w:rsidRPr="00825BBE" w:rsidRDefault="005E7226" w:rsidP="00BF6263">
      <w:pPr>
        <w:rPr>
          <w:rFonts w:cstheme="minorHAnsi"/>
          <w:b/>
          <w:sz w:val="20"/>
          <w:szCs w:val="20"/>
          <w:lang w:val="fr-FR"/>
        </w:rPr>
      </w:pPr>
      <w:r w:rsidRPr="00825BBE">
        <w:rPr>
          <w:rFonts w:cstheme="minorHAnsi"/>
          <w:b/>
          <w:sz w:val="20"/>
          <w:szCs w:val="20"/>
          <w:lang w:val="fr-FR"/>
        </w:rPr>
        <w:lastRenderedPageBreak/>
        <w:t>5. J</w:t>
      </w:r>
      <w:r w:rsidR="00AF0F93" w:rsidRPr="00825BBE">
        <w:rPr>
          <w:rFonts w:cstheme="minorHAnsi"/>
          <w:b/>
          <w:sz w:val="20"/>
          <w:szCs w:val="20"/>
          <w:lang w:val="fr-FR"/>
        </w:rPr>
        <w:t>alons de paiement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61"/>
        <w:gridCol w:w="3402"/>
        <w:gridCol w:w="1816"/>
        <w:gridCol w:w="1019"/>
        <w:gridCol w:w="2808"/>
      </w:tblGrid>
      <w:tr w:rsidR="005E7226" w:rsidRPr="00825BBE" w:rsidTr="00D8137C">
        <w:trPr>
          <w:trHeight w:val="653"/>
        </w:trPr>
        <w:tc>
          <w:tcPr>
            <w:tcW w:w="1161" w:type="dxa"/>
            <w:shd w:val="clear" w:color="000000" w:fill="D9E2F3"/>
            <w:hideMark/>
          </w:tcPr>
          <w:p w:rsidR="005E7226" w:rsidRPr="00825BBE" w:rsidRDefault="005E7226" w:rsidP="00D8137C">
            <w:pPr>
              <w:jc w:val="center"/>
              <w:rPr>
                <w:rFonts w:cstheme="minorHAnsi"/>
                <w:b/>
                <w:bCs/>
                <w:i/>
                <w:color w:val="000000"/>
                <w:u w:val="single"/>
              </w:rPr>
            </w:pPr>
            <w:r w:rsidRPr="00825BBE">
              <w:rPr>
                <w:rFonts w:cstheme="minorHAnsi"/>
                <w:b/>
                <w:bCs/>
                <w:i/>
                <w:color w:val="000000"/>
                <w:u w:val="single"/>
              </w:rPr>
              <w:t># Livrables</w:t>
            </w:r>
          </w:p>
        </w:tc>
        <w:tc>
          <w:tcPr>
            <w:tcW w:w="3402" w:type="dxa"/>
            <w:shd w:val="clear" w:color="000000" w:fill="D9E2F3"/>
          </w:tcPr>
          <w:p w:rsidR="005E7226" w:rsidRPr="00825BBE" w:rsidRDefault="005E7226" w:rsidP="00D8137C">
            <w:pPr>
              <w:jc w:val="center"/>
              <w:rPr>
                <w:rFonts w:cstheme="minorHAnsi"/>
                <w:b/>
                <w:bCs/>
                <w:i/>
                <w:color w:val="000000"/>
                <w:u w:val="single"/>
              </w:rPr>
            </w:pPr>
            <w:r w:rsidRPr="00825BBE">
              <w:rPr>
                <w:rFonts w:cstheme="minorHAnsi"/>
                <w:b/>
                <w:bCs/>
                <w:i/>
                <w:color w:val="000000"/>
                <w:u w:val="single"/>
              </w:rPr>
              <w:t>Livrables</w:t>
            </w:r>
          </w:p>
        </w:tc>
        <w:tc>
          <w:tcPr>
            <w:tcW w:w="1816" w:type="dxa"/>
            <w:shd w:val="clear" w:color="000000" w:fill="D9E2F3"/>
          </w:tcPr>
          <w:p w:rsidR="005E7226" w:rsidRPr="00825BBE" w:rsidRDefault="005E7226" w:rsidP="00D8137C">
            <w:pPr>
              <w:jc w:val="center"/>
              <w:rPr>
                <w:rFonts w:cstheme="minorHAnsi"/>
                <w:b/>
                <w:bCs/>
                <w:i/>
                <w:color w:val="000000"/>
                <w:u w:val="single"/>
              </w:rPr>
            </w:pPr>
            <w:r w:rsidRPr="00825BBE">
              <w:rPr>
                <w:rFonts w:cstheme="minorHAnsi"/>
                <w:b/>
                <w:bCs/>
                <w:i/>
                <w:color w:val="000000"/>
                <w:u w:val="single"/>
              </w:rPr>
              <w:t>Délai*</w:t>
            </w:r>
          </w:p>
        </w:tc>
        <w:tc>
          <w:tcPr>
            <w:tcW w:w="1019" w:type="dxa"/>
            <w:shd w:val="clear" w:color="000000" w:fill="D9E2F3"/>
          </w:tcPr>
          <w:p w:rsidR="005E7226" w:rsidRPr="00825BBE" w:rsidRDefault="005E7226" w:rsidP="00D8137C">
            <w:pPr>
              <w:jc w:val="center"/>
              <w:rPr>
                <w:rFonts w:cstheme="minorHAnsi"/>
              </w:rPr>
            </w:pPr>
            <w:r w:rsidRPr="00825BBE">
              <w:rPr>
                <w:rFonts w:cstheme="minorHAnsi"/>
                <w:b/>
                <w:bCs/>
                <w:i/>
                <w:color w:val="000000"/>
                <w:u w:val="single"/>
              </w:rPr>
              <w:t>Tranche de paiement</w:t>
            </w:r>
          </w:p>
        </w:tc>
        <w:tc>
          <w:tcPr>
            <w:tcW w:w="2808" w:type="dxa"/>
            <w:shd w:val="clear" w:color="000000" w:fill="D9E2F3"/>
          </w:tcPr>
          <w:p w:rsidR="005E7226" w:rsidRPr="00825BBE" w:rsidRDefault="005E7226" w:rsidP="00D8137C">
            <w:pPr>
              <w:jc w:val="center"/>
              <w:rPr>
                <w:rFonts w:cstheme="minorHAnsi"/>
              </w:rPr>
            </w:pPr>
            <w:r w:rsidRPr="00825BBE">
              <w:rPr>
                <w:rFonts w:cstheme="minorHAnsi"/>
                <w:b/>
                <w:bCs/>
                <w:i/>
                <w:color w:val="000000"/>
                <w:u w:val="single"/>
              </w:rPr>
              <w:t>Conditions de paiement</w:t>
            </w:r>
          </w:p>
        </w:tc>
      </w:tr>
      <w:tr w:rsidR="005E7226" w:rsidRPr="009A3491" w:rsidTr="00D8137C">
        <w:trPr>
          <w:trHeight w:val="342"/>
        </w:trPr>
        <w:tc>
          <w:tcPr>
            <w:tcW w:w="1161" w:type="dxa"/>
            <w:shd w:val="clear" w:color="auto" w:fill="auto"/>
            <w:hideMark/>
          </w:tcPr>
          <w:p w:rsidR="005E7226" w:rsidRPr="00825BBE" w:rsidRDefault="005E7226" w:rsidP="00D8137C">
            <w:pPr>
              <w:rPr>
                <w:rFonts w:cstheme="minorHAnsi"/>
                <w:color w:val="000000"/>
              </w:rPr>
            </w:pPr>
            <w:r w:rsidRPr="00825BBE">
              <w:rPr>
                <w:rFonts w:cstheme="minorHAnsi"/>
                <w:b/>
                <w:i/>
              </w:rPr>
              <w:t>Livrable 1</w:t>
            </w:r>
          </w:p>
        </w:tc>
        <w:tc>
          <w:tcPr>
            <w:tcW w:w="3402" w:type="dxa"/>
          </w:tcPr>
          <w:p w:rsidR="005E7226" w:rsidRPr="00825BBE" w:rsidRDefault="005E7226" w:rsidP="00D8137C">
            <w:pPr>
              <w:rPr>
                <w:rFonts w:cstheme="minorHAnsi"/>
              </w:rPr>
            </w:pPr>
            <w:r w:rsidRPr="00825BBE">
              <w:rPr>
                <w:rFonts w:eastAsia="Calibri" w:cstheme="minorHAnsi"/>
              </w:rPr>
              <w:t xml:space="preserve">Note méthodologique </w:t>
            </w:r>
          </w:p>
        </w:tc>
        <w:tc>
          <w:tcPr>
            <w:tcW w:w="1816" w:type="dxa"/>
          </w:tcPr>
          <w:p w:rsidR="005E7226" w:rsidRPr="00825BBE" w:rsidRDefault="005E7226" w:rsidP="00D8137C">
            <w:pPr>
              <w:jc w:val="both"/>
              <w:rPr>
                <w:rFonts w:cstheme="minorHAnsi"/>
                <w:lang w:val="fr-FR"/>
              </w:rPr>
            </w:pPr>
            <w:r w:rsidRPr="00825BBE">
              <w:rPr>
                <w:rFonts w:cstheme="minorHAnsi"/>
                <w:lang w:val="fr-FR"/>
              </w:rPr>
              <w:t>2 jours après la signature du contrat</w:t>
            </w:r>
          </w:p>
        </w:tc>
        <w:tc>
          <w:tcPr>
            <w:tcW w:w="1019" w:type="dxa"/>
          </w:tcPr>
          <w:p w:rsidR="005E7226" w:rsidRPr="00825BBE" w:rsidRDefault="005E7226" w:rsidP="00D8137C">
            <w:pPr>
              <w:jc w:val="center"/>
              <w:rPr>
                <w:rFonts w:cstheme="minorHAnsi"/>
              </w:rPr>
            </w:pPr>
            <w:r w:rsidRPr="00825BBE">
              <w:rPr>
                <w:rFonts w:cstheme="minorHAnsi"/>
              </w:rPr>
              <w:t xml:space="preserve">10% </w:t>
            </w:r>
          </w:p>
        </w:tc>
        <w:tc>
          <w:tcPr>
            <w:tcW w:w="2808" w:type="dxa"/>
            <w:vMerge w:val="restart"/>
          </w:tcPr>
          <w:p w:rsidR="005E7226" w:rsidRPr="00825BBE" w:rsidRDefault="005E7226" w:rsidP="00D8137C">
            <w:pPr>
              <w:jc w:val="both"/>
              <w:rPr>
                <w:rFonts w:cstheme="minorHAnsi"/>
                <w:lang w:val="fr-FR"/>
              </w:rPr>
            </w:pPr>
            <w:r w:rsidRPr="00825BBE">
              <w:rPr>
                <w:rFonts w:cstheme="minorHAnsi"/>
                <w:lang w:val="fr-FR"/>
              </w:rPr>
              <w:t>Sous cinquante (</w:t>
            </w:r>
            <w:r w:rsidR="003D51AC" w:rsidRPr="00825BBE">
              <w:rPr>
                <w:rFonts w:cstheme="minorHAnsi"/>
                <w:lang w:val="fr-FR"/>
              </w:rPr>
              <w:t>4</w:t>
            </w:r>
            <w:r w:rsidRPr="00825BBE">
              <w:rPr>
                <w:rFonts w:cstheme="minorHAnsi"/>
                <w:lang w:val="fr-FR"/>
              </w:rPr>
              <w:t>0) jours à compter de la date à laquelle les conditions suivantes seront respectées :</w:t>
            </w:r>
          </w:p>
          <w:p w:rsidR="005E7226" w:rsidRPr="00825BBE" w:rsidRDefault="005E7226" w:rsidP="00D8137C">
            <w:pPr>
              <w:jc w:val="both"/>
              <w:rPr>
                <w:rFonts w:cstheme="minorHAnsi"/>
                <w:lang w:val="fr-FR"/>
              </w:rPr>
            </w:pPr>
            <w:r w:rsidRPr="00825BBE">
              <w:rPr>
                <w:rFonts w:cstheme="minorHAnsi"/>
                <w:lang w:val="fr-FR"/>
              </w:rPr>
              <w:t xml:space="preserve">- l’acceptation écrite par le PNUD de la qualité des prestations (et non pas leur simple réception) ; et </w:t>
            </w:r>
          </w:p>
          <w:p w:rsidR="005E7226" w:rsidRPr="00825BBE" w:rsidRDefault="005E7226" w:rsidP="00D8137C">
            <w:pPr>
              <w:rPr>
                <w:rFonts w:cstheme="minorHAnsi"/>
                <w:lang w:val="fr-FR"/>
              </w:rPr>
            </w:pPr>
            <w:r w:rsidRPr="00825BBE">
              <w:rPr>
                <w:rFonts w:cstheme="minorHAnsi"/>
                <w:lang w:val="fr-FR"/>
              </w:rPr>
              <w:t>la réception de la facture du prestataire de services.</w:t>
            </w:r>
          </w:p>
          <w:p w:rsidR="005E7226" w:rsidRPr="00825BBE" w:rsidRDefault="005E7226" w:rsidP="00D8137C">
            <w:pPr>
              <w:jc w:val="center"/>
              <w:rPr>
                <w:rFonts w:cstheme="minorHAnsi"/>
                <w:lang w:val="fr-FR"/>
              </w:rPr>
            </w:pPr>
          </w:p>
          <w:p w:rsidR="005E7226" w:rsidRPr="00825BBE" w:rsidRDefault="005E7226" w:rsidP="00D8137C">
            <w:pPr>
              <w:jc w:val="center"/>
              <w:rPr>
                <w:rFonts w:cstheme="minorHAnsi"/>
                <w:lang w:val="fr-FR"/>
              </w:rPr>
            </w:pPr>
          </w:p>
        </w:tc>
      </w:tr>
      <w:tr w:rsidR="005E7226" w:rsidRPr="00825BBE" w:rsidTr="00D8137C">
        <w:trPr>
          <w:trHeight w:val="334"/>
        </w:trPr>
        <w:tc>
          <w:tcPr>
            <w:tcW w:w="1161" w:type="dxa"/>
            <w:shd w:val="clear" w:color="auto" w:fill="auto"/>
            <w:hideMark/>
          </w:tcPr>
          <w:p w:rsidR="005E7226" w:rsidRPr="00825BBE" w:rsidRDefault="005E7226" w:rsidP="00D8137C">
            <w:pPr>
              <w:rPr>
                <w:rFonts w:cstheme="minorHAnsi"/>
                <w:b/>
                <w:bCs/>
                <w:color w:val="000000"/>
              </w:rPr>
            </w:pPr>
            <w:r w:rsidRPr="00825BBE">
              <w:rPr>
                <w:rFonts w:cstheme="minorHAnsi"/>
                <w:b/>
                <w:i/>
              </w:rPr>
              <w:t>Livrable 2</w:t>
            </w:r>
          </w:p>
        </w:tc>
        <w:tc>
          <w:tcPr>
            <w:tcW w:w="3402" w:type="dxa"/>
          </w:tcPr>
          <w:p w:rsidR="005E7226" w:rsidRPr="00825BBE" w:rsidRDefault="005E7226" w:rsidP="00D8137C">
            <w:pPr>
              <w:jc w:val="both"/>
              <w:rPr>
                <w:rFonts w:cstheme="minorHAnsi"/>
                <w:lang w:val="fr-FR"/>
              </w:rPr>
            </w:pPr>
            <w:r w:rsidRPr="00825BBE">
              <w:rPr>
                <w:rFonts w:eastAsia="Calibri" w:cstheme="minorHAnsi"/>
                <w:lang w:val="fr-FR"/>
              </w:rPr>
              <w:t xml:space="preserve">Rapport de la revue documentaire </w:t>
            </w:r>
          </w:p>
        </w:tc>
        <w:tc>
          <w:tcPr>
            <w:tcW w:w="1816" w:type="dxa"/>
          </w:tcPr>
          <w:p w:rsidR="005E7226" w:rsidRPr="00825BBE" w:rsidRDefault="003D51AC" w:rsidP="00D8137C">
            <w:pPr>
              <w:autoSpaceDE w:val="0"/>
              <w:autoSpaceDN w:val="0"/>
              <w:adjustRightInd w:val="0"/>
              <w:rPr>
                <w:rFonts w:eastAsia="Calibri" w:cstheme="minorHAnsi"/>
              </w:rPr>
            </w:pPr>
            <w:r w:rsidRPr="00825BBE">
              <w:rPr>
                <w:rFonts w:eastAsia="Calibri" w:cstheme="minorHAnsi"/>
              </w:rPr>
              <w:t>1</w:t>
            </w:r>
            <w:r w:rsidR="005E7226" w:rsidRPr="00825BBE">
              <w:rPr>
                <w:rFonts w:eastAsia="Calibri" w:cstheme="minorHAnsi"/>
              </w:rPr>
              <w:t>0</w:t>
            </w:r>
            <w:r w:rsidR="005E7226" w:rsidRPr="00825BBE">
              <w:rPr>
                <w:rFonts w:eastAsia="Calibri" w:cstheme="minorHAnsi"/>
                <w:vertAlign w:val="superscript"/>
              </w:rPr>
              <w:t>ème</w:t>
            </w:r>
            <w:r w:rsidR="005E7226" w:rsidRPr="00825BBE">
              <w:rPr>
                <w:rFonts w:eastAsia="Calibri" w:cstheme="minorHAnsi"/>
              </w:rPr>
              <w:t xml:space="preserve"> jour</w:t>
            </w:r>
          </w:p>
        </w:tc>
        <w:tc>
          <w:tcPr>
            <w:tcW w:w="1019" w:type="dxa"/>
          </w:tcPr>
          <w:p w:rsidR="005E7226" w:rsidRPr="00825BBE" w:rsidRDefault="005E7226" w:rsidP="00D8137C">
            <w:pPr>
              <w:jc w:val="center"/>
              <w:rPr>
                <w:rFonts w:cstheme="minorHAnsi"/>
              </w:rPr>
            </w:pPr>
          </w:p>
        </w:tc>
        <w:tc>
          <w:tcPr>
            <w:tcW w:w="2808" w:type="dxa"/>
            <w:vMerge/>
          </w:tcPr>
          <w:p w:rsidR="005E7226" w:rsidRPr="00825BBE" w:rsidRDefault="005E7226" w:rsidP="00D8137C">
            <w:pPr>
              <w:jc w:val="center"/>
              <w:rPr>
                <w:rFonts w:cstheme="minorHAnsi"/>
              </w:rPr>
            </w:pPr>
          </w:p>
        </w:tc>
      </w:tr>
      <w:tr w:rsidR="005E7226" w:rsidRPr="00825BBE" w:rsidTr="00D8137C">
        <w:trPr>
          <w:trHeight w:val="1021"/>
        </w:trPr>
        <w:tc>
          <w:tcPr>
            <w:tcW w:w="1161" w:type="dxa"/>
            <w:shd w:val="clear" w:color="auto" w:fill="auto"/>
          </w:tcPr>
          <w:p w:rsidR="005E7226" w:rsidRPr="00825BBE" w:rsidRDefault="005E7226" w:rsidP="00D8137C">
            <w:pPr>
              <w:rPr>
                <w:rFonts w:cstheme="minorHAnsi"/>
                <w:b/>
                <w:i/>
              </w:rPr>
            </w:pPr>
            <w:r w:rsidRPr="00825BBE">
              <w:rPr>
                <w:rFonts w:cstheme="minorHAnsi"/>
                <w:b/>
                <w:i/>
              </w:rPr>
              <w:t>Livrable 3</w:t>
            </w:r>
          </w:p>
        </w:tc>
        <w:tc>
          <w:tcPr>
            <w:tcW w:w="3402" w:type="dxa"/>
          </w:tcPr>
          <w:p w:rsidR="005E7226" w:rsidRPr="00825BBE" w:rsidRDefault="005E7226" w:rsidP="00D8137C">
            <w:pPr>
              <w:rPr>
                <w:rFonts w:cstheme="minorHAnsi"/>
                <w:lang w:val="fr-FR"/>
              </w:rPr>
            </w:pPr>
            <w:r w:rsidRPr="00825BBE">
              <w:rPr>
                <w:rFonts w:eastAsia="Calibri" w:cstheme="minorHAnsi"/>
                <w:lang w:val="fr-FR"/>
              </w:rPr>
              <w:t xml:space="preserve">Rapport de l’évaluation institutionnelle des entraves et besoins des capacités au niveau provincial </w:t>
            </w:r>
          </w:p>
        </w:tc>
        <w:tc>
          <w:tcPr>
            <w:tcW w:w="1816" w:type="dxa"/>
          </w:tcPr>
          <w:p w:rsidR="005E7226" w:rsidRPr="00825BBE" w:rsidRDefault="003D51AC" w:rsidP="00D8137C">
            <w:pPr>
              <w:autoSpaceDE w:val="0"/>
              <w:autoSpaceDN w:val="0"/>
              <w:adjustRightInd w:val="0"/>
              <w:rPr>
                <w:rFonts w:eastAsia="Calibri" w:cstheme="minorHAnsi"/>
              </w:rPr>
            </w:pPr>
            <w:r w:rsidRPr="00825BBE">
              <w:rPr>
                <w:rFonts w:eastAsia="Calibri" w:cstheme="minorHAnsi"/>
              </w:rPr>
              <w:t>18</w:t>
            </w:r>
            <w:r w:rsidR="005E7226" w:rsidRPr="00825BBE">
              <w:rPr>
                <w:rFonts w:eastAsia="Calibri" w:cstheme="minorHAnsi"/>
                <w:vertAlign w:val="superscript"/>
              </w:rPr>
              <w:t>ème</w:t>
            </w:r>
            <w:r w:rsidR="005E7226" w:rsidRPr="00825BBE">
              <w:rPr>
                <w:rFonts w:eastAsia="Calibri" w:cstheme="minorHAnsi"/>
              </w:rPr>
              <w:t xml:space="preserve"> jour</w:t>
            </w:r>
          </w:p>
        </w:tc>
        <w:tc>
          <w:tcPr>
            <w:tcW w:w="1019" w:type="dxa"/>
          </w:tcPr>
          <w:p w:rsidR="005E7226" w:rsidRPr="00825BBE" w:rsidRDefault="005E7226" w:rsidP="00D8137C">
            <w:pPr>
              <w:jc w:val="center"/>
              <w:rPr>
                <w:rFonts w:cstheme="minorHAnsi"/>
              </w:rPr>
            </w:pPr>
            <w:r w:rsidRPr="00825BBE">
              <w:rPr>
                <w:rFonts w:cstheme="minorHAnsi"/>
              </w:rPr>
              <w:t>20%</w:t>
            </w:r>
          </w:p>
        </w:tc>
        <w:tc>
          <w:tcPr>
            <w:tcW w:w="2808" w:type="dxa"/>
            <w:vMerge/>
          </w:tcPr>
          <w:p w:rsidR="005E7226" w:rsidRPr="00825BBE" w:rsidRDefault="005E7226" w:rsidP="00D8137C">
            <w:pPr>
              <w:jc w:val="center"/>
              <w:rPr>
                <w:rFonts w:cstheme="minorHAnsi"/>
              </w:rPr>
            </w:pPr>
          </w:p>
        </w:tc>
      </w:tr>
      <w:tr w:rsidR="005E7226" w:rsidRPr="00825BBE" w:rsidTr="00D8137C">
        <w:trPr>
          <w:trHeight w:val="458"/>
        </w:trPr>
        <w:tc>
          <w:tcPr>
            <w:tcW w:w="1161" w:type="dxa"/>
            <w:shd w:val="clear" w:color="auto" w:fill="auto"/>
          </w:tcPr>
          <w:p w:rsidR="005E7226" w:rsidRPr="00825BBE" w:rsidRDefault="005E7226" w:rsidP="00D8137C">
            <w:pPr>
              <w:rPr>
                <w:rFonts w:cstheme="minorHAnsi"/>
                <w:b/>
                <w:bCs/>
                <w:color w:val="000000"/>
              </w:rPr>
            </w:pPr>
            <w:r w:rsidRPr="00825BBE">
              <w:rPr>
                <w:rFonts w:cstheme="minorHAnsi"/>
                <w:b/>
                <w:i/>
              </w:rPr>
              <w:t>Livrable 4</w:t>
            </w:r>
          </w:p>
        </w:tc>
        <w:tc>
          <w:tcPr>
            <w:tcW w:w="3402" w:type="dxa"/>
          </w:tcPr>
          <w:p w:rsidR="005E7226" w:rsidRPr="00825BBE" w:rsidRDefault="005E7226" w:rsidP="00D8137C">
            <w:pPr>
              <w:rPr>
                <w:rFonts w:cstheme="minorHAnsi"/>
                <w:lang w:val="fr-FR"/>
              </w:rPr>
            </w:pPr>
            <w:r w:rsidRPr="00825BBE">
              <w:rPr>
                <w:rFonts w:eastAsia="Calibri" w:cstheme="minorHAnsi"/>
                <w:lang w:val="fr-FR"/>
              </w:rPr>
              <w:t xml:space="preserve">Plan d’actions pour l’intégration de l’ACC au niveau provincial </w:t>
            </w:r>
          </w:p>
        </w:tc>
        <w:tc>
          <w:tcPr>
            <w:tcW w:w="1816" w:type="dxa"/>
          </w:tcPr>
          <w:p w:rsidR="005E7226" w:rsidRPr="00825BBE" w:rsidRDefault="003D51AC" w:rsidP="00D8137C">
            <w:pPr>
              <w:autoSpaceDE w:val="0"/>
              <w:autoSpaceDN w:val="0"/>
              <w:adjustRightInd w:val="0"/>
              <w:rPr>
                <w:rFonts w:eastAsia="Calibri" w:cstheme="minorHAnsi"/>
              </w:rPr>
            </w:pPr>
            <w:r w:rsidRPr="00825BBE">
              <w:rPr>
                <w:rFonts w:eastAsia="Calibri" w:cstheme="minorHAnsi"/>
              </w:rPr>
              <w:t>25</w:t>
            </w:r>
            <w:r w:rsidR="005E7226" w:rsidRPr="00825BBE">
              <w:rPr>
                <w:rFonts w:eastAsia="Calibri" w:cstheme="minorHAnsi"/>
                <w:vertAlign w:val="superscript"/>
              </w:rPr>
              <w:t>ème</w:t>
            </w:r>
            <w:r w:rsidR="005E7226" w:rsidRPr="00825BBE">
              <w:rPr>
                <w:rFonts w:eastAsia="Calibri" w:cstheme="minorHAnsi"/>
              </w:rPr>
              <w:t xml:space="preserve"> jour </w:t>
            </w:r>
          </w:p>
        </w:tc>
        <w:tc>
          <w:tcPr>
            <w:tcW w:w="1019" w:type="dxa"/>
          </w:tcPr>
          <w:p w:rsidR="005E7226" w:rsidRPr="00825BBE" w:rsidRDefault="005E7226" w:rsidP="00D8137C">
            <w:pPr>
              <w:jc w:val="center"/>
              <w:rPr>
                <w:rFonts w:cstheme="minorHAnsi"/>
              </w:rPr>
            </w:pPr>
            <w:r w:rsidRPr="00825BBE">
              <w:rPr>
                <w:rFonts w:cstheme="minorHAnsi"/>
              </w:rPr>
              <w:t>10%</w:t>
            </w:r>
          </w:p>
        </w:tc>
        <w:tc>
          <w:tcPr>
            <w:tcW w:w="2808" w:type="dxa"/>
            <w:vMerge/>
          </w:tcPr>
          <w:p w:rsidR="005E7226" w:rsidRPr="00825BBE" w:rsidRDefault="005E7226" w:rsidP="00D8137C">
            <w:pPr>
              <w:jc w:val="center"/>
              <w:rPr>
                <w:rFonts w:cstheme="minorHAnsi"/>
              </w:rPr>
            </w:pPr>
          </w:p>
        </w:tc>
      </w:tr>
      <w:tr w:rsidR="005E7226" w:rsidRPr="00825BBE" w:rsidTr="00D8137C">
        <w:trPr>
          <w:trHeight w:val="831"/>
        </w:trPr>
        <w:tc>
          <w:tcPr>
            <w:tcW w:w="1161" w:type="dxa"/>
            <w:shd w:val="clear" w:color="auto" w:fill="auto"/>
          </w:tcPr>
          <w:p w:rsidR="005E7226" w:rsidRPr="00825BBE" w:rsidRDefault="005E7226" w:rsidP="00D8137C">
            <w:pPr>
              <w:rPr>
                <w:rFonts w:cstheme="minorHAnsi"/>
                <w:b/>
                <w:bCs/>
                <w:color w:val="000000"/>
              </w:rPr>
            </w:pPr>
            <w:r w:rsidRPr="00825BBE">
              <w:rPr>
                <w:rFonts w:cstheme="minorHAnsi"/>
                <w:b/>
                <w:i/>
              </w:rPr>
              <w:t>Livrable 5</w:t>
            </w:r>
          </w:p>
        </w:tc>
        <w:tc>
          <w:tcPr>
            <w:tcW w:w="3402" w:type="dxa"/>
          </w:tcPr>
          <w:p w:rsidR="005E7226" w:rsidRPr="00825BBE" w:rsidRDefault="005E7226" w:rsidP="00D8137C">
            <w:pPr>
              <w:rPr>
                <w:rFonts w:cstheme="minorHAnsi"/>
                <w:lang w:val="fr-FR"/>
              </w:rPr>
            </w:pPr>
            <w:r w:rsidRPr="00825BBE">
              <w:rPr>
                <w:rFonts w:eastAsia="Calibri" w:cstheme="minorHAnsi"/>
                <w:lang w:val="fr-FR"/>
              </w:rPr>
              <w:t xml:space="preserve">Plan de renforcement des capacités provincial </w:t>
            </w:r>
          </w:p>
        </w:tc>
        <w:tc>
          <w:tcPr>
            <w:tcW w:w="1816" w:type="dxa"/>
          </w:tcPr>
          <w:p w:rsidR="005E7226" w:rsidRPr="00825BBE" w:rsidRDefault="003D51AC" w:rsidP="00D8137C">
            <w:pPr>
              <w:autoSpaceDE w:val="0"/>
              <w:autoSpaceDN w:val="0"/>
              <w:adjustRightInd w:val="0"/>
              <w:rPr>
                <w:rFonts w:eastAsia="Calibri" w:cstheme="minorHAnsi"/>
              </w:rPr>
            </w:pPr>
            <w:r w:rsidRPr="00825BBE">
              <w:rPr>
                <w:rFonts w:eastAsia="Calibri" w:cstheme="minorHAnsi"/>
              </w:rPr>
              <w:t>30</w:t>
            </w:r>
            <w:r w:rsidR="005E7226" w:rsidRPr="00825BBE">
              <w:rPr>
                <w:rFonts w:eastAsia="Calibri" w:cstheme="minorHAnsi"/>
                <w:vertAlign w:val="superscript"/>
              </w:rPr>
              <w:t>ème</w:t>
            </w:r>
            <w:r w:rsidR="005E7226" w:rsidRPr="00825BBE">
              <w:rPr>
                <w:rFonts w:eastAsia="Calibri" w:cstheme="minorHAnsi"/>
              </w:rPr>
              <w:t xml:space="preserve"> jour</w:t>
            </w:r>
          </w:p>
        </w:tc>
        <w:tc>
          <w:tcPr>
            <w:tcW w:w="1019" w:type="dxa"/>
          </w:tcPr>
          <w:p w:rsidR="005E7226" w:rsidRPr="00825BBE" w:rsidRDefault="005E7226" w:rsidP="00D8137C">
            <w:pPr>
              <w:jc w:val="center"/>
              <w:rPr>
                <w:rFonts w:cstheme="minorHAnsi"/>
              </w:rPr>
            </w:pPr>
            <w:r w:rsidRPr="00825BBE">
              <w:rPr>
                <w:rFonts w:cstheme="minorHAnsi"/>
              </w:rPr>
              <w:t>10%</w:t>
            </w:r>
          </w:p>
        </w:tc>
        <w:tc>
          <w:tcPr>
            <w:tcW w:w="2808" w:type="dxa"/>
            <w:vMerge/>
          </w:tcPr>
          <w:p w:rsidR="005E7226" w:rsidRPr="00825BBE" w:rsidRDefault="005E7226" w:rsidP="00D8137C">
            <w:pPr>
              <w:jc w:val="center"/>
              <w:rPr>
                <w:rFonts w:cstheme="minorHAnsi"/>
              </w:rPr>
            </w:pPr>
          </w:p>
        </w:tc>
      </w:tr>
      <w:tr w:rsidR="005E7226" w:rsidRPr="00825BBE" w:rsidTr="00D8137C">
        <w:trPr>
          <w:trHeight w:val="468"/>
        </w:trPr>
        <w:tc>
          <w:tcPr>
            <w:tcW w:w="1161" w:type="dxa"/>
            <w:shd w:val="clear" w:color="auto" w:fill="auto"/>
          </w:tcPr>
          <w:p w:rsidR="005E7226" w:rsidRPr="00825BBE" w:rsidRDefault="005E7226" w:rsidP="00D8137C">
            <w:pPr>
              <w:rPr>
                <w:rFonts w:cstheme="minorHAnsi"/>
                <w:b/>
                <w:i/>
              </w:rPr>
            </w:pPr>
            <w:r w:rsidRPr="00825BBE">
              <w:rPr>
                <w:rFonts w:cstheme="minorHAnsi"/>
                <w:b/>
                <w:i/>
              </w:rPr>
              <w:t>Livrable 6</w:t>
            </w:r>
          </w:p>
        </w:tc>
        <w:tc>
          <w:tcPr>
            <w:tcW w:w="3402" w:type="dxa"/>
          </w:tcPr>
          <w:p w:rsidR="005E7226" w:rsidRPr="00825BBE" w:rsidRDefault="005E7226" w:rsidP="00D8137C">
            <w:pPr>
              <w:rPr>
                <w:rFonts w:cstheme="minorHAnsi"/>
                <w:lang w:val="fr-FR"/>
              </w:rPr>
            </w:pPr>
            <w:r w:rsidRPr="00825BBE">
              <w:rPr>
                <w:rFonts w:cstheme="minorHAnsi"/>
                <w:lang w:val="fr-FR" w:eastAsia="fr-FR"/>
              </w:rPr>
              <w:t>Guide méthodologique, sensible au genre, pour l’intégration de l’ACC dans les Plans de Développement Provinciaux.</w:t>
            </w:r>
          </w:p>
        </w:tc>
        <w:tc>
          <w:tcPr>
            <w:tcW w:w="1816" w:type="dxa"/>
          </w:tcPr>
          <w:p w:rsidR="005E7226" w:rsidRPr="00825BBE" w:rsidRDefault="003D51AC" w:rsidP="00D8137C">
            <w:pPr>
              <w:autoSpaceDE w:val="0"/>
              <w:autoSpaceDN w:val="0"/>
              <w:adjustRightInd w:val="0"/>
              <w:rPr>
                <w:rFonts w:eastAsia="Calibri" w:cstheme="minorHAnsi"/>
              </w:rPr>
            </w:pPr>
            <w:r w:rsidRPr="00825BBE">
              <w:rPr>
                <w:rFonts w:eastAsia="Calibri" w:cstheme="minorHAnsi"/>
              </w:rPr>
              <w:t>35</w:t>
            </w:r>
            <w:r w:rsidR="005E7226" w:rsidRPr="00825BBE">
              <w:rPr>
                <w:rFonts w:eastAsia="Calibri" w:cstheme="minorHAnsi"/>
                <w:vertAlign w:val="superscript"/>
              </w:rPr>
              <w:t>ème</w:t>
            </w:r>
            <w:r w:rsidR="005E7226" w:rsidRPr="00825BBE">
              <w:rPr>
                <w:rFonts w:eastAsia="Calibri" w:cstheme="minorHAnsi"/>
              </w:rPr>
              <w:t xml:space="preserve"> jour</w:t>
            </w:r>
          </w:p>
        </w:tc>
        <w:tc>
          <w:tcPr>
            <w:tcW w:w="1019" w:type="dxa"/>
          </w:tcPr>
          <w:p w:rsidR="005E7226" w:rsidRPr="00825BBE" w:rsidRDefault="005E7226" w:rsidP="00D8137C">
            <w:pPr>
              <w:jc w:val="center"/>
              <w:rPr>
                <w:rFonts w:cstheme="minorHAnsi"/>
              </w:rPr>
            </w:pPr>
          </w:p>
        </w:tc>
        <w:tc>
          <w:tcPr>
            <w:tcW w:w="2808" w:type="dxa"/>
            <w:vMerge/>
          </w:tcPr>
          <w:p w:rsidR="005E7226" w:rsidRPr="00825BBE" w:rsidRDefault="005E7226" w:rsidP="00D8137C">
            <w:pPr>
              <w:jc w:val="center"/>
              <w:rPr>
                <w:rFonts w:cstheme="minorHAnsi"/>
              </w:rPr>
            </w:pPr>
          </w:p>
        </w:tc>
      </w:tr>
      <w:tr w:rsidR="005E7226" w:rsidRPr="00825BBE" w:rsidTr="00D8137C">
        <w:trPr>
          <w:trHeight w:val="831"/>
        </w:trPr>
        <w:tc>
          <w:tcPr>
            <w:tcW w:w="1161" w:type="dxa"/>
            <w:shd w:val="clear" w:color="auto" w:fill="auto"/>
          </w:tcPr>
          <w:p w:rsidR="005E7226" w:rsidRPr="00825BBE" w:rsidRDefault="005E7226" w:rsidP="00D8137C">
            <w:pPr>
              <w:rPr>
                <w:rFonts w:cstheme="minorHAnsi"/>
                <w:b/>
                <w:i/>
              </w:rPr>
            </w:pPr>
            <w:r w:rsidRPr="00825BBE">
              <w:rPr>
                <w:rFonts w:cstheme="minorHAnsi"/>
                <w:b/>
                <w:i/>
              </w:rPr>
              <w:t>Livrable 7</w:t>
            </w:r>
          </w:p>
        </w:tc>
        <w:tc>
          <w:tcPr>
            <w:tcW w:w="3402" w:type="dxa"/>
          </w:tcPr>
          <w:p w:rsidR="005E7226" w:rsidRPr="00825BBE" w:rsidRDefault="005E7226" w:rsidP="00D8137C">
            <w:pPr>
              <w:rPr>
                <w:rFonts w:cstheme="minorHAnsi"/>
                <w:lang w:val="fr-FR"/>
              </w:rPr>
            </w:pPr>
            <w:r w:rsidRPr="00825BBE">
              <w:rPr>
                <w:rFonts w:eastAsia="Calibri" w:cstheme="minorHAnsi"/>
                <w:lang w:val="fr-FR"/>
              </w:rPr>
              <w:t xml:space="preserve">Plan de suivi et évaluation sensible au genre pour mesurer la performance des institutions ciblées sur les questions de l’ACC </w:t>
            </w:r>
          </w:p>
        </w:tc>
        <w:tc>
          <w:tcPr>
            <w:tcW w:w="1816" w:type="dxa"/>
          </w:tcPr>
          <w:p w:rsidR="005E7226" w:rsidRPr="00825BBE" w:rsidRDefault="003D51AC" w:rsidP="00D8137C">
            <w:pPr>
              <w:autoSpaceDE w:val="0"/>
              <w:autoSpaceDN w:val="0"/>
              <w:adjustRightInd w:val="0"/>
              <w:rPr>
                <w:rFonts w:eastAsia="Calibri" w:cstheme="minorHAnsi"/>
              </w:rPr>
            </w:pPr>
            <w:r w:rsidRPr="00825BBE">
              <w:rPr>
                <w:rFonts w:eastAsia="Calibri" w:cstheme="minorHAnsi"/>
              </w:rPr>
              <w:t>38</w:t>
            </w:r>
            <w:r w:rsidR="005E7226" w:rsidRPr="00825BBE">
              <w:rPr>
                <w:rFonts w:eastAsia="Calibri" w:cstheme="minorHAnsi"/>
                <w:vertAlign w:val="superscript"/>
              </w:rPr>
              <w:t>ème</w:t>
            </w:r>
            <w:r w:rsidR="005E7226" w:rsidRPr="00825BBE">
              <w:rPr>
                <w:rFonts w:eastAsia="Calibri" w:cstheme="minorHAnsi"/>
              </w:rPr>
              <w:t xml:space="preserve"> jour</w:t>
            </w:r>
          </w:p>
        </w:tc>
        <w:tc>
          <w:tcPr>
            <w:tcW w:w="1019" w:type="dxa"/>
          </w:tcPr>
          <w:p w:rsidR="005E7226" w:rsidRPr="00825BBE" w:rsidRDefault="005E7226" w:rsidP="00D8137C">
            <w:pPr>
              <w:jc w:val="center"/>
              <w:rPr>
                <w:rFonts w:cstheme="minorHAnsi"/>
              </w:rPr>
            </w:pPr>
            <w:r w:rsidRPr="00825BBE">
              <w:rPr>
                <w:rFonts w:cstheme="minorHAnsi"/>
              </w:rPr>
              <w:t>10%</w:t>
            </w:r>
          </w:p>
        </w:tc>
        <w:tc>
          <w:tcPr>
            <w:tcW w:w="2808" w:type="dxa"/>
            <w:vMerge/>
          </w:tcPr>
          <w:p w:rsidR="005E7226" w:rsidRPr="00825BBE" w:rsidRDefault="005E7226" w:rsidP="00D8137C">
            <w:pPr>
              <w:jc w:val="center"/>
              <w:rPr>
                <w:rFonts w:cstheme="minorHAnsi"/>
              </w:rPr>
            </w:pPr>
          </w:p>
        </w:tc>
      </w:tr>
      <w:tr w:rsidR="005E7226" w:rsidRPr="00825BBE" w:rsidTr="00D8137C">
        <w:trPr>
          <w:trHeight w:val="831"/>
        </w:trPr>
        <w:tc>
          <w:tcPr>
            <w:tcW w:w="1161" w:type="dxa"/>
            <w:shd w:val="clear" w:color="auto" w:fill="auto"/>
          </w:tcPr>
          <w:p w:rsidR="005E7226" w:rsidRPr="00825BBE" w:rsidRDefault="005E7226" w:rsidP="00D8137C">
            <w:pPr>
              <w:rPr>
                <w:rFonts w:cstheme="minorHAnsi"/>
                <w:b/>
                <w:i/>
              </w:rPr>
            </w:pPr>
            <w:r w:rsidRPr="00825BBE">
              <w:rPr>
                <w:rFonts w:cstheme="minorHAnsi"/>
                <w:b/>
                <w:i/>
              </w:rPr>
              <w:t>Livrable 8</w:t>
            </w:r>
          </w:p>
        </w:tc>
        <w:tc>
          <w:tcPr>
            <w:tcW w:w="3402" w:type="dxa"/>
          </w:tcPr>
          <w:p w:rsidR="005E7226" w:rsidRPr="00825BBE" w:rsidRDefault="005E7226" w:rsidP="00D8137C">
            <w:pPr>
              <w:rPr>
                <w:rFonts w:cstheme="minorHAnsi"/>
                <w:lang w:val="fr-FR"/>
              </w:rPr>
            </w:pPr>
            <w:r w:rsidRPr="00825BBE">
              <w:rPr>
                <w:rFonts w:eastAsia="Calibri" w:cstheme="minorHAnsi"/>
                <w:lang w:val="fr-FR"/>
              </w:rPr>
              <w:t xml:space="preserve">Compte rendu des ateliers provinciaux de validation du rapport d’évaluation et du plan de renforcement des capacités </w:t>
            </w:r>
          </w:p>
        </w:tc>
        <w:tc>
          <w:tcPr>
            <w:tcW w:w="1816" w:type="dxa"/>
          </w:tcPr>
          <w:p w:rsidR="005E7226" w:rsidRPr="00825BBE" w:rsidRDefault="003D51AC" w:rsidP="00D8137C">
            <w:pPr>
              <w:autoSpaceDE w:val="0"/>
              <w:autoSpaceDN w:val="0"/>
              <w:adjustRightInd w:val="0"/>
              <w:rPr>
                <w:rFonts w:eastAsia="Calibri" w:cstheme="minorHAnsi"/>
              </w:rPr>
            </w:pPr>
            <w:r w:rsidRPr="00825BBE">
              <w:rPr>
                <w:rFonts w:eastAsia="Calibri" w:cstheme="minorHAnsi"/>
              </w:rPr>
              <w:t>39</w:t>
            </w:r>
            <w:r w:rsidR="005E7226" w:rsidRPr="00825BBE">
              <w:rPr>
                <w:rFonts w:eastAsia="Calibri" w:cstheme="minorHAnsi"/>
                <w:vertAlign w:val="superscript"/>
              </w:rPr>
              <w:t>ème</w:t>
            </w:r>
            <w:r w:rsidR="005E7226" w:rsidRPr="00825BBE">
              <w:rPr>
                <w:rFonts w:eastAsia="Calibri" w:cstheme="minorHAnsi"/>
              </w:rPr>
              <w:t xml:space="preserve"> jour </w:t>
            </w:r>
          </w:p>
        </w:tc>
        <w:tc>
          <w:tcPr>
            <w:tcW w:w="1019" w:type="dxa"/>
          </w:tcPr>
          <w:p w:rsidR="005E7226" w:rsidRPr="00825BBE" w:rsidRDefault="005E7226" w:rsidP="00D8137C">
            <w:pPr>
              <w:jc w:val="center"/>
              <w:rPr>
                <w:rFonts w:cstheme="minorHAnsi"/>
              </w:rPr>
            </w:pPr>
            <w:r w:rsidRPr="00825BBE">
              <w:rPr>
                <w:rFonts w:cstheme="minorHAnsi"/>
              </w:rPr>
              <w:t>10%</w:t>
            </w:r>
          </w:p>
        </w:tc>
        <w:tc>
          <w:tcPr>
            <w:tcW w:w="2808" w:type="dxa"/>
            <w:vMerge/>
          </w:tcPr>
          <w:p w:rsidR="005E7226" w:rsidRPr="00825BBE" w:rsidRDefault="005E7226" w:rsidP="00D8137C">
            <w:pPr>
              <w:jc w:val="center"/>
              <w:rPr>
                <w:rFonts w:cstheme="minorHAnsi"/>
              </w:rPr>
            </w:pPr>
          </w:p>
        </w:tc>
      </w:tr>
      <w:tr w:rsidR="005E7226" w:rsidRPr="00825BBE" w:rsidTr="00D8137C">
        <w:trPr>
          <w:trHeight w:val="831"/>
        </w:trPr>
        <w:tc>
          <w:tcPr>
            <w:tcW w:w="1161" w:type="dxa"/>
            <w:shd w:val="clear" w:color="auto" w:fill="auto"/>
          </w:tcPr>
          <w:p w:rsidR="005E7226" w:rsidRPr="00825BBE" w:rsidRDefault="005E7226" w:rsidP="00D8137C">
            <w:pPr>
              <w:rPr>
                <w:rFonts w:cstheme="minorHAnsi"/>
                <w:b/>
                <w:i/>
              </w:rPr>
            </w:pPr>
            <w:r w:rsidRPr="00825BBE">
              <w:rPr>
                <w:rFonts w:cstheme="minorHAnsi"/>
                <w:b/>
                <w:i/>
              </w:rPr>
              <w:t>Livrable 9</w:t>
            </w:r>
          </w:p>
        </w:tc>
        <w:tc>
          <w:tcPr>
            <w:tcW w:w="3402" w:type="dxa"/>
          </w:tcPr>
          <w:p w:rsidR="005E7226" w:rsidRPr="00825BBE" w:rsidRDefault="005E7226" w:rsidP="00D8137C">
            <w:pPr>
              <w:rPr>
                <w:rFonts w:cstheme="minorHAnsi"/>
                <w:lang w:val="fr-FR"/>
              </w:rPr>
            </w:pPr>
            <w:r w:rsidRPr="00825BBE">
              <w:rPr>
                <w:rFonts w:cstheme="minorHAnsi"/>
                <w:lang w:val="fr-FR"/>
              </w:rPr>
              <w:t xml:space="preserve">Rapport général de la mission </w:t>
            </w:r>
          </w:p>
        </w:tc>
        <w:tc>
          <w:tcPr>
            <w:tcW w:w="1816" w:type="dxa"/>
          </w:tcPr>
          <w:p w:rsidR="005E7226" w:rsidRPr="00825BBE" w:rsidRDefault="003D51AC" w:rsidP="00D8137C">
            <w:pPr>
              <w:autoSpaceDE w:val="0"/>
              <w:autoSpaceDN w:val="0"/>
              <w:adjustRightInd w:val="0"/>
              <w:rPr>
                <w:rFonts w:eastAsia="Calibri" w:cstheme="minorHAnsi"/>
              </w:rPr>
            </w:pPr>
            <w:r w:rsidRPr="00825BBE">
              <w:rPr>
                <w:rFonts w:eastAsia="Calibri" w:cstheme="minorHAnsi"/>
              </w:rPr>
              <w:t>4</w:t>
            </w:r>
            <w:r w:rsidR="005E7226" w:rsidRPr="00825BBE">
              <w:rPr>
                <w:rFonts w:eastAsia="Calibri" w:cstheme="minorHAnsi"/>
              </w:rPr>
              <w:t>0</w:t>
            </w:r>
            <w:r w:rsidR="005E7226" w:rsidRPr="00825BBE">
              <w:rPr>
                <w:rFonts w:eastAsia="Calibri" w:cstheme="minorHAnsi"/>
                <w:vertAlign w:val="superscript"/>
              </w:rPr>
              <w:t>ème</w:t>
            </w:r>
            <w:r w:rsidR="005E7226" w:rsidRPr="00825BBE">
              <w:rPr>
                <w:rFonts w:eastAsia="Calibri" w:cstheme="minorHAnsi"/>
              </w:rPr>
              <w:t xml:space="preserve"> jour </w:t>
            </w:r>
          </w:p>
        </w:tc>
        <w:tc>
          <w:tcPr>
            <w:tcW w:w="1019" w:type="dxa"/>
          </w:tcPr>
          <w:p w:rsidR="005E7226" w:rsidRPr="00825BBE" w:rsidRDefault="005E7226" w:rsidP="00D8137C">
            <w:pPr>
              <w:jc w:val="center"/>
              <w:rPr>
                <w:rFonts w:cstheme="minorHAnsi"/>
              </w:rPr>
            </w:pPr>
            <w:r w:rsidRPr="00825BBE">
              <w:rPr>
                <w:rFonts w:cstheme="minorHAnsi"/>
              </w:rPr>
              <w:t>30%</w:t>
            </w:r>
          </w:p>
        </w:tc>
        <w:tc>
          <w:tcPr>
            <w:tcW w:w="2808" w:type="dxa"/>
            <w:vMerge/>
          </w:tcPr>
          <w:p w:rsidR="005E7226" w:rsidRPr="00825BBE" w:rsidRDefault="005E7226" w:rsidP="00D8137C">
            <w:pPr>
              <w:jc w:val="center"/>
              <w:rPr>
                <w:rFonts w:cstheme="minorHAnsi"/>
              </w:rPr>
            </w:pPr>
          </w:p>
        </w:tc>
      </w:tr>
    </w:tbl>
    <w:p w:rsidR="00AF0F93" w:rsidRPr="00825BBE" w:rsidRDefault="00AF0F93" w:rsidP="00AF0F93">
      <w:pPr>
        <w:spacing w:after="0" w:line="240" w:lineRule="auto"/>
        <w:jc w:val="both"/>
        <w:rPr>
          <w:rFonts w:eastAsia="Times New Roman" w:cstheme="minorHAnsi"/>
          <w:color w:val="000000"/>
          <w:sz w:val="24"/>
          <w:szCs w:val="24"/>
          <w:lang w:val="fr-FR"/>
        </w:rPr>
      </w:pPr>
    </w:p>
    <w:p w:rsidR="005E7226" w:rsidRPr="00825BBE" w:rsidRDefault="005E7226" w:rsidP="00AF0F93">
      <w:pPr>
        <w:spacing w:after="0" w:line="240" w:lineRule="auto"/>
        <w:jc w:val="both"/>
        <w:rPr>
          <w:rFonts w:eastAsia="Times New Roman" w:cstheme="minorHAnsi"/>
          <w:color w:val="000000"/>
          <w:sz w:val="24"/>
          <w:szCs w:val="24"/>
          <w:lang w:val="fr-FR"/>
        </w:rPr>
      </w:pPr>
    </w:p>
    <w:p w:rsidR="00CB569F" w:rsidRPr="00825BBE" w:rsidRDefault="00CB569F" w:rsidP="00AF0F93">
      <w:pPr>
        <w:spacing w:after="0" w:line="240" w:lineRule="auto"/>
        <w:jc w:val="both"/>
        <w:rPr>
          <w:rFonts w:eastAsia="Times New Roman" w:cstheme="minorHAnsi"/>
          <w:color w:val="000000"/>
          <w:sz w:val="24"/>
          <w:szCs w:val="24"/>
          <w:lang w:val="fr-FR"/>
        </w:rPr>
      </w:pPr>
    </w:p>
    <w:p w:rsidR="00CB569F" w:rsidRPr="00825BBE" w:rsidRDefault="00CB569F" w:rsidP="00AF0F93">
      <w:pPr>
        <w:spacing w:after="0" w:line="240" w:lineRule="auto"/>
        <w:jc w:val="both"/>
        <w:rPr>
          <w:rFonts w:eastAsia="Times New Roman" w:cstheme="minorHAnsi"/>
          <w:color w:val="000000"/>
          <w:sz w:val="24"/>
          <w:szCs w:val="24"/>
          <w:lang w:val="fr-FR"/>
        </w:rPr>
      </w:pPr>
    </w:p>
    <w:p w:rsidR="00CB569F" w:rsidRPr="00825BBE" w:rsidRDefault="00CB569F" w:rsidP="00AF0F93">
      <w:pPr>
        <w:spacing w:after="0" w:line="240" w:lineRule="auto"/>
        <w:jc w:val="both"/>
        <w:rPr>
          <w:rFonts w:eastAsia="Times New Roman" w:cstheme="minorHAnsi"/>
          <w:color w:val="000000"/>
          <w:sz w:val="24"/>
          <w:szCs w:val="24"/>
          <w:lang w:val="fr-FR"/>
        </w:rPr>
      </w:pPr>
    </w:p>
    <w:p w:rsidR="002223E0" w:rsidRPr="00825BBE" w:rsidRDefault="005E7226" w:rsidP="00A24134">
      <w:pPr>
        <w:rPr>
          <w:rFonts w:cstheme="minorHAnsi"/>
          <w:b/>
          <w:sz w:val="20"/>
          <w:szCs w:val="20"/>
          <w:lang w:val="fr-FR"/>
        </w:rPr>
      </w:pPr>
      <w:r w:rsidRPr="00825BBE">
        <w:rPr>
          <w:rFonts w:cstheme="minorHAnsi"/>
          <w:b/>
          <w:sz w:val="20"/>
          <w:szCs w:val="20"/>
          <w:lang w:val="fr-FR"/>
        </w:rPr>
        <w:t>6</w:t>
      </w:r>
      <w:r w:rsidR="00BF6263" w:rsidRPr="00825BBE">
        <w:rPr>
          <w:rFonts w:cstheme="minorHAnsi"/>
          <w:b/>
          <w:sz w:val="20"/>
          <w:szCs w:val="20"/>
          <w:lang w:val="fr-FR"/>
        </w:rPr>
        <w:t>. Q</w:t>
      </w:r>
      <w:r w:rsidR="008A277A" w:rsidRPr="00825BBE">
        <w:rPr>
          <w:rFonts w:cstheme="minorHAnsi"/>
          <w:b/>
          <w:sz w:val="20"/>
          <w:szCs w:val="20"/>
          <w:lang w:val="fr-FR"/>
        </w:rPr>
        <w:t xml:space="preserve">ualifications </w:t>
      </w:r>
      <w:r w:rsidR="00BF6263" w:rsidRPr="00825BBE">
        <w:rPr>
          <w:rFonts w:cstheme="minorHAnsi"/>
          <w:b/>
          <w:sz w:val="20"/>
          <w:szCs w:val="20"/>
          <w:lang w:val="fr-FR"/>
        </w:rPr>
        <w:t xml:space="preserve">et compétences </w:t>
      </w:r>
      <w:r w:rsidR="008A277A" w:rsidRPr="00825BBE">
        <w:rPr>
          <w:rFonts w:cstheme="minorHAnsi"/>
          <w:b/>
          <w:sz w:val="20"/>
          <w:szCs w:val="20"/>
          <w:lang w:val="fr-FR"/>
        </w:rPr>
        <w:t xml:space="preserve">requises </w:t>
      </w:r>
      <w:r w:rsidR="007C690C" w:rsidRPr="00825BBE">
        <w:rPr>
          <w:rFonts w:cstheme="minorHAnsi"/>
          <w:b/>
          <w:sz w:val="20"/>
          <w:szCs w:val="20"/>
          <w:lang w:val="fr-FR"/>
        </w:rPr>
        <w:t>*</w:t>
      </w:r>
    </w:p>
    <w:tbl>
      <w:tblPr>
        <w:tblW w:w="92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98"/>
        <w:gridCol w:w="7405"/>
      </w:tblGrid>
      <w:tr w:rsidR="006315F7" w:rsidRPr="009A3491" w:rsidTr="00892EA0">
        <w:trPr>
          <w:trHeight w:val="369"/>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15F7" w:rsidRPr="00825BBE" w:rsidRDefault="006315F7" w:rsidP="006315F7">
            <w:pPr>
              <w:pStyle w:val="Grillemoyenne1-Accent21"/>
              <w:ind w:left="360"/>
              <w:rPr>
                <w:rFonts w:asciiTheme="minorHAnsi" w:hAnsiTheme="minorHAnsi" w:cstheme="minorHAnsi"/>
                <w:sz w:val="20"/>
                <w:szCs w:val="20"/>
              </w:rPr>
            </w:pPr>
            <w:r w:rsidRPr="00825BBE">
              <w:rPr>
                <w:rFonts w:asciiTheme="minorHAnsi" w:eastAsia="Calibri" w:hAnsiTheme="minorHAnsi" w:cstheme="minorHAnsi"/>
                <w:sz w:val="20"/>
                <w:szCs w:val="20"/>
              </w:rPr>
              <w:t xml:space="preserve">Éducation </w:t>
            </w:r>
          </w:p>
        </w:tc>
        <w:tc>
          <w:tcPr>
            <w:tcW w:w="7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69F" w:rsidRPr="00825BBE" w:rsidRDefault="00CB569F" w:rsidP="00CB569F">
            <w:pPr>
              <w:spacing w:after="0" w:line="240" w:lineRule="auto"/>
              <w:jc w:val="both"/>
              <w:rPr>
                <w:rFonts w:eastAsia="Times New Roman" w:cstheme="minorHAnsi"/>
                <w:lang w:val="fr-FR"/>
              </w:rPr>
            </w:pPr>
            <w:r w:rsidRPr="00825BBE">
              <w:rPr>
                <w:rFonts w:eastAsia="Times New Roman" w:cstheme="minorHAnsi"/>
                <w:lang w:val="fr-FR"/>
              </w:rPr>
              <w:t>Licence ou plus en sciences climatiques ou environnementales, en sciences de développement, sciences sociales ou un de ces domaines connexes</w:t>
            </w:r>
          </w:p>
          <w:p w:rsidR="006315F7" w:rsidRPr="00825BBE" w:rsidRDefault="006315F7" w:rsidP="006424FF">
            <w:pPr>
              <w:pStyle w:val="Corps"/>
              <w:spacing w:after="0" w:line="240" w:lineRule="auto"/>
              <w:ind w:left="360"/>
              <w:rPr>
                <w:rFonts w:asciiTheme="minorHAnsi" w:hAnsiTheme="minorHAnsi" w:cstheme="minorHAnsi"/>
              </w:rPr>
            </w:pPr>
          </w:p>
        </w:tc>
      </w:tr>
      <w:tr w:rsidR="00BF50A5" w:rsidRPr="009A3491" w:rsidTr="00661B15">
        <w:trPr>
          <w:trHeight w:val="1216"/>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50A5" w:rsidRPr="00825BBE" w:rsidRDefault="00BF50A5" w:rsidP="00BF50A5">
            <w:pPr>
              <w:pStyle w:val="Grillemoyenne1-Accent21"/>
              <w:ind w:left="360"/>
              <w:rPr>
                <w:rFonts w:asciiTheme="minorHAnsi" w:hAnsiTheme="minorHAnsi" w:cstheme="minorHAnsi"/>
                <w:sz w:val="20"/>
                <w:szCs w:val="20"/>
              </w:rPr>
            </w:pPr>
            <w:r w:rsidRPr="00825BBE">
              <w:rPr>
                <w:rFonts w:asciiTheme="minorHAnsi" w:eastAsia="Calibri" w:hAnsiTheme="minorHAnsi" w:cstheme="minorHAnsi"/>
                <w:sz w:val="20"/>
                <w:szCs w:val="20"/>
              </w:rPr>
              <w:t xml:space="preserve">Expérience </w:t>
            </w:r>
          </w:p>
        </w:tc>
        <w:tc>
          <w:tcPr>
            <w:tcW w:w="7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569F" w:rsidRPr="00825BBE" w:rsidRDefault="00CB569F" w:rsidP="000B468F">
            <w:pPr>
              <w:pStyle w:val="Paragraphedeliste"/>
              <w:numPr>
                <w:ilvl w:val="0"/>
                <w:numId w:val="33"/>
              </w:numPr>
              <w:spacing w:after="0" w:line="240" w:lineRule="auto"/>
              <w:jc w:val="both"/>
              <w:rPr>
                <w:rFonts w:eastAsia="Times New Roman" w:cstheme="minorHAnsi"/>
                <w:lang w:val="fr-FR"/>
              </w:rPr>
            </w:pPr>
            <w:r w:rsidRPr="00825BBE">
              <w:rPr>
                <w:rFonts w:eastAsia="Times New Roman" w:cstheme="minorHAnsi"/>
                <w:lang w:val="fr-FR"/>
              </w:rPr>
              <w:t>Minimum de 10 années d'expérience</w:t>
            </w:r>
            <w:r w:rsidR="00334CBA" w:rsidRPr="00825BBE">
              <w:rPr>
                <w:rFonts w:eastAsia="Times New Roman" w:cstheme="minorHAnsi"/>
                <w:lang w:val="fr-FR"/>
              </w:rPr>
              <w:t>s</w:t>
            </w:r>
            <w:r w:rsidRPr="00825BBE">
              <w:rPr>
                <w:rFonts w:eastAsia="Times New Roman" w:cstheme="minorHAnsi"/>
                <w:lang w:val="fr-FR"/>
              </w:rPr>
              <w:t xml:space="preserve"> professionnelle</w:t>
            </w:r>
            <w:r w:rsidR="00334CBA" w:rsidRPr="00825BBE">
              <w:rPr>
                <w:rFonts w:eastAsia="Times New Roman" w:cstheme="minorHAnsi"/>
                <w:lang w:val="fr-FR"/>
              </w:rPr>
              <w:t>s</w:t>
            </w:r>
            <w:r w:rsidRPr="00825BBE">
              <w:rPr>
                <w:rFonts w:eastAsia="Times New Roman" w:cstheme="minorHAnsi"/>
                <w:lang w:val="fr-FR"/>
              </w:rPr>
              <w:t xml:space="preserve"> dans le domaine du développement international axées sur l’évaluation institutionnelle, la planification du développement, l’analyse institutionnelle, de façon générale </w:t>
            </w:r>
            <w:r w:rsidRPr="00825BBE">
              <w:rPr>
                <w:rFonts w:cstheme="minorHAnsi"/>
                <w:lang w:val="fr-FR"/>
              </w:rPr>
              <w:t>et plus</w:t>
            </w:r>
            <w:r w:rsidRPr="00825BBE">
              <w:rPr>
                <w:rFonts w:eastAsia="Times New Roman" w:cstheme="minorHAnsi"/>
                <w:lang w:val="fr-FR"/>
              </w:rPr>
              <w:t xml:space="preserve"> spécifiquement sur des questions climatiques ;</w:t>
            </w:r>
          </w:p>
          <w:p w:rsidR="00BF50A5" w:rsidRPr="00825BBE" w:rsidRDefault="00CB569F" w:rsidP="000B468F">
            <w:pPr>
              <w:pStyle w:val="Paragraphedeliste"/>
              <w:numPr>
                <w:ilvl w:val="0"/>
                <w:numId w:val="33"/>
              </w:numPr>
              <w:pBdr>
                <w:top w:val="nil"/>
                <w:left w:val="nil"/>
                <w:bottom w:val="nil"/>
                <w:right w:val="nil"/>
                <w:between w:val="nil"/>
                <w:bar w:val="nil"/>
              </w:pBdr>
              <w:shd w:val="clear" w:color="auto" w:fill="FFFFFF"/>
              <w:spacing w:after="0" w:line="240" w:lineRule="auto"/>
              <w:rPr>
                <w:rFonts w:cstheme="minorHAnsi"/>
                <w:color w:val="212121"/>
                <w:lang w:val="fr-FR"/>
              </w:rPr>
            </w:pPr>
            <w:r w:rsidRPr="00825BBE">
              <w:rPr>
                <w:rFonts w:eastAsia="Times New Roman" w:cstheme="minorHAnsi"/>
                <w:lang w:val="fr-FR"/>
              </w:rPr>
              <w:t>Au moins 2 expériences d’analyse institutionnelle à divers niveaux, sur les questions des changements climatiques, dans les pays en développement</w:t>
            </w:r>
            <w:r w:rsidR="000B468F" w:rsidRPr="00825BBE">
              <w:rPr>
                <w:rFonts w:cstheme="minorHAnsi"/>
                <w:lang w:val="fr-FR"/>
              </w:rPr>
              <w:t>.</w:t>
            </w:r>
          </w:p>
        </w:tc>
      </w:tr>
      <w:tr w:rsidR="00BF50A5" w:rsidRPr="009A3491" w:rsidTr="00892EA0">
        <w:trPr>
          <w:trHeight w:val="171"/>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50A5" w:rsidRPr="00825BBE" w:rsidRDefault="00BF50A5" w:rsidP="00BF50A5">
            <w:pPr>
              <w:pStyle w:val="Grillemoyenne1-Accent21"/>
              <w:ind w:left="360"/>
              <w:rPr>
                <w:rFonts w:asciiTheme="minorHAnsi" w:hAnsiTheme="minorHAnsi" w:cstheme="minorHAnsi"/>
                <w:sz w:val="20"/>
                <w:szCs w:val="20"/>
              </w:rPr>
            </w:pPr>
            <w:r w:rsidRPr="00825BBE">
              <w:rPr>
                <w:rFonts w:asciiTheme="minorHAnsi" w:eastAsia="Calibri" w:hAnsiTheme="minorHAnsi" w:cstheme="minorHAnsi"/>
                <w:sz w:val="20"/>
                <w:szCs w:val="20"/>
              </w:rPr>
              <w:t xml:space="preserve">Compétences </w:t>
            </w:r>
          </w:p>
        </w:tc>
        <w:tc>
          <w:tcPr>
            <w:tcW w:w="7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0A5" w:rsidRPr="00825BBE" w:rsidRDefault="00BF50A5" w:rsidP="00BF50A5">
            <w:pPr>
              <w:tabs>
                <w:tab w:val="left" w:pos="9072"/>
              </w:tabs>
              <w:spacing w:before="100" w:beforeAutospacing="1" w:line="312" w:lineRule="auto"/>
              <w:ind w:right="1"/>
              <w:jc w:val="both"/>
              <w:rPr>
                <w:rFonts w:cstheme="minorHAnsi"/>
                <w:b/>
                <w:bCs/>
                <w:color w:val="333333"/>
                <w:lang w:val="fr-FR" w:eastAsia="fr-FR"/>
              </w:rPr>
            </w:pPr>
            <w:r w:rsidRPr="00825BBE">
              <w:rPr>
                <w:rFonts w:cstheme="minorHAnsi"/>
                <w:b/>
                <w:bCs/>
                <w:color w:val="333333"/>
                <w:lang w:val="fr-FR" w:eastAsia="fr-FR"/>
              </w:rPr>
              <w:t>Compétences fonctionnelles :</w:t>
            </w:r>
          </w:p>
          <w:p w:rsidR="005E7226" w:rsidRPr="00825BBE" w:rsidRDefault="005E7226" w:rsidP="005E7226">
            <w:pPr>
              <w:numPr>
                <w:ilvl w:val="0"/>
                <w:numId w:val="21"/>
              </w:numPr>
              <w:spacing w:after="0" w:line="240" w:lineRule="auto"/>
              <w:jc w:val="both"/>
              <w:rPr>
                <w:rFonts w:eastAsia="Times New Roman" w:cstheme="minorHAnsi"/>
                <w:lang w:val="fr-FR"/>
              </w:rPr>
            </w:pPr>
            <w:r w:rsidRPr="00825BBE">
              <w:rPr>
                <w:rFonts w:eastAsia="Times New Roman" w:cstheme="minorHAnsi"/>
                <w:lang w:val="fr-FR"/>
              </w:rPr>
              <w:t>Excellent membre d'équipe avec de bonnes compétences interpersonnelles ;</w:t>
            </w:r>
          </w:p>
          <w:p w:rsidR="005E7226" w:rsidRPr="00825BBE" w:rsidRDefault="005E7226" w:rsidP="005E7226">
            <w:pPr>
              <w:numPr>
                <w:ilvl w:val="0"/>
                <w:numId w:val="21"/>
              </w:numPr>
              <w:spacing w:after="0" w:line="240" w:lineRule="auto"/>
              <w:jc w:val="both"/>
              <w:rPr>
                <w:rFonts w:eastAsia="Times New Roman" w:cstheme="minorHAnsi"/>
                <w:lang w:val="fr-FR"/>
              </w:rPr>
            </w:pPr>
            <w:r w:rsidRPr="00825BBE">
              <w:rPr>
                <w:rFonts w:eastAsia="Times New Roman" w:cstheme="minorHAnsi"/>
                <w:lang w:val="fr-FR"/>
              </w:rPr>
              <w:t>Capacité à gérer la charge de travail avec un minimum de supervision ;</w:t>
            </w:r>
          </w:p>
          <w:p w:rsidR="005E7226" w:rsidRPr="00825BBE" w:rsidRDefault="005E7226" w:rsidP="005E7226">
            <w:pPr>
              <w:numPr>
                <w:ilvl w:val="0"/>
                <w:numId w:val="21"/>
              </w:numPr>
              <w:spacing w:after="0" w:line="240" w:lineRule="auto"/>
              <w:jc w:val="both"/>
              <w:rPr>
                <w:rFonts w:eastAsia="Times New Roman" w:cstheme="minorHAnsi"/>
                <w:lang w:val="fr-FR"/>
              </w:rPr>
            </w:pPr>
            <w:r w:rsidRPr="00825BBE">
              <w:rPr>
                <w:rFonts w:eastAsia="Times New Roman" w:cstheme="minorHAnsi"/>
                <w:lang w:val="fr-FR"/>
              </w:rPr>
              <w:t>Capacité à travailler sous pression et à respecter des délais serrés ;</w:t>
            </w:r>
          </w:p>
          <w:p w:rsidR="005E7226" w:rsidRPr="00825BBE" w:rsidRDefault="005E7226" w:rsidP="005E7226">
            <w:pPr>
              <w:numPr>
                <w:ilvl w:val="0"/>
                <w:numId w:val="21"/>
              </w:numPr>
              <w:spacing w:after="0" w:line="240" w:lineRule="auto"/>
              <w:jc w:val="both"/>
              <w:rPr>
                <w:rFonts w:eastAsia="Times New Roman" w:cstheme="minorHAnsi"/>
                <w:lang w:val="fr-FR"/>
              </w:rPr>
            </w:pPr>
            <w:r w:rsidRPr="00825BBE">
              <w:rPr>
                <w:rFonts w:eastAsia="Times New Roman" w:cstheme="minorHAnsi"/>
                <w:lang w:val="fr-FR"/>
              </w:rPr>
              <w:t>Aptitude à travailler dans un environnement multiculturel ;</w:t>
            </w:r>
          </w:p>
          <w:p w:rsidR="005E7226" w:rsidRPr="00825BBE" w:rsidRDefault="005E7226" w:rsidP="005E7226">
            <w:pPr>
              <w:numPr>
                <w:ilvl w:val="0"/>
                <w:numId w:val="21"/>
              </w:numPr>
              <w:spacing w:after="0" w:line="240" w:lineRule="auto"/>
              <w:jc w:val="both"/>
              <w:rPr>
                <w:rFonts w:eastAsia="Times New Roman" w:cstheme="minorHAnsi"/>
                <w:lang w:val="fr-FR"/>
              </w:rPr>
            </w:pPr>
            <w:r w:rsidRPr="00825BBE">
              <w:rPr>
                <w:rFonts w:eastAsia="Times New Roman" w:cstheme="minorHAnsi"/>
                <w:lang w:val="fr-FR"/>
              </w:rPr>
              <w:t>Aptitude à communiquer de façon efficace et écrite les informations techniques complexes destinées au public technique et au grand public ;</w:t>
            </w:r>
          </w:p>
          <w:p w:rsidR="005E7226" w:rsidRPr="00825BBE" w:rsidRDefault="005E7226" w:rsidP="005E7226">
            <w:pPr>
              <w:numPr>
                <w:ilvl w:val="0"/>
                <w:numId w:val="21"/>
              </w:numPr>
              <w:spacing w:after="0" w:line="240" w:lineRule="auto"/>
              <w:jc w:val="both"/>
              <w:rPr>
                <w:rFonts w:eastAsia="Times New Roman" w:cstheme="minorHAnsi"/>
                <w:lang w:val="fr-FR"/>
              </w:rPr>
            </w:pPr>
            <w:r w:rsidRPr="00825BBE">
              <w:rPr>
                <w:rFonts w:eastAsia="Times New Roman" w:cstheme="minorHAnsi"/>
                <w:lang w:val="fr-FR"/>
              </w:rPr>
              <w:t>Une planification stratégique solide, une gestion axée sur les résultats et de bonnes capacités de rédaction de rapport ;</w:t>
            </w:r>
          </w:p>
          <w:p w:rsidR="005E7226" w:rsidRPr="00825BBE" w:rsidRDefault="005E7226" w:rsidP="005E7226">
            <w:pPr>
              <w:numPr>
                <w:ilvl w:val="0"/>
                <w:numId w:val="21"/>
              </w:numPr>
              <w:spacing w:after="0" w:line="240" w:lineRule="auto"/>
              <w:jc w:val="both"/>
              <w:rPr>
                <w:rFonts w:eastAsia="Times New Roman" w:cstheme="minorHAnsi"/>
                <w:lang w:val="fr-FR"/>
              </w:rPr>
            </w:pPr>
            <w:r w:rsidRPr="00825BBE">
              <w:rPr>
                <w:rFonts w:eastAsia="Times New Roman" w:cstheme="minorHAnsi"/>
                <w:lang w:val="fr-FR"/>
              </w:rPr>
              <w:t xml:space="preserve">Sensibilité et adaptabilité sans distinction de genre, de religion, et de race. </w:t>
            </w:r>
          </w:p>
          <w:p w:rsidR="00BF50A5" w:rsidRPr="00825BBE" w:rsidRDefault="00BF50A5" w:rsidP="000B468F">
            <w:pPr>
              <w:spacing w:after="0" w:line="240" w:lineRule="auto"/>
              <w:ind w:left="283"/>
              <w:jc w:val="both"/>
              <w:rPr>
                <w:rFonts w:eastAsia="Trebuchet MS" w:cstheme="minorHAnsi"/>
                <w:lang w:val="fr-BE"/>
              </w:rPr>
            </w:pPr>
          </w:p>
        </w:tc>
      </w:tr>
      <w:tr w:rsidR="00BF50A5" w:rsidRPr="009A3491" w:rsidTr="00661B15">
        <w:trPr>
          <w:trHeight w:val="730"/>
        </w:trPr>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50A5" w:rsidRPr="00825BBE" w:rsidRDefault="00BF50A5" w:rsidP="00BF50A5">
            <w:pPr>
              <w:pStyle w:val="Grillemoyenne1-Accent21"/>
              <w:ind w:left="360"/>
              <w:jc w:val="both"/>
              <w:rPr>
                <w:rFonts w:asciiTheme="minorHAnsi" w:hAnsiTheme="minorHAnsi" w:cstheme="minorHAnsi"/>
                <w:sz w:val="20"/>
                <w:szCs w:val="20"/>
              </w:rPr>
            </w:pPr>
            <w:bookmarkStart w:id="5" w:name="_Hlk5369818"/>
            <w:r w:rsidRPr="00825BBE">
              <w:rPr>
                <w:rFonts w:asciiTheme="minorHAnsi" w:eastAsia="Calibri" w:hAnsiTheme="minorHAnsi" w:cstheme="minorHAnsi"/>
                <w:sz w:val="20"/>
                <w:szCs w:val="20"/>
              </w:rPr>
              <w:t xml:space="preserve">Langues requises </w:t>
            </w:r>
          </w:p>
        </w:tc>
        <w:tc>
          <w:tcPr>
            <w:tcW w:w="7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50A5" w:rsidRPr="009A3491" w:rsidRDefault="00CB569F" w:rsidP="000B468F">
            <w:pPr>
              <w:spacing w:after="0" w:line="240" w:lineRule="auto"/>
              <w:jc w:val="both"/>
              <w:rPr>
                <w:rFonts w:eastAsia="Trebuchet MS" w:cstheme="minorHAnsi"/>
                <w:lang w:val="fr-FR"/>
              </w:rPr>
            </w:pPr>
            <w:r w:rsidRPr="00825BBE">
              <w:rPr>
                <w:rFonts w:eastAsia="Times New Roman" w:cstheme="minorHAnsi"/>
                <w:lang w:val="fr-FR"/>
              </w:rPr>
              <w:t>Une bonne maîtrise du français parlé et écrit. La connaissance du Lingala</w:t>
            </w:r>
            <w:r w:rsidR="000B468F" w:rsidRPr="00825BBE">
              <w:rPr>
                <w:rFonts w:eastAsia="Times New Roman" w:cstheme="minorHAnsi"/>
                <w:lang w:val="fr-FR"/>
              </w:rPr>
              <w:t xml:space="preserve"> et/ou </w:t>
            </w:r>
            <w:r w:rsidR="00961622" w:rsidRPr="00825BBE">
              <w:rPr>
                <w:rFonts w:eastAsia="Times New Roman" w:cstheme="minorHAnsi"/>
                <w:lang w:val="fr-FR"/>
              </w:rPr>
              <w:t xml:space="preserve">Swahili </w:t>
            </w:r>
            <w:r w:rsidRPr="00825BBE">
              <w:rPr>
                <w:rFonts w:eastAsia="Times New Roman" w:cstheme="minorHAnsi"/>
                <w:lang w:val="fr-FR"/>
              </w:rPr>
              <w:t xml:space="preserve">est un atout. </w:t>
            </w:r>
          </w:p>
        </w:tc>
      </w:tr>
      <w:bookmarkEnd w:id="5"/>
    </w:tbl>
    <w:p w:rsidR="007C690C" w:rsidRPr="00825BBE" w:rsidRDefault="007C690C" w:rsidP="00A24134">
      <w:pPr>
        <w:rPr>
          <w:rFonts w:cstheme="minorHAnsi"/>
          <w:b/>
          <w:sz w:val="20"/>
          <w:szCs w:val="20"/>
          <w:lang w:val="fr-FR"/>
        </w:rPr>
      </w:pPr>
    </w:p>
    <w:p w:rsidR="002223E0" w:rsidRPr="00825BBE" w:rsidRDefault="00E848E3" w:rsidP="00A24134">
      <w:pPr>
        <w:rPr>
          <w:rFonts w:cstheme="minorHAnsi"/>
          <w:b/>
          <w:sz w:val="20"/>
          <w:szCs w:val="20"/>
          <w:lang w:val="fr-FR"/>
        </w:rPr>
      </w:pPr>
      <w:r w:rsidRPr="00825BBE">
        <w:rPr>
          <w:rFonts w:cstheme="minorHAnsi"/>
          <w:b/>
          <w:sz w:val="20"/>
          <w:szCs w:val="20"/>
        </w:rPr>
        <w:t>6</w:t>
      </w:r>
      <w:r w:rsidR="006C491D" w:rsidRPr="00825BBE">
        <w:rPr>
          <w:rFonts w:cstheme="minorHAnsi"/>
          <w:b/>
          <w:sz w:val="20"/>
          <w:szCs w:val="20"/>
        </w:rPr>
        <w:t xml:space="preserve">. </w:t>
      </w:r>
      <w:r w:rsidR="000440EC" w:rsidRPr="00825BBE">
        <w:rPr>
          <w:rFonts w:eastAsia="Calibri" w:cstheme="minorHAnsi"/>
          <w:b/>
          <w:sz w:val="20"/>
          <w:szCs w:val="20"/>
          <w:lang w:val="fr-FR"/>
        </w:rPr>
        <w:t>Documents constitutifs de l’offre</w:t>
      </w:r>
    </w:p>
    <w:tbl>
      <w:tblPr>
        <w:tblStyle w:val="Grilledutableau"/>
        <w:tblW w:w="9214" w:type="dxa"/>
        <w:tblInd w:w="137" w:type="dxa"/>
        <w:tblLook w:val="04A0"/>
      </w:tblPr>
      <w:tblGrid>
        <w:gridCol w:w="9214"/>
      </w:tblGrid>
      <w:tr w:rsidR="00443E94" w:rsidRPr="009A3491" w:rsidTr="00FC4ED0">
        <w:trPr>
          <w:trHeight w:val="989"/>
        </w:trPr>
        <w:tc>
          <w:tcPr>
            <w:tcW w:w="9214" w:type="dxa"/>
          </w:tcPr>
          <w:p w:rsidR="00DB13D3" w:rsidRPr="00825BBE" w:rsidRDefault="00845D5B" w:rsidP="0065710B">
            <w:pPr>
              <w:rPr>
                <w:rFonts w:cstheme="minorHAnsi"/>
                <w:sz w:val="20"/>
                <w:szCs w:val="20"/>
                <w:lang w:val="fr-FR"/>
              </w:rPr>
            </w:pPr>
            <w:r w:rsidRPr="00825BBE">
              <w:rPr>
                <w:rFonts w:cstheme="minorHAnsi"/>
                <w:sz w:val="20"/>
                <w:szCs w:val="20"/>
                <w:lang w:val="fr-FR"/>
              </w:rPr>
              <w:t>Les consultants intéressés doivent inclure dans leurs offres les documents/informations ci-dessous :</w:t>
            </w:r>
          </w:p>
          <w:p w:rsidR="00845D5B" w:rsidRPr="00825BBE" w:rsidRDefault="00845D5B" w:rsidP="0065710B">
            <w:pPr>
              <w:rPr>
                <w:rFonts w:cstheme="minorHAnsi"/>
                <w:sz w:val="20"/>
                <w:szCs w:val="20"/>
                <w:lang w:val="fr-FR"/>
              </w:rPr>
            </w:pPr>
          </w:p>
          <w:p w:rsidR="0065710B" w:rsidRPr="00825BBE" w:rsidRDefault="000B254C" w:rsidP="0065710B">
            <w:pPr>
              <w:rPr>
                <w:rFonts w:cstheme="minorHAnsi"/>
                <w:b/>
                <w:sz w:val="20"/>
                <w:szCs w:val="20"/>
                <w:lang w:val="fr-FR"/>
              </w:rPr>
            </w:pPr>
            <w:r w:rsidRPr="00825BBE">
              <w:rPr>
                <w:rFonts w:cstheme="minorHAnsi"/>
                <w:b/>
                <w:sz w:val="20"/>
                <w:szCs w:val="20"/>
                <w:lang w:val="fr-FR"/>
              </w:rPr>
              <w:t xml:space="preserve">1. Proposition </w:t>
            </w:r>
            <w:r w:rsidR="00845D5B" w:rsidRPr="00825BBE">
              <w:rPr>
                <w:rFonts w:cstheme="minorHAnsi"/>
                <w:b/>
                <w:sz w:val="20"/>
                <w:szCs w:val="20"/>
                <w:lang w:val="fr-FR"/>
              </w:rPr>
              <w:t>technique :</w:t>
            </w:r>
          </w:p>
          <w:p w:rsidR="00200AA0" w:rsidRPr="00825BBE" w:rsidRDefault="00200AA0" w:rsidP="0065710B">
            <w:pPr>
              <w:rPr>
                <w:rFonts w:cstheme="minorHAnsi"/>
                <w:sz w:val="20"/>
                <w:szCs w:val="20"/>
                <w:lang w:val="fr-FR"/>
              </w:rPr>
            </w:pPr>
          </w:p>
          <w:p w:rsidR="00CB0FD0" w:rsidRPr="00825BBE" w:rsidRDefault="0065710B" w:rsidP="00CB0FD0">
            <w:pPr>
              <w:pStyle w:val="Corps"/>
              <w:jc w:val="both"/>
              <w:rPr>
                <w:rFonts w:asciiTheme="minorHAnsi" w:hAnsiTheme="minorHAnsi" w:cstheme="minorHAnsi"/>
                <w:sz w:val="20"/>
                <w:szCs w:val="20"/>
              </w:rPr>
            </w:pPr>
            <w:r w:rsidRPr="00825BBE">
              <w:rPr>
                <w:rFonts w:asciiTheme="minorHAnsi" w:hAnsiTheme="minorHAnsi" w:cstheme="minorHAnsi"/>
                <w:sz w:val="20"/>
                <w:szCs w:val="20"/>
              </w:rPr>
              <w:t xml:space="preserve">(i) </w:t>
            </w:r>
            <w:r w:rsidR="000B254C" w:rsidRPr="00825BBE">
              <w:rPr>
                <w:rFonts w:asciiTheme="minorHAnsi" w:hAnsiTheme="minorHAnsi" w:cstheme="minorHAnsi"/>
                <w:sz w:val="20"/>
                <w:szCs w:val="20"/>
              </w:rPr>
              <w:t xml:space="preserve">Une </w:t>
            </w:r>
            <w:r w:rsidR="003231AD" w:rsidRPr="00825BBE">
              <w:rPr>
                <w:rFonts w:asciiTheme="minorHAnsi" w:hAnsiTheme="minorHAnsi" w:cstheme="minorHAnsi"/>
                <w:sz w:val="20"/>
                <w:szCs w:val="20"/>
              </w:rPr>
              <w:t xml:space="preserve">présentation </w:t>
            </w:r>
            <w:r w:rsidR="00845D5B" w:rsidRPr="00825BBE">
              <w:rPr>
                <w:rFonts w:asciiTheme="minorHAnsi" w:hAnsiTheme="minorHAnsi" w:cstheme="minorHAnsi"/>
                <w:sz w:val="20"/>
                <w:szCs w:val="20"/>
              </w:rPr>
              <w:t>du consultant et de s</w:t>
            </w:r>
            <w:r w:rsidR="003231AD" w:rsidRPr="00825BBE">
              <w:rPr>
                <w:rFonts w:asciiTheme="minorHAnsi" w:hAnsiTheme="minorHAnsi" w:cstheme="minorHAnsi"/>
                <w:sz w:val="20"/>
                <w:szCs w:val="20"/>
              </w:rPr>
              <w:t>es motivations</w:t>
            </w:r>
            <w:r w:rsidR="00A766AD" w:rsidRPr="00825BBE">
              <w:rPr>
                <w:rFonts w:asciiTheme="minorHAnsi" w:hAnsiTheme="minorHAnsi" w:cstheme="minorHAnsi"/>
                <w:sz w:val="20"/>
                <w:szCs w:val="20"/>
              </w:rPr>
              <w:t>pour la mission,</w:t>
            </w:r>
            <w:r w:rsidR="00CB0FD0" w:rsidRPr="00825BBE">
              <w:rPr>
                <w:rFonts w:asciiTheme="minorHAnsi" w:hAnsiTheme="minorHAnsi" w:cstheme="minorHAnsi"/>
                <w:sz w:val="20"/>
                <w:szCs w:val="20"/>
              </w:rPr>
              <w:t>en expliquant l´expérience pertinente démontrée, y compris</w:t>
            </w:r>
            <w:r w:rsidR="007C2318" w:rsidRPr="00825BBE">
              <w:rPr>
                <w:rFonts w:asciiTheme="minorHAnsi" w:hAnsiTheme="minorHAnsi" w:cstheme="minorHAnsi"/>
                <w:sz w:val="20"/>
                <w:szCs w:val="20"/>
              </w:rPr>
              <w:t>.</w:t>
            </w:r>
          </w:p>
          <w:p w:rsidR="00BB33FA" w:rsidRPr="00825BBE" w:rsidRDefault="0065710B" w:rsidP="0065710B">
            <w:pPr>
              <w:rPr>
                <w:rFonts w:cstheme="minorHAnsi"/>
                <w:sz w:val="20"/>
                <w:szCs w:val="20"/>
                <w:lang w:val="fr-FR"/>
              </w:rPr>
            </w:pPr>
            <w:r w:rsidRPr="00825BBE">
              <w:rPr>
                <w:rFonts w:cstheme="minorHAnsi"/>
                <w:sz w:val="20"/>
                <w:szCs w:val="20"/>
                <w:lang w:val="fr-FR"/>
              </w:rPr>
              <w:t xml:space="preserve">(ii) </w:t>
            </w:r>
            <w:r w:rsidR="003231AD" w:rsidRPr="00825BBE">
              <w:rPr>
                <w:rFonts w:cstheme="minorHAnsi"/>
                <w:sz w:val="20"/>
                <w:szCs w:val="20"/>
                <w:lang w:val="fr-FR"/>
              </w:rPr>
              <w:t xml:space="preserve">Une proposition de la méthodologie </w:t>
            </w:r>
            <w:r w:rsidR="00845D5B" w:rsidRPr="00825BBE">
              <w:rPr>
                <w:rFonts w:cstheme="minorHAnsi"/>
                <w:sz w:val="20"/>
                <w:szCs w:val="20"/>
                <w:lang w:val="fr-FR"/>
              </w:rPr>
              <w:t>de travail pour l’accomplissement de la mission</w:t>
            </w:r>
            <w:r w:rsidR="001C161A">
              <w:rPr>
                <w:rFonts w:cstheme="minorHAnsi"/>
                <w:sz w:val="20"/>
                <w:szCs w:val="20"/>
                <w:lang w:val="fr-FR"/>
              </w:rPr>
              <w:t xml:space="preserve">, </w:t>
            </w:r>
            <w:r w:rsidR="001C161A" w:rsidRPr="001C161A">
              <w:rPr>
                <w:rFonts w:cstheme="minorHAnsi"/>
                <w:sz w:val="20"/>
                <w:szCs w:val="20"/>
                <w:lang w:val="fr-FR"/>
              </w:rPr>
              <w:t>et un chronogramme d´exécution de la mission</w:t>
            </w:r>
          </w:p>
          <w:p w:rsidR="0065710B" w:rsidRPr="00825BBE" w:rsidRDefault="00845D5B" w:rsidP="0065710B">
            <w:pPr>
              <w:rPr>
                <w:rFonts w:cstheme="minorHAnsi"/>
                <w:sz w:val="20"/>
                <w:szCs w:val="20"/>
                <w:lang w:val="fr-FR"/>
              </w:rPr>
            </w:pPr>
            <w:r w:rsidRPr="00825BBE">
              <w:rPr>
                <w:rFonts w:cstheme="minorHAnsi"/>
                <w:sz w:val="20"/>
                <w:szCs w:val="20"/>
                <w:lang w:val="fr-FR"/>
              </w:rPr>
              <w:t>(</w:t>
            </w:r>
            <w:r w:rsidR="00F22E57" w:rsidRPr="00825BBE">
              <w:rPr>
                <w:rFonts w:cstheme="minorHAnsi"/>
                <w:sz w:val="20"/>
                <w:szCs w:val="20"/>
                <w:lang w:val="fr-FR"/>
              </w:rPr>
              <w:t>Iii</w:t>
            </w:r>
            <w:r w:rsidRPr="00825BBE">
              <w:rPr>
                <w:rFonts w:cstheme="minorHAnsi"/>
                <w:sz w:val="20"/>
                <w:szCs w:val="20"/>
                <w:lang w:val="fr-FR"/>
              </w:rPr>
              <w:t>)</w:t>
            </w:r>
            <w:r w:rsidR="00A766AD" w:rsidRPr="00825BBE">
              <w:rPr>
                <w:rFonts w:cstheme="minorHAnsi"/>
                <w:sz w:val="20"/>
                <w:szCs w:val="20"/>
                <w:lang w:val="fr-FR"/>
              </w:rPr>
              <w:t>Un</w:t>
            </w:r>
            <w:r w:rsidR="00D54A05" w:rsidRPr="00825BBE">
              <w:rPr>
                <w:rFonts w:cstheme="minorHAnsi"/>
                <w:sz w:val="20"/>
                <w:szCs w:val="20"/>
                <w:lang w:val="fr-FR"/>
              </w:rPr>
              <w:t xml:space="preserve"> CV</w:t>
            </w:r>
            <w:r w:rsidR="00200AA0" w:rsidRPr="00825BBE">
              <w:rPr>
                <w:rFonts w:cstheme="minorHAnsi"/>
                <w:sz w:val="20"/>
                <w:szCs w:val="20"/>
                <w:lang w:val="fr-FR"/>
              </w:rPr>
              <w:t xml:space="preserve"> actualisé</w:t>
            </w:r>
            <w:r w:rsidR="00A766AD" w:rsidRPr="00825BBE">
              <w:rPr>
                <w:rFonts w:cstheme="minorHAnsi"/>
                <w:sz w:val="20"/>
                <w:szCs w:val="20"/>
                <w:lang w:val="fr-FR"/>
              </w:rPr>
              <w:t>, incluant les expériences passées dans des projets similaires, avec au moins trois références</w:t>
            </w:r>
            <w:r w:rsidR="00D54A05" w:rsidRPr="00825BBE">
              <w:rPr>
                <w:rFonts w:cstheme="minorHAnsi"/>
                <w:sz w:val="20"/>
                <w:szCs w:val="20"/>
                <w:lang w:val="fr-FR"/>
              </w:rPr>
              <w:t> </w:t>
            </w:r>
            <w:r w:rsidR="00CB0FD0" w:rsidRPr="00825BBE">
              <w:rPr>
                <w:rFonts w:cstheme="minorHAnsi"/>
                <w:sz w:val="20"/>
                <w:szCs w:val="20"/>
                <w:lang w:val="fr-FR"/>
              </w:rPr>
              <w:t>+ une(les) copies du (des) diplômes</w:t>
            </w:r>
          </w:p>
          <w:p w:rsidR="00CB0FD0" w:rsidRPr="00825BBE" w:rsidRDefault="00CB0FD0" w:rsidP="0065710B">
            <w:pPr>
              <w:rPr>
                <w:rFonts w:cstheme="minorHAnsi"/>
                <w:sz w:val="20"/>
                <w:szCs w:val="20"/>
                <w:lang w:val="fr-FR"/>
              </w:rPr>
            </w:pPr>
          </w:p>
          <w:p w:rsidR="0065710B" w:rsidRPr="00825BBE" w:rsidRDefault="00845D5B" w:rsidP="00A24134">
            <w:pPr>
              <w:rPr>
                <w:rFonts w:cstheme="minorHAnsi"/>
                <w:b/>
                <w:sz w:val="20"/>
                <w:szCs w:val="20"/>
                <w:lang w:val="fr-FR"/>
              </w:rPr>
            </w:pPr>
            <w:r w:rsidRPr="00825BBE">
              <w:rPr>
                <w:rFonts w:cstheme="minorHAnsi"/>
                <w:b/>
                <w:sz w:val="20"/>
                <w:szCs w:val="20"/>
                <w:lang w:val="fr-FR"/>
              </w:rPr>
              <w:t>2</w:t>
            </w:r>
            <w:r w:rsidR="0065710B" w:rsidRPr="00825BBE">
              <w:rPr>
                <w:rFonts w:cstheme="minorHAnsi"/>
                <w:b/>
                <w:sz w:val="20"/>
                <w:szCs w:val="20"/>
                <w:lang w:val="fr-FR"/>
              </w:rPr>
              <w:t xml:space="preserve">. </w:t>
            </w:r>
            <w:r w:rsidR="004F4F1B" w:rsidRPr="00825BBE">
              <w:rPr>
                <w:rFonts w:cstheme="minorHAnsi"/>
                <w:b/>
                <w:sz w:val="20"/>
                <w:szCs w:val="20"/>
                <w:lang w:val="fr-FR"/>
              </w:rPr>
              <w:t>Lettre d´offre avec u</w:t>
            </w:r>
            <w:r w:rsidR="00A766AD" w:rsidRPr="00825BBE">
              <w:rPr>
                <w:rFonts w:cstheme="minorHAnsi"/>
                <w:b/>
                <w:sz w:val="20"/>
                <w:szCs w:val="20"/>
                <w:lang w:val="fr-FR"/>
              </w:rPr>
              <w:t xml:space="preserve">ne proposition financière </w:t>
            </w:r>
          </w:p>
          <w:p w:rsidR="00200AA0" w:rsidRPr="00825BBE" w:rsidRDefault="00200AA0" w:rsidP="00A24134">
            <w:pPr>
              <w:rPr>
                <w:rFonts w:cstheme="minorHAnsi"/>
                <w:sz w:val="20"/>
                <w:szCs w:val="20"/>
                <w:lang w:val="fr-FR"/>
              </w:rPr>
            </w:pPr>
          </w:p>
          <w:p w:rsidR="00200AA0" w:rsidRPr="00825BBE" w:rsidRDefault="004F4F1B" w:rsidP="00A24134">
            <w:pPr>
              <w:rPr>
                <w:rFonts w:cstheme="minorHAnsi"/>
                <w:sz w:val="20"/>
                <w:szCs w:val="20"/>
                <w:lang w:val="fr-FR"/>
              </w:rPr>
            </w:pPr>
            <w:r w:rsidRPr="00825BBE">
              <w:rPr>
                <w:rFonts w:cstheme="minorHAnsi"/>
                <w:sz w:val="20"/>
                <w:szCs w:val="20"/>
                <w:lang w:val="fr-FR"/>
              </w:rPr>
              <w:t>La proposition financière doit suivre le format officiel du PNUD « IndividualContractOfferorsLetter to UNDP ConfirmingInteres</w:t>
            </w:r>
            <w:r w:rsidR="00991F1B" w:rsidRPr="00825BBE">
              <w:rPr>
                <w:rFonts w:cstheme="minorHAnsi"/>
                <w:sz w:val="20"/>
                <w:szCs w:val="20"/>
                <w:lang w:val="fr-FR"/>
              </w:rPr>
              <w:t>t and Availability » - Annexe 2</w:t>
            </w:r>
            <w:r w:rsidR="00200AA0" w:rsidRPr="00825BBE">
              <w:rPr>
                <w:rFonts w:cstheme="minorHAnsi"/>
                <w:sz w:val="20"/>
                <w:szCs w:val="20"/>
                <w:lang w:val="fr-FR"/>
              </w:rPr>
              <w:t>.</w:t>
            </w:r>
          </w:p>
        </w:tc>
      </w:tr>
    </w:tbl>
    <w:p w:rsidR="00CB0FD0" w:rsidRPr="00825BBE" w:rsidRDefault="00CB0FD0" w:rsidP="00A24134">
      <w:pPr>
        <w:rPr>
          <w:rFonts w:cstheme="minorHAnsi"/>
          <w:b/>
          <w:sz w:val="20"/>
          <w:szCs w:val="20"/>
          <w:lang w:val="fr-FR"/>
        </w:rPr>
      </w:pPr>
    </w:p>
    <w:p w:rsidR="00E94857" w:rsidRPr="00825BBE" w:rsidRDefault="00E848E3" w:rsidP="00A24134">
      <w:pPr>
        <w:rPr>
          <w:rFonts w:cstheme="minorHAnsi"/>
          <w:b/>
          <w:sz w:val="20"/>
          <w:szCs w:val="20"/>
          <w:lang w:val="fr-FR"/>
        </w:rPr>
      </w:pPr>
      <w:r w:rsidRPr="00825BBE">
        <w:rPr>
          <w:rFonts w:cstheme="minorHAnsi"/>
          <w:b/>
          <w:sz w:val="20"/>
          <w:szCs w:val="20"/>
          <w:lang w:val="fr-FR"/>
        </w:rPr>
        <w:t>7</w:t>
      </w:r>
      <w:r w:rsidR="00E94857" w:rsidRPr="00825BBE">
        <w:rPr>
          <w:rFonts w:cstheme="minorHAnsi"/>
          <w:b/>
          <w:sz w:val="20"/>
          <w:szCs w:val="20"/>
          <w:lang w:val="fr-FR"/>
        </w:rPr>
        <w:t xml:space="preserve">. </w:t>
      </w:r>
      <w:r w:rsidR="00F64848" w:rsidRPr="00825BBE">
        <w:rPr>
          <w:rFonts w:cstheme="minorHAnsi"/>
          <w:b/>
          <w:sz w:val="20"/>
          <w:szCs w:val="20"/>
          <w:lang w:val="fr-FR"/>
        </w:rPr>
        <w:t xml:space="preserve">Evaluation </w:t>
      </w:r>
    </w:p>
    <w:tbl>
      <w:tblPr>
        <w:tblStyle w:val="Grilledutableau"/>
        <w:tblW w:w="0" w:type="auto"/>
        <w:tblLook w:val="04A0"/>
      </w:tblPr>
      <w:tblGrid>
        <w:gridCol w:w="9576"/>
      </w:tblGrid>
      <w:tr w:rsidR="00443E94" w:rsidRPr="009A3491" w:rsidTr="00443E94">
        <w:tc>
          <w:tcPr>
            <w:tcW w:w="9576" w:type="dxa"/>
          </w:tcPr>
          <w:p w:rsidR="00741FDD" w:rsidRPr="00825BBE" w:rsidRDefault="00741FDD" w:rsidP="00EA697D">
            <w:pPr>
              <w:rPr>
                <w:rFonts w:cstheme="minorHAnsi"/>
                <w:sz w:val="20"/>
                <w:szCs w:val="20"/>
                <w:lang w:val="fr-FR"/>
              </w:rPr>
            </w:pPr>
            <w:r w:rsidRPr="00825BBE">
              <w:rPr>
                <w:rFonts w:cstheme="minorHAnsi"/>
                <w:sz w:val="20"/>
                <w:szCs w:val="20"/>
                <w:lang w:val="fr-FR"/>
              </w:rPr>
              <w:t>Le</w:t>
            </w:r>
            <w:r w:rsidR="00C3053C" w:rsidRPr="00825BBE">
              <w:rPr>
                <w:rFonts w:cstheme="minorHAnsi"/>
                <w:sz w:val="20"/>
                <w:szCs w:val="20"/>
                <w:lang w:val="fr-FR"/>
              </w:rPr>
              <w:t>/la</w:t>
            </w:r>
            <w:r w:rsidRPr="00825BBE">
              <w:rPr>
                <w:rFonts w:cstheme="minorHAnsi"/>
                <w:sz w:val="20"/>
                <w:szCs w:val="20"/>
                <w:lang w:val="fr-FR"/>
              </w:rPr>
              <w:t xml:space="preserve"> consultant</w:t>
            </w:r>
            <w:r w:rsidR="00C3053C" w:rsidRPr="00825BBE">
              <w:rPr>
                <w:rFonts w:cstheme="minorHAnsi"/>
                <w:sz w:val="20"/>
                <w:szCs w:val="20"/>
                <w:lang w:val="fr-FR"/>
              </w:rPr>
              <w:t>/e</w:t>
            </w:r>
            <w:r w:rsidRPr="00825BBE">
              <w:rPr>
                <w:rFonts w:cstheme="minorHAnsi"/>
                <w:sz w:val="20"/>
                <w:szCs w:val="20"/>
                <w:lang w:val="fr-FR"/>
              </w:rPr>
              <w:t xml:space="preserve"> individuel sera évalué sur la </w:t>
            </w:r>
            <w:r w:rsidR="00DB13D3" w:rsidRPr="00825BBE">
              <w:rPr>
                <w:rFonts w:cstheme="minorHAnsi"/>
                <w:sz w:val="20"/>
                <w:szCs w:val="20"/>
                <w:lang w:val="fr-FR"/>
              </w:rPr>
              <w:t xml:space="preserve">base de la méthodologie de Notation combinée. </w:t>
            </w:r>
            <w:r w:rsidRPr="00825BBE">
              <w:rPr>
                <w:rFonts w:cstheme="minorHAnsi"/>
                <w:sz w:val="20"/>
                <w:szCs w:val="20"/>
                <w:lang w:val="fr-FR"/>
              </w:rPr>
              <w:t>Lorsque cette méthode d’évaluation</w:t>
            </w:r>
            <w:r w:rsidR="00CA2CE9" w:rsidRPr="00825BBE">
              <w:rPr>
                <w:rFonts w:cstheme="minorHAnsi"/>
                <w:sz w:val="20"/>
                <w:szCs w:val="20"/>
                <w:lang w:val="fr-FR"/>
              </w:rPr>
              <w:t xml:space="preserve"> est utilisée</w:t>
            </w:r>
            <w:r w:rsidRPr="00825BBE">
              <w:rPr>
                <w:rFonts w:cstheme="minorHAnsi"/>
                <w:sz w:val="20"/>
                <w:szCs w:val="20"/>
                <w:lang w:val="fr-FR"/>
              </w:rPr>
              <w:t xml:space="preserve">, </w:t>
            </w:r>
            <w:r w:rsidR="00DB13D3" w:rsidRPr="00825BBE">
              <w:rPr>
                <w:rFonts w:cstheme="minorHAnsi"/>
                <w:sz w:val="20"/>
                <w:szCs w:val="20"/>
                <w:lang w:val="fr-FR"/>
              </w:rPr>
              <w:t xml:space="preserve">le contrat est </w:t>
            </w:r>
            <w:r w:rsidR="00CA2CE9" w:rsidRPr="00825BBE">
              <w:rPr>
                <w:rFonts w:cstheme="minorHAnsi"/>
                <w:sz w:val="20"/>
                <w:szCs w:val="20"/>
                <w:lang w:val="fr-FR"/>
              </w:rPr>
              <w:t>attribué au consultant individuel dont l’offre a été évaluée et jugée :</w:t>
            </w:r>
          </w:p>
          <w:p w:rsidR="00CA2CE9" w:rsidRPr="00825BBE" w:rsidRDefault="00CA2CE9" w:rsidP="000B6B6B">
            <w:pPr>
              <w:pStyle w:val="Paragraphedeliste"/>
              <w:numPr>
                <w:ilvl w:val="0"/>
                <w:numId w:val="1"/>
              </w:numPr>
              <w:rPr>
                <w:rFonts w:cstheme="minorHAnsi"/>
                <w:sz w:val="20"/>
                <w:szCs w:val="20"/>
                <w:lang w:val="fr-FR"/>
              </w:rPr>
            </w:pPr>
            <w:r w:rsidRPr="00825BBE">
              <w:rPr>
                <w:rFonts w:cstheme="minorHAnsi"/>
                <w:sz w:val="20"/>
                <w:szCs w:val="20"/>
                <w:lang w:val="fr-FR"/>
              </w:rPr>
              <w:t>Répondante/conforme/ acceptable et,</w:t>
            </w:r>
          </w:p>
          <w:p w:rsidR="00DB13D3" w:rsidRPr="00825BBE" w:rsidRDefault="00CA2CE9" w:rsidP="000B6B6B">
            <w:pPr>
              <w:pStyle w:val="Paragraphedeliste"/>
              <w:numPr>
                <w:ilvl w:val="0"/>
                <w:numId w:val="1"/>
              </w:numPr>
              <w:rPr>
                <w:rFonts w:cstheme="minorHAnsi"/>
                <w:sz w:val="20"/>
                <w:szCs w:val="20"/>
                <w:lang w:val="fr-FR"/>
              </w:rPr>
            </w:pPr>
            <w:r w:rsidRPr="00825BBE">
              <w:rPr>
                <w:rFonts w:cstheme="minorHAnsi"/>
                <w:sz w:val="20"/>
                <w:szCs w:val="20"/>
                <w:lang w:val="fr-FR"/>
              </w:rPr>
              <w:t>Ayant reçue la noteglobale pondérée</w:t>
            </w:r>
            <w:r w:rsidR="00A91D81" w:rsidRPr="00825BBE">
              <w:rPr>
                <w:rFonts w:cstheme="minorHAnsi"/>
                <w:sz w:val="20"/>
                <w:szCs w:val="20"/>
                <w:lang w:val="fr-FR"/>
              </w:rPr>
              <w:t xml:space="preserve"> la plus élevée sur la base des critères technique et financier spécifiés</w:t>
            </w:r>
          </w:p>
          <w:p w:rsidR="00622C8B" w:rsidRPr="00825BBE" w:rsidRDefault="00622C8B" w:rsidP="00540BD0">
            <w:pPr>
              <w:rPr>
                <w:rFonts w:cstheme="minorHAnsi"/>
                <w:sz w:val="20"/>
                <w:szCs w:val="20"/>
                <w:lang w:val="fr-FR"/>
              </w:rPr>
            </w:pPr>
          </w:p>
          <w:p w:rsidR="00A91D81" w:rsidRPr="00825BBE" w:rsidRDefault="00A91D81" w:rsidP="00540BD0">
            <w:pPr>
              <w:rPr>
                <w:rFonts w:cstheme="minorHAnsi"/>
                <w:sz w:val="20"/>
                <w:szCs w:val="20"/>
                <w:lang w:val="fr-FR"/>
              </w:rPr>
            </w:pPr>
            <w:r w:rsidRPr="00825BBE">
              <w:rPr>
                <w:rFonts w:cstheme="minorHAnsi"/>
                <w:sz w:val="20"/>
                <w:szCs w:val="20"/>
                <w:lang w:val="fr-FR"/>
              </w:rPr>
              <w:t>*</w:t>
            </w:r>
            <w:r w:rsidR="00DB13D3" w:rsidRPr="00825BBE">
              <w:rPr>
                <w:rFonts w:cstheme="minorHAnsi"/>
                <w:sz w:val="20"/>
                <w:szCs w:val="20"/>
                <w:u w:val="single"/>
                <w:lang w:val="fr-FR"/>
              </w:rPr>
              <w:t>Pondération</w:t>
            </w:r>
            <w:r w:rsidRPr="00825BBE">
              <w:rPr>
                <w:rFonts w:cstheme="minorHAnsi"/>
                <w:sz w:val="20"/>
                <w:szCs w:val="20"/>
                <w:u w:val="single"/>
                <w:lang w:val="fr-FR"/>
              </w:rPr>
              <w:t xml:space="preserve"> de l’évaluation technique : 70 %</w:t>
            </w:r>
          </w:p>
          <w:p w:rsidR="00A91D81" w:rsidRPr="00825BBE" w:rsidRDefault="00DB13D3" w:rsidP="00A91D81">
            <w:pPr>
              <w:rPr>
                <w:rFonts w:cstheme="minorHAnsi"/>
                <w:sz w:val="20"/>
                <w:szCs w:val="20"/>
                <w:lang w:val="fr-FR"/>
              </w:rPr>
            </w:pPr>
            <w:r w:rsidRPr="00825BBE">
              <w:rPr>
                <w:rFonts w:cstheme="minorHAnsi"/>
                <w:sz w:val="20"/>
                <w:szCs w:val="20"/>
                <w:lang w:val="fr-FR"/>
              </w:rPr>
              <w:t>*</w:t>
            </w:r>
            <w:r w:rsidRPr="00825BBE">
              <w:rPr>
                <w:rFonts w:cstheme="minorHAnsi"/>
                <w:sz w:val="20"/>
                <w:szCs w:val="20"/>
                <w:u w:val="single"/>
                <w:lang w:val="fr-FR"/>
              </w:rPr>
              <w:t>Pondération</w:t>
            </w:r>
            <w:r w:rsidR="00A91D81" w:rsidRPr="00825BBE">
              <w:rPr>
                <w:rFonts w:cstheme="minorHAnsi"/>
                <w:sz w:val="20"/>
                <w:szCs w:val="20"/>
                <w:u w:val="single"/>
                <w:lang w:val="fr-FR"/>
              </w:rPr>
              <w:t xml:space="preserve"> de l</w:t>
            </w:r>
            <w:r w:rsidR="00F64848" w:rsidRPr="00825BBE">
              <w:rPr>
                <w:rFonts w:cstheme="minorHAnsi"/>
                <w:sz w:val="20"/>
                <w:szCs w:val="20"/>
                <w:u w:val="single"/>
                <w:lang w:val="fr-FR"/>
              </w:rPr>
              <w:t>’</w:t>
            </w:r>
            <w:r w:rsidR="00A91D81" w:rsidRPr="00825BBE">
              <w:rPr>
                <w:rFonts w:cstheme="minorHAnsi"/>
                <w:sz w:val="20"/>
                <w:szCs w:val="20"/>
                <w:u w:val="single"/>
                <w:lang w:val="fr-FR"/>
              </w:rPr>
              <w:t>évaluation financière : 30 %</w:t>
            </w:r>
          </w:p>
          <w:p w:rsidR="00A91D81" w:rsidRPr="00825BBE" w:rsidRDefault="00A91D81" w:rsidP="00540BD0">
            <w:pPr>
              <w:rPr>
                <w:rFonts w:cstheme="minorHAnsi"/>
                <w:sz w:val="20"/>
                <w:szCs w:val="20"/>
                <w:lang w:val="fr-FR"/>
              </w:rPr>
            </w:pPr>
          </w:p>
          <w:p w:rsidR="008429D1" w:rsidRPr="00825BBE" w:rsidRDefault="00C3053C" w:rsidP="00C3053C">
            <w:pPr>
              <w:jc w:val="both"/>
              <w:rPr>
                <w:rFonts w:eastAsia="Times New Roman" w:cstheme="minorHAnsi"/>
                <w:bCs/>
                <w:sz w:val="20"/>
                <w:szCs w:val="20"/>
                <w:lang w:val="fr-FR" w:eastAsia="rw-RW"/>
              </w:rPr>
            </w:pPr>
            <w:r w:rsidRPr="00825BBE">
              <w:rPr>
                <w:rFonts w:eastAsia="Times New Roman" w:cstheme="minorHAnsi"/>
                <w:bCs/>
                <w:sz w:val="20"/>
                <w:szCs w:val="20"/>
                <w:lang w:val="fr-FR" w:eastAsia="rw-RW"/>
              </w:rPr>
              <w:t>L’évaluation des offres se déroule en deux temps. L’évaluation des propositions techniques est achevée avant l’ouverture et la comparaison des propositions financières.</w:t>
            </w:r>
          </w:p>
          <w:p w:rsidR="00622C8B" w:rsidRPr="00825BBE" w:rsidRDefault="00622C8B" w:rsidP="00C3053C">
            <w:pPr>
              <w:jc w:val="both"/>
              <w:rPr>
                <w:rFonts w:cstheme="minorHAnsi"/>
                <w:b/>
                <w:i/>
                <w:sz w:val="20"/>
                <w:szCs w:val="20"/>
                <w:lang w:val="fr-FR"/>
              </w:rPr>
            </w:pPr>
          </w:p>
          <w:p w:rsidR="00A91D81" w:rsidRPr="00825BBE" w:rsidRDefault="008429D1" w:rsidP="00C3053C">
            <w:pPr>
              <w:jc w:val="both"/>
              <w:rPr>
                <w:rFonts w:cstheme="minorHAnsi"/>
                <w:b/>
                <w:i/>
                <w:sz w:val="20"/>
                <w:szCs w:val="20"/>
                <w:lang w:val="fr-FR"/>
              </w:rPr>
            </w:pPr>
            <w:r w:rsidRPr="00825BBE">
              <w:rPr>
                <w:rFonts w:cstheme="minorHAnsi"/>
                <w:b/>
                <w:i/>
                <w:sz w:val="20"/>
                <w:szCs w:val="20"/>
                <w:lang w:val="fr-FR"/>
              </w:rPr>
              <w:t xml:space="preserve">Seulement les candidats ayant obtenu la note minimale combinée de 70/100 à l´évaluation technique (soumission technique) seront </w:t>
            </w:r>
            <w:r w:rsidR="00F64848" w:rsidRPr="00825BBE">
              <w:rPr>
                <w:rFonts w:cstheme="minorHAnsi"/>
                <w:b/>
                <w:i/>
                <w:sz w:val="20"/>
                <w:szCs w:val="20"/>
                <w:lang w:val="fr-FR"/>
              </w:rPr>
              <w:t>considérés pour l’évaluation financière</w:t>
            </w:r>
            <w:r w:rsidR="003230F4" w:rsidRPr="00825BBE">
              <w:rPr>
                <w:rFonts w:cstheme="minorHAnsi"/>
                <w:b/>
                <w:i/>
                <w:sz w:val="20"/>
                <w:szCs w:val="20"/>
                <w:lang w:val="fr-FR"/>
              </w:rPr>
              <w:t>.</w:t>
            </w:r>
          </w:p>
          <w:p w:rsidR="00C3053C" w:rsidRPr="00825BBE" w:rsidRDefault="00C3053C" w:rsidP="00C3053C">
            <w:pPr>
              <w:jc w:val="both"/>
              <w:rPr>
                <w:rFonts w:eastAsia="Times New Roman" w:cstheme="minorHAnsi"/>
                <w:bCs/>
                <w:sz w:val="20"/>
                <w:szCs w:val="20"/>
                <w:lang w:val="fr-FR" w:eastAsia="rw-RW"/>
              </w:rPr>
            </w:pPr>
          </w:p>
          <w:p w:rsidR="00C3053C" w:rsidRPr="00825BBE" w:rsidRDefault="00C3053C" w:rsidP="000B6B6B">
            <w:pPr>
              <w:numPr>
                <w:ilvl w:val="0"/>
                <w:numId w:val="2"/>
              </w:numPr>
              <w:jc w:val="both"/>
              <w:rPr>
                <w:rFonts w:eastAsia="Times New Roman" w:cstheme="minorHAnsi"/>
                <w:bCs/>
                <w:i/>
                <w:sz w:val="20"/>
                <w:szCs w:val="20"/>
                <w:u w:val="single"/>
                <w:lang w:val="fr-FR" w:eastAsia="rw-RW"/>
              </w:rPr>
            </w:pPr>
            <w:r w:rsidRPr="00825BBE">
              <w:rPr>
                <w:rFonts w:eastAsia="Times New Roman" w:cstheme="minorHAnsi"/>
                <w:bCs/>
                <w:i/>
                <w:sz w:val="20"/>
                <w:szCs w:val="20"/>
                <w:u w:val="single"/>
                <w:lang w:val="fr-FR" w:eastAsia="rw-RW"/>
              </w:rPr>
              <w:t>L</w:t>
            </w:r>
            <w:r w:rsidR="003230F4" w:rsidRPr="00825BBE">
              <w:rPr>
                <w:rFonts w:eastAsia="Times New Roman" w:cstheme="minorHAnsi"/>
                <w:bCs/>
                <w:i/>
                <w:sz w:val="20"/>
                <w:szCs w:val="20"/>
                <w:u w:val="single"/>
                <w:lang w:val="fr-FR" w:eastAsia="rw-RW"/>
              </w:rPr>
              <w:t>a</w:t>
            </w:r>
            <w:r w:rsidRPr="00825BBE">
              <w:rPr>
                <w:rFonts w:eastAsia="Times New Roman" w:cstheme="minorHAnsi"/>
                <w:bCs/>
                <w:i/>
                <w:sz w:val="20"/>
                <w:szCs w:val="20"/>
                <w:u w:val="single"/>
                <w:lang w:val="fr-FR" w:eastAsia="rw-RW"/>
              </w:rPr>
              <w:t xml:space="preserve"> proposition technique</w:t>
            </w:r>
          </w:p>
          <w:p w:rsidR="00C3053C" w:rsidRPr="00825BBE" w:rsidRDefault="00C3053C" w:rsidP="00C3053C">
            <w:pPr>
              <w:jc w:val="both"/>
              <w:rPr>
                <w:rFonts w:eastAsia="Times New Roman" w:cstheme="minorHAnsi"/>
                <w:bCs/>
                <w:i/>
                <w:sz w:val="20"/>
                <w:szCs w:val="20"/>
                <w:u w:val="single"/>
                <w:lang w:val="fr-FR" w:eastAsia="rw-RW"/>
              </w:rPr>
            </w:pPr>
          </w:p>
          <w:p w:rsidR="00C3053C" w:rsidRPr="00825BBE" w:rsidRDefault="00C3053C" w:rsidP="00C3053C">
            <w:pPr>
              <w:autoSpaceDE w:val="0"/>
              <w:autoSpaceDN w:val="0"/>
              <w:adjustRightInd w:val="0"/>
              <w:jc w:val="both"/>
              <w:rPr>
                <w:rFonts w:cstheme="minorHAnsi"/>
                <w:sz w:val="20"/>
                <w:szCs w:val="20"/>
                <w:lang w:val="fr-FR"/>
              </w:rPr>
            </w:pPr>
            <w:r w:rsidRPr="00825BBE">
              <w:rPr>
                <w:rFonts w:cstheme="minorHAnsi"/>
                <w:sz w:val="20"/>
                <w:szCs w:val="20"/>
                <w:lang w:val="fr-FR"/>
              </w:rPr>
              <w:t>La proposition technique sera évaluée sur son degré de réponse par rapport aux termes de référence et sur la base des critères suivants :</w:t>
            </w:r>
          </w:p>
          <w:p w:rsidR="00497EDA" w:rsidRPr="00825BBE" w:rsidRDefault="00497EDA" w:rsidP="00C3053C">
            <w:pPr>
              <w:autoSpaceDE w:val="0"/>
              <w:autoSpaceDN w:val="0"/>
              <w:adjustRightInd w:val="0"/>
              <w:jc w:val="both"/>
              <w:rPr>
                <w:rFonts w:cstheme="minorHAnsi"/>
                <w:sz w:val="20"/>
                <w:szCs w:val="20"/>
                <w:lang w:val="fr-FR"/>
              </w:rPr>
            </w:pPr>
          </w:p>
          <w:tbl>
            <w:tblPr>
              <w:tblW w:w="9208" w:type="dxa"/>
              <w:tblInd w:w="108" w:type="dxa"/>
              <w:tblCellMar>
                <w:left w:w="0" w:type="dxa"/>
                <w:right w:w="0" w:type="dxa"/>
              </w:tblCellMar>
              <w:tblLook w:val="04A0"/>
            </w:tblPr>
            <w:tblGrid>
              <w:gridCol w:w="8060"/>
              <w:gridCol w:w="1148"/>
            </w:tblGrid>
            <w:tr w:rsidR="00497EDA" w:rsidRPr="00825BBE" w:rsidTr="00497EDA">
              <w:trPr>
                <w:trHeight w:val="260"/>
              </w:trPr>
              <w:tc>
                <w:tcPr>
                  <w:tcW w:w="8060" w:type="dxa"/>
                  <w:tcBorders>
                    <w:top w:val="single" w:sz="8" w:space="0" w:color="000000"/>
                    <w:left w:val="single" w:sz="8" w:space="0" w:color="000000"/>
                    <w:bottom w:val="single" w:sz="8" w:space="0" w:color="000000"/>
                    <w:right w:val="single" w:sz="8" w:space="0" w:color="000000"/>
                  </w:tcBorders>
                  <w:shd w:val="clear" w:color="auto" w:fill="BDD6EE"/>
                  <w:tcMar>
                    <w:top w:w="80" w:type="dxa"/>
                    <w:left w:w="80" w:type="dxa"/>
                    <w:bottom w:w="80" w:type="dxa"/>
                    <w:right w:w="80" w:type="dxa"/>
                  </w:tcMar>
                  <w:hideMark/>
                </w:tcPr>
                <w:p w:rsidR="00497EDA" w:rsidRPr="00825BBE" w:rsidRDefault="00497EDA" w:rsidP="00497EDA">
                  <w:pPr>
                    <w:pStyle w:val="Corps"/>
                    <w:spacing w:after="0" w:line="240" w:lineRule="auto"/>
                    <w:jc w:val="both"/>
                    <w:rPr>
                      <w:rFonts w:asciiTheme="minorHAnsi" w:hAnsiTheme="minorHAnsi" w:cstheme="minorHAnsi"/>
                      <w:sz w:val="20"/>
                      <w:szCs w:val="20"/>
                    </w:rPr>
                  </w:pPr>
                  <w:r w:rsidRPr="00825BBE">
                    <w:rPr>
                      <w:rFonts w:asciiTheme="minorHAnsi" w:hAnsiTheme="minorHAnsi" w:cstheme="minorHAnsi"/>
                      <w:b/>
                      <w:bCs/>
                      <w:sz w:val="20"/>
                      <w:szCs w:val="20"/>
                    </w:rPr>
                    <w:t xml:space="preserve">Critères d’évaluation </w:t>
                  </w:r>
                </w:p>
              </w:tc>
              <w:tc>
                <w:tcPr>
                  <w:tcW w:w="1148" w:type="dxa"/>
                  <w:tcBorders>
                    <w:top w:val="single" w:sz="8" w:space="0" w:color="000000"/>
                    <w:left w:val="nil"/>
                    <w:bottom w:val="single" w:sz="8" w:space="0" w:color="000000"/>
                    <w:right w:val="single" w:sz="8" w:space="0" w:color="000000"/>
                  </w:tcBorders>
                  <w:shd w:val="clear" w:color="auto" w:fill="BDD6EE"/>
                  <w:tcMar>
                    <w:top w:w="80" w:type="dxa"/>
                    <w:left w:w="80" w:type="dxa"/>
                    <w:bottom w:w="80" w:type="dxa"/>
                    <w:right w:w="80" w:type="dxa"/>
                  </w:tcMar>
                  <w:hideMark/>
                </w:tcPr>
                <w:p w:rsidR="00497EDA" w:rsidRPr="00825BBE" w:rsidRDefault="00497EDA" w:rsidP="00497EDA">
                  <w:pPr>
                    <w:pStyle w:val="Corps"/>
                    <w:spacing w:after="0" w:line="240" w:lineRule="auto"/>
                    <w:jc w:val="center"/>
                    <w:rPr>
                      <w:rFonts w:asciiTheme="minorHAnsi" w:hAnsiTheme="minorHAnsi" w:cstheme="minorHAnsi"/>
                      <w:sz w:val="20"/>
                      <w:szCs w:val="20"/>
                    </w:rPr>
                  </w:pPr>
                  <w:r w:rsidRPr="00825BBE">
                    <w:rPr>
                      <w:rFonts w:asciiTheme="minorHAnsi" w:hAnsiTheme="minorHAnsi" w:cstheme="minorHAnsi"/>
                      <w:b/>
                      <w:bCs/>
                      <w:sz w:val="20"/>
                      <w:szCs w:val="20"/>
                    </w:rPr>
                    <w:t>Points</w:t>
                  </w:r>
                </w:p>
              </w:tc>
            </w:tr>
            <w:tr w:rsidR="00497EDA" w:rsidRPr="00825BBE" w:rsidTr="00497EDA">
              <w:trPr>
                <w:trHeight w:val="595"/>
              </w:trPr>
              <w:tc>
                <w:tcPr>
                  <w:tcW w:w="806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497EDA" w:rsidRPr="009A3491" w:rsidRDefault="00497EDA" w:rsidP="00334CBA">
                  <w:pPr>
                    <w:spacing w:after="0" w:line="240" w:lineRule="auto"/>
                    <w:jc w:val="both"/>
                    <w:rPr>
                      <w:rFonts w:cstheme="minorHAnsi"/>
                      <w:sz w:val="20"/>
                      <w:szCs w:val="20"/>
                      <w:lang w:val="fr-FR"/>
                    </w:rPr>
                  </w:pPr>
                  <w:r w:rsidRPr="009A3491">
                    <w:rPr>
                      <w:rFonts w:cstheme="minorHAnsi"/>
                      <w:sz w:val="20"/>
                      <w:szCs w:val="20"/>
                      <w:lang w:val="fr-FR"/>
                    </w:rPr>
                    <w:t>Le/la soumissionnaire a-t-il/elle un</w:t>
                  </w:r>
                  <w:r w:rsidR="00334CBA" w:rsidRPr="009A3491">
                    <w:rPr>
                      <w:rFonts w:cstheme="minorHAnsi"/>
                      <w:sz w:val="20"/>
                      <w:szCs w:val="20"/>
                      <w:lang w:val="fr-FR"/>
                    </w:rPr>
                    <w:t>e</w:t>
                  </w:r>
                  <w:r w:rsidR="00334CBA" w:rsidRPr="00825BBE">
                    <w:rPr>
                      <w:rFonts w:eastAsia="Times New Roman" w:cstheme="minorHAnsi"/>
                      <w:lang w:val="fr-FR"/>
                    </w:rPr>
                    <w:t xml:space="preserve"> Licence ou plus en sciences climatiques ou environnementales, en sciences de développement, sciences sociales ou un de ces domaines connexes</w:t>
                  </w:r>
                </w:p>
              </w:tc>
              <w:tc>
                <w:tcPr>
                  <w:tcW w:w="114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497EDA" w:rsidRPr="00825BBE" w:rsidRDefault="00E678F9" w:rsidP="00497EDA">
                  <w:pPr>
                    <w:pStyle w:val="Corps"/>
                    <w:spacing w:after="0" w:line="240" w:lineRule="auto"/>
                    <w:jc w:val="center"/>
                    <w:rPr>
                      <w:rFonts w:asciiTheme="minorHAnsi" w:hAnsiTheme="minorHAnsi" w:cstheme="minorHAnsi"/>
                      <w:sz w:val="20"/>
                      <w:szCs w:val="20"/>
                    </w:rPr>
                  </w:pPr>
                  <w:r w:rsidRPr="00825BBE">
                    <w:rPr>
                      <w:rFonts w:asciiTheme="minorHAnsi" w:hAnsiTheme="minorHAnsi" w:cstheme="minorHAnsi"/>
                      <w:sz w:val="20"/>
                      <w:szCs w:val="20"/>
                    </w:rPr>
                    <w:t>1</w:t>
                  </w:r>
                  <w:r w:rsidR="001C161A">
                    <w:rPr>
                      <w:rFonts w:asciiTheme="minorHAnsi" w:hAnsiTheme="minorHAnsi" w:cstheme="minorHAnsi"/>
                      <w:sz w:val="20"/>
                      <w:szCs w:val="20"/>
                    </w:rPr>
                    <w:t>0</w:t>
                  </w:r>
                </w:p>
              </w:tc>
            </w:tr>
            <w:tr w:rsidR="00497EDA" w:rsidRPr="00825BBE" w:rsidTr="00497EDA">
              <w:trPr>
                <w:trHeight w:val="1540"/>
              </w:trPr>
              <w:tc>
                <w:tcPr>
                  <w:tcW w:w="806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334CBA" w:rsidRPr="00825BBE" w:rsidRDefault="00497EDA" w:rsidP="00334CBA">
                  <w:pPr>
                    <w:pStyle w:val="Corps"/>
                    <w:spacing w:after="0" w:line="240" w:lineRule="auto"/>
                    <w:jc w:val="both"/>
                    <w:rPr>
                      <w:rFonts w:asciiTheme="minorHAnsi" w:hAnsiTheme="minorHAnsi" w:cstheme="minorHAnsi"/>
                    </w:rPr>
                  </w:pPr>
                  <w:r w:rsidRPr="00825BBE">
                    <w:rPr>
                      <w:rFonts w:asciiTheme="minorHAnsi" w:hAnsiTheme="minorHAnsi" w:cstheme="minorHAnsi"/>
                    </w:rPr>
                    <w:t>Le/la soumissionnaire a-t-il/elle une expérience avérée (</w:t>
                  </w:r>
                  <w:r w:rsidR="00334CBA" w:rsidRPr="00825BBE">
                    <w:rPr>
                      <w:rFonts w:asciiTheme="minorHAnsi" w:hAnsiTheme="minorHAnsi" w:cstheme="minorHAnsi"/>
                    </w:rPr>
                    <w:t>10</w:t>
                  </w:r>
                  <w:r w:rsidRPr="00825BBE">
                    <w:rPr>
                      <w:rFonts w:asciiTheme="minorHAnsi" w:hAnsiTheme="minorHAnsi" w:cstheme="minorHAnsi"/>
                    </w:rPr>
                    <w:t xml:space="preserve"> ans)</w:t>
                  </w:r>
                  <w:r w:rsidR="00334CBA" w:rsidRPr="00825BBE">
                    <w:rPr>
                      <w:rFonts w:asciiTheme="minorHAnsi" w:eastAsia="Times New Roman" w:hAnsiTheme="minorHAnsi" w:cstheme="minorHAnsi"/>
                    </w:rPr>
                    <w:t xml:space="preserve">dans le domaine du développement international axée sur l’évaluation institutionnelle, la planification du développement, l’analyse institutionnelle, </w:t>
                  </w:r>
                  <w:r w:rsidR="00334CBA" w:rsidRPr="00825BBE">
                    <w:rPr>
                      <w:rFonts w:asciiTheme="minorHAnsi" w:hAnsiTheme="minorHAnsi" w:cstheme="minorHAnsi"/>
                    </w:rPr>
                    <w:t>et plus</w:t>
                  </w:r>
                  <w:r w:rsidR="00334CBA" w:rsidRPr="00825BBE">
                    <w:rPr>
                      <w:rFonts w:asciiTheme="minorHAnsi" w:eastAsia="Times New Roman" w:hAnsiTheme="minorHAnsi" w:cstheme="minorHAnsi"/>
                    </w:rPr>
                    <w:t xml:space="preserve"> spécifiquement sur des questions climatiques.</w:t>
                  </w:r>
                </w:p>
              </w:tc>
              <w:tc>
                <w:tcPr>
                  <w:tcW w:w="114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497EDA" w:rsidRPr="00825BBE" w:rsidRDefault="001C161A" w:rsidP="00497EDA">
                  <w:pPr>
                    <w:pStyle w:val="Corps"/>
                    <w:spacing w:after="0" w:line="240" w:lineRule="auto"/>
                    <w:jc w:val="center"/>
                    <w:rPr>
                      <w:rFonts w:asciiTheme="minorHAnsi" w:hAnsiTheme="minorHAnsi" w:cstheme="minorHAnsi"/>
                      <w:sz w:val="20"/>
                      <w:szCs w:val="20"/>
                    </w:rPr>
                  </w:pPr>
                  <w:r>
                    <w:rPr>
                      <w:rFonts w:asciiTheme="minorHAnsi" w:hAnsiTheme="minorHAnsi" w:cstheme="minorHAnsi"/>
                      <w:sz w:val="20"/>
                      <w:szCs w:val="20"/>
                    </w:rPr>
                    <w:t>25</w:t>
                  </w:r>
                </w:p>
              </w:tc>
            </w:tr>
            <w:tr w:rsidR="001C161A" w:rsidRPr="001C161A" w:rsidTr="00497EDA">
              <w:trPr>
                <w:trHeight w:val="260"/>
              </w:trPr>
              <w:tc>
                <w:tcPr>
                  <w:tcW w:w="806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1C161A" w:rsidRPr="00825BBE" w:rsidRDefault="001C161A" w:rsidP="00E678F9">
                  <w:pPr>
                    <w:pStyle w:val="Corps"/>
                    <w:spacing w:after="0" w:line="240" w:lineRule="auto"/>
                    <w:jc w:val="both"/>
                    <w:rPr>
                      <w:rFonts w:asciiTheme="minorHAnsi" w:eastAsia="Times New Roman" w:hAnsiTheme="minorHAnsi" w:cstheme="minorHAnsi"/>
                      <w:snapToGrid w:val="0"/>
                    </w:rPr>
                  </w:pPr>
                  <w:r w:rsidRPr="009A3491">
                    <w:rPr>
                      <w:rFonts w:asciiTheme="minorHAnsi" w:eastAsia="Times New Roman" w:hAnsiTheme="minorHAnsi" w:cstheme="minorHAnsi"/>
                      <w:snapToGrid w:val="0"/>
                    </w:rPr>
                    <w:t>Le</w:t>
                  </w:r>
                  <w:r>
                    <w:rPr>
                      <w:rFonts w:asciiTheme="minorHAnsi" w:eastAsia="Times New Roman" w:hAnsiTheme="minorHAnsi" w:cstheme="minorHAnsi"/>
                      <w:snapToGrid w:val="0"/>
                    </w:rPr>
                    <w:t>/la soumissionnaire a-t-il/elle a</w:t>
                  </w:r>
                  <w:r w:rsidRPr="001C161A">
                    <w:rPr>
                      <w:rFonts w:asciiTheme="minorHAnsi" w:eastAsia="Times New Roman" w:hAnsiTheme="minorHAnsi" w:cstheme="minorHAnsi"/>
                      <w:snapToGrid w:val="0"/>
                    </w:rPr>
                    <w:t>u moins 2 expériences d’analyse institutionnelle à divers niveaux, sur les questions des changements climatiques, dans les pays en développement</w:t>
                  </w:r>
                  <w:r>
                    <w:rPr>
                      <w:rFonts w:asciiTheme="minorHAnsi" w:eastAsia="Times New Roman" w:hAnsiTheme="minorHAnsi" w:cstheme="minorHAnsi"/>
                      <w:snapToGrid w:val="0"/>
                    </w:rPr>
                    <w:t> ?</w:t>
                  </w:r>
                </w:p>
              </w:tc>
              <w:tc>
                <w:tcPr>
                  <w:tcW w:w="1148" w:type="dxa"/>
                  <w:tcBorders>
                    <w:top w:val="nil"/>
                    <w:left w:val="nil"/>
                    <w:bottom w:val="single" w:sz="8" w:space="0" w:color="000000"/>
                    <w:right w:val="single" w:sz="8" w:space="0" w:color="000000"/>
                  </w:tcBorders>
                  <w:tcMar>
                    <w:top w:w="80" w:type="dxa"/>
                    <w:left w:w="80" w:type="dxa"/>
                    <w:bottom w:w="80" w:type="dxa"/>
                    <w:right w:w="80" w:type="dxa"/>
                  </w:tcMar>
                  <w:vAlign w:val="center"/>
                </w:tcPr>
                <w:p w:rsidR="001C161A" w:rsidRPr="00825BBE" w:rsidRDefault="001C161A" w:rsidP="00E678F9">
                  <w:pPr>
                    <w:pStyle w:val="Corps"/>
                    <w:spacing w:after="0" w:line="240" w:lineRule="auto"/>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20</w:t>
                  </w:r>
                </w:p>
              </w:tc>
            </w:tr>
            <w:tr w:rsidR="00E678F9" w:rsidRPr="00825BBE" w:rsidTr="00497EDA">
              <w:trPr>
                <w:trHeight w:val="260"/>
              </w:trPr>
              <w:tc>
                <w:tcPr>
                  <w:tcW w:w="806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E678F9" w:rsidRPr="00825BBE" w:rsidRDefault="009A3491" w:rsidP="00E678F9">
                  <w:pPr>
                    <w:pStyle w:val="Corps"/>
                    <w:spacing w:after="0" w:line="240" w:lineRule="auto"/>
                    <w:jc w:val="both"/>
                    <w:rPr>
                      <w:rFonts w:asciiTheme="minorHAnsi" w:hAnsiTheme="minorHAnsi" w:cstheme="minorHAnsi"/>
                      <w:color w:val="auto"/>
                    </w:rPr>
                  </w:pPr>
                  <w:r>
                    <w:rPr>
                      <w:rFonts w:asciiTheme="minorHAnsi" w:eastAsia="Times New Roman" w:hAnsiTheme="minorHAnsi" w:cstheme="minorHAnsi"/>
                      <w:snapToGrid w:val="0"/>
                    </w:rPr>
                    <w:t>Le p</w:t>
                  </w:r>
                  <w:r w:rsidR="00E678F9" w:rsidRPr="00825BBE">
                    <w:rPr>
                      <w:rFonts w:asciiTheme="minorHAnsi" w:eastAsia="Times New Roman" w:hAnsiTheme="minorHAnsi" w:cstheme="minorHAnsi"/>
                      <w:snapToGrid w:val="0"/>
                    </w:rPr>
                    <w:t xml:space="preserve">lan d’exécution (Chronogramme du travail) </w:t>
                  </w:r>
                  <w:r>
                    <w:rPr>
                      <w:rFonts w:asciiTheme="minorHAnsi" w:eastAsia="Times New Roman" w:hAnsiTheme="minorHAnsi" w:cstheme="minorHAnsi"/>
                      <w:snapToGrid w:val="0"/>
                    </w:rPr>
                    <w:t xml:space="preserve">est-il </w:t>
                  </w:r>
                  <w:r w:rsidR="001C161A">
                    <w:rPr>
                      <w:rFonts w:asciiTheme="minorHAnsi" w:eastAsia="Times New Roman" w:hAnsiTheme="minorHAnsi" w:cstheme="minorHAnsi"/>
                      <w:snapToGrid w:val="0"/>
                    </w:rPr>
                    <w:t xml:space="preserve">bien </w:t>
                  </w:r>
                  <w:r w:rsidR="00E678F9" w:rsidRPr="00825BBE">
                    <w:rPr>
                      <w:rFonts w:asciiTheme="minorHAnsi" w:eastAsia="Times New Roman" w:hAnsiTheme="minorHAnsi" w:cstheme="minorHAnsi"/>
                      <w:snapToGrid w:val="0"/>
                    </w:rPr>
                    <w:t>défini, bien détaillé et correspond aux termes de référence</w:t>
                  </w:r>
                  <w:r w:rsidR="001C161A">
                    <w:rPr>
                      <w:rFonts w:asciiTheme="minorHAnsi" w:eastAsia="Times New Roman" w:hAnsiTheme="minorHAnsi" w:cstheme="minorHAnsi"/>
                      <w:snapToGrid w:val="0"/>
                    </w:rPr>
                    <w:t> ?</w:t>
                  </w:r>
                </w:p>
              </w:tc>
              <w:tc>
                <w:tcPr>
                  <w:tcW w:w="1148" w:type="dxa"/>
                  <w:tcBorders>
                    <w:top w:val="nil"/>
                    <w:left w:val="nil"/>
                    <w:bottom w:val="single" w:sz="8" w:space="0" w:color="000000"/>
                    <w:right w:val="single" w:sz="8" w:space="0" w:color="000000"/>
                  </w:tcBorders>
                  <w:tcMar>
                    <w:top w:w="80" w:type="dxa"/>
                    <w:left w:w="80" w:type="dxa"/>
                    <w:bottom w:w="80" w:type="dxa"/>
                    <w:right w:w="80" w:type="dxa"/>
                  </w:tcMar>
                  <w:vAlign w:val="center"/>
                </w:tcPr>
                <w:p w:rsidR="00E678F9" w:rsidRPr="00825BBE" w:rsidRDefault="00E678F9" w:rsidP="00E678F9">
                  <w:pPr>
                    <w:pStyle w:val="Corps"/>
                    <w:spacing w:after="0" w:line="240" w:lineRule="auto"/>
                    <w:jc w:val="center"/>
                    <w:rPr>
                      <w:rFonts w:asciiTheme="minorHAnsi" w:hAnsiTheme="minorHAnsi" w:cstheme="minorHAnsi"/>
                      <w:b/>
                      <w:bCs/>
                      <w:color w:val="auto"/>
                      <w:sz w:val="20"/>
                      <w:szCs w:val="20"/>
                    </w:rPr>
                  </w:pPr>
                  <w:r w:rsidRPr="00825BBE">
                    <w:rPr>
                      <w:rFonts w:asciiTheme="minorHAnsi" w:hAnsiTheme="minorHAnsi" w:cstheme="minorHAnsi"/>
                      <w:b/>
                      <w:bCs/>
                      <w:color w:val="auto"/>
                      <w:sz w:val="20"/>
                      <w:szCs w:val="20"/>
                    </w:rPr>
                    <w:t>15</w:t>
                  </w:r>
                </w:p>
              </w:tc>
            </w:tr>
            <w:tr w:rsidR="00E678F9" w:rsidRPr="00825BBE" w:rsidTr="00497EDA">
              <w:trPr>
                <w:trHeight w:val="260"/>
              </w:trPr>
              <w:tc>
                <w:tcPr>
                  <w:tcW w:w="806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E678F9" w:rsidRPr="00825BBE" w:rsidRDefault="00E678F9" w:rsidP="00E678F9">
                  <w:pPr>
                    <w:pStyle w:val="Corps"/>
                    <w:spacing w:after="0" w:line="240" w:lineRule="auto"/>
                    <w:jc w:val="both"/>
                    <w:rPr>
                      <w:rFonts w:asciiTheme="minorHAnsi" w:hAnsiTheme="minorHAnsi" w:cstheme="minorHAnsi"/>
                    </w:rPr>
                  </w:pPr>
                  <w:r w:rsidRPr="00825BBE">
                    <w:rPr>
                      <w:rFonts w:asciiTheme="minorHAnsi" w:hAnsiTheme="minorHAnsi" w:cstheme="minorHAnsi"/>
                      <w:color w:val="auto"/>
                    </w:rPr>
                    <w:lastRenderedPageBreak/>
                    <w:t>Pertinence de l´approche méthodologique pour l´accomplissement des tâches définies dans les Termes de référence</w:t>
                  </w:r>
                </w:p>
              </w:tc>
              <w:tc>
                <w:tcPr>
                  <w:tcW w:w="114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E678F9" w:rsidRPr="00825BBE" w:rsidRDefault="00334CBA" w:rsidP="00E678F9">
                  <w:pPr>
                    <w:pStyle w:val="Corps"/>
                    <w:spacing w:after="0" w:line="240" w:lineRule="auto"/>
                    <w:jc w:val="center"/>
                    <w:rPr>
                      <w:rFonts w:asciiTheme="minorHAnsi" w:hAnsiTheme="minorHAnsi" w:cstheme="minorHAnsi"/>
                      <w:sz w:val="20"/>
                      <w:szCs w:val="20"/>
                    </w:rPr>
                  </w:pPr>
                  <w:r w:rsidRPr="00825BBE">
                    <w:rPr>
                      <w:rFonts w:asciiTheme="minorHAnsi" w:hAnsiTheme="minorHAnsi" w:cstheme="minorHAnsi"/>
                      <w:b/>
                      <w:bCs/>
                      <w:color w:val="auto"/>
                      <w:sz w:val="20"/>
                      <w:szCs w:val="20"/>
                    </w:rPr>
                    <w:t>3</w:t>
                  </w:r>
                  <w:r w:rsidR="00E678F9" w:rsidRPr="00825BBE">
                    <w:rPr>
                      <w:rFonts w:asciiTheme="minorHAnsi" w:hAnsiTheme="minorHAnsi" w:cstheme="minorHAnsi"/>
                      <w:b/>
                      <w:bCs/>
                      <w:color w:val="auto"/>
                      <w:sz w:val="20"/>
                      <w:szCs w:val="20"/>
                    </w:rPr>
                    <w:t>0</w:t>
                  </w:r>
                </w:p>
              </w:tc>
            </w:tr>
          </w:tbl>
          <w:p w:rsidR="00497EDA" w:rsidRPr="00825BBE" w:rsidRDefault="00497EDA" w:rsidP="00C3053C">
            <w:pPr>
              <w:autoSpaceDE w:val="0"/>
              <w:autoSpaceDN w:val="0"/>
              <w:adjustRightInd w:val="0"/>
              <w:jc w:val="both"/>
              <w:rPr>
                <w:rFonts w:cstheme="minorHAnsi"/>
                <w:sz w:val="20"/>
                <w:szCs w:val="20"/>
                <w:lang w:val="fr-FR"/>
              </w:rPr>
            </w:pPr>
          </w:p>
          <w:p w:rsidR="00C3053C" w:rsidRPr="00825BBE" w:rsidRDefault="00C3053C" w:rsidP="000B6B6B">
            <w:pPr>
              <w:numPr>
                <w:ilvl w:val="0"/>
                <w:numId w:val="2"/>
              </w:numPr>
              <w:contextualSpacing/>
              <w:jc w:val="both"/>
              <w:rPr>
                <w:rFonts w:eastAsia="Times New Roman" w:cstheme="minorHAnsi"/>
                <w:i/>
                <w:sz w:val="20"/>
                <w:szCs w:val="20"/>
                <w:u w:val="single"/>
                <w:lang w:eastAsia="rw-RW"/>
              </w:rPr>
            </w:pPr>
            <w:r w:rsidRPr="00825BBE">
              <w:rPr>
                <w:rFonts w:eastAsia="Times New Roman" w:cstheme="minorHAnsi"/>
                <w:i/>
                <w:sz w:val="20"/>
                <w:szCs w:val="20"/>
                <w:u w:val="single"/>
                <w:lang w:eastAsia="rw-RW"/>
              </w:rPr>
              <w:t>L</w:t>
            </w:r>
            <w:r w:rsidR="003230F4" w:rsidRPr="00825BBE">
              <w:rPr>
                <w:rFonts w:eastAsia="Times New Roman" w:cstheme="minorHAnsi"/>
                <w:i/>
                <w:sz w:val="20"/>
                <w:szCs w:val="20"/>
                <w:u w:val="single"/>
                <w:lang w:eastAsia="rw-RW"/>
              </w:rPr>
              <w:t>a</w:t>
            </w:r>
            <w:r w:rsidRPr="00825BBE">
              <w:rPr>
                <w:rFonts w:eastAsia="Times New Roman" w:cstheme="minorHAnsi"/>
                <w:i/>
                <w:sz w:val="20"/>
                <w:szCs w:val="20"/>
                <w:u w:val="single"/>
                <w:lang w:eastAsia="rw-RW"/>
              </w:rPr>
              <w:t xml:space="preserve"> proposition </w:t>
            </w:r>
            <w:r w:rsidR="003230F4" w:rsidRPr="00825BBE">
              <w:rPr>
                <w:rFonts w:eastAsia="Times New Roman" w:cstheme="minorHAnsi"/>
                <w:i/>
                <w:sz w:val="20"/>
                <w:szCs w:val="20"/>
                <w:u w:val="single"/>
                <w:lang w:eastAsia="rw-RW"/>
              </w:rPr>
              <w:t>financière</w:t>
            </w:r>
          </w:p>
          <w:p w:rsidR="00C3053C" w:rsidRPr="00825BBE" w:rsidRDefault="00C3053C" w:rsidP="00C3053C">
            <w:pPr>
              <w:jc w:val="both"/>
              <w:rPr>
                <w:rFonts w:eastAsia="Times New Roman" w:cstheme="minorHAnsi"/>
                <w:bCs/>
                <w:sz w:val="20"/>
                <w:szCs w:val="20"/>
                <w:lang w:eastAsia="rw-RW"/>
              </w:rPr>
            </w:pPr>
          </w:p>
          <w:p w:rsidR="00C3053C" w:rsidRPr="00825BBE" w:rsidRDefault="00C3053C" w:rsidP="00C3053C">
            <w:pPr>
              <w:jc w:val="both"/>
              <w:rPr>
                <w:rFonts w:eastAsia="Times New Roman" w:cstheme="minorHAnsi"/>
                <w:bCs/>
                <w:sz w:val="20"/>
                <w:szCs w:val="20"/>
                <w:lang w:val="fr-FR" w:eastAsia="rw-RW"/>
              </w:rPr>
            </w:pPr>
            <w:r w:rsidRPr="00825BBE">
              <w:rPr>
                <w:rFonts w:eastAsia="Times New Roman" w:cstheme="minorHAnsi"/>
                <w:bCs/>
                <w:sz w:val="20"/>
                <w:szCs w:val="20"/>
                <w:lang w:val="fr-FR" w:eastAsia="rw-RW"/>
              </w:rPr>
              <w:t>Le/la Consultant(e) fait sa proposition financière suivant le Tableau des coûts dans l´Annexe II. Il doit proposer un montant forfaitaire et présenter</w:t>
            </w:r>
            <w:r w:rsidRPr="00825BBE">
              <w:rPr>
                <w:rFonts w:eastAsia="Times New Roman" w:cstheme="minorHAnsi"/>
                <w:bCs/>
                <w:color w:val="00B050"/>
                <w:sz w:val="20"/>
                <w:szCs w:val="20"/>
                <w:lang w:val="fr-FR" w:eastAsia="rw-RW"/>
              </w:rPr>
              <w:t>,</w:t>
            </w:r>
            <w:r w:rsidRPr="00825BBE">
              <w:rPr>
                <w:rFonts w:eastAsia="Times New Roman" w:cstheme="minorHAnsi"/>
                <w:bCs/>
                <w:sz w:val="20"/>
                <w:szCs w:val="20"/>
                <w:lang w:val="fr-FR" w:eastAsia="rw-RW"/>
              </w:rPr>
              <w:t xml:space="preserve"> dans le Tableau des coûts</w:t>
            </w:r>
            <w:r w:rsidRPr="00825BBE">
              <w:rPr>
                <w:rFonts w:eastAsia="Times New Roman" w:cstheme="minorHAnsi"/>
                <w:bCs/>
                <w:color w:val="00B050"/>
                <w:sz w:val="20"/>
                <w:szCs w:val="20"/>
                <w:lang w:val="fr-FR" w:eastAsia="rw-RW"/>
              </w:rPr>
              <w:t>,</w:t>
            </w:r>
            <w:r w:rsidRPr="00825BBE">
              <w:rPr>
                <w:rFonts w:eastAsia="Times New Roman" w:cstheme="minorHAnsi"/>
                <w:bCs/>
                <w:sz w:val="20"/>
                <w:szCs w:val="20"/>
                <w:lang w:val="fr-FR" w:eastAsia="rw-RW"/>
              </w:rPr>
              <w:t xml:space="preserve"> la ventilation de ce montant forfaitaire.</w:t>
            </w:r>
          </w:p>
          <w:p w:rsidR="00C3053C" w:rsidRPr="00825BBE" w:rsidRDefault="00C3053C" w:rsidP="00C3053C">
            <w:pPr>
              <w:jc w:val="both"/>
              <w:rPr>
                <w:rFonts w:eastAsia="Times New Roman" w:cstheme="minorHAnsi"/>
                <w:bCs/>
                <w:sz w:val="20"/>
                <w:szCs w:val="20"/>
                <w:lang w:val="fr-FR" w:eastAsia="rw-RW"/>
              </w:rPr>
            </w:pPr>
          </w:p>
          <w:p w:rsidR="00C3053C" w:rsidRPr="00825BBE" w:rsidRDefault="00C3053C" w:rsidP="00C3053C">
            <w:pPr>
              <w:jc w:val="both"/>
              <w:rPr>
                <w:rFonts w:eastAsia="Times New Roman" w:cstheme="minorHAnsi"/>
                <w:bCs/>
                <w:sz w:val="20"/>
                <w:szCs w:val="20"/>
                <w:lang w:val="fr-FR" w:eastAsia="rw-RW"/>
              </w:rPr>
            </w:pPr>
            <w:r w:rsidRPr="00825BBE">
              <w:rPr>
                <w:rFonts w:eastAsia="Times New Roman" w:cstheme="minorHAnsi"/>
                <w:bCs/>
                <w:sz w:val="20"/>
                <w:szCs w:val="20"/>
                <w:lang w:val="fr-FR" w:eastAsia="rw-RW"/>
              </w:rPr>
              <w:t>Le/la consultant/e devra inclure tous les frais lui permettant d’exécuter la mission suivant la durée prévue. Les paiements seront effectués sur la base de la production des livrables tels que mentionné dans la Section 3.</w:t>
            </w:r>
          </w:p>
          <w:p w:rsidR="00C3053C" w:rsidRPr="00825BBE" w:rsidRDefault="00C3053C" w:rsidP="00C3053C">
            <w:pPr>
              <w:jc w:val="both"/>
              <w:rPr>
                <w:rFonts w:eastAsia="Times New Roman" w:cstheme="minorHAnsi"/>
                <w:bCs/>
                <w:sz w:val="20"/>
                <w:szCs w:val="20"/>
                <w:lang w:val="fr-FR" w:eastAsia="rw-RW"/>
              </w:rPr>
            </w:pPr>
          </w:p>
          <w:p w:rsidR="00C3053C" w:rsidRPr="00825BBE" w:rsidRDefault="003230F4" w:rsidP="00C3053C">
            <w:pPr>
              <w:jc w:val="both"/>
              <w:rPr>
                <w:rFonts w:eastAsia="Times New Roman" w:cstheme="minorHAnsi"/>
                <w:sz w:val="20"/>
                <w:szCs w:val="20"/>
                <w:lang w:val="fr-FR" w:eastAsia="rw-RW"/>
              </w:rPr>
            </w:pPr>
            <w:r w:rsidRPr="00825BBE">
              <w:rPr>
                <w:rFonts w:eastAsia="Times New Roman" w:cstheme="minorHAnsi"/>
                <w:sz w:val="20"/>
                <w:szCs w:val="20"/>
                <w:lang w:val="fr-FR" w:eastAsia="rw-RW"/>
              </w:rPr>
              <w:t>Seulement les candidats ayant obtenu la note minimale combinée de 70/100 à l´évaluation technique seront considérés pour l’évaluation financière.</w:t>
            </w:r>
            <w:r w:rsidR="00C3053C" w:rsidRPr="00825BBE">
              <w:rPr>
                <w:rFonts w:eastAsia="Times New Roman" w:cstheme="minorHAnsi"/>
                <w:sz w:val="20"/>
                <w:szCs w:val="20"/>
                <w:lang w:val="fr-FR" w:eastAsia="rw-RW"/>
              </w:rPr>
              <w:t xml:space="preserve">Dans </w:t>
            </w:r>
            <w:r w:rsidR="00A0735A" w:rsidRPr="00825BBE">
              <w:rPr>
                <w:rFonts w:eastAsia="Times New Roman" w:cstheme="minorHAnsi"/>
                <w:sz w:val="20"/>
                <w:szCs w:val="20"/>
                <w:lang w:val="fr-FR" w:eastAsia="rw-RW"/>
              </w:rPr>
              <w:t>cette</w:t>
            </w:r>
            <w:r w:rsidR="00C3053C" w:rsidRPr="00825BBE">
              <w:rPr>
                <w:rFonts w:eastAsia="Times New Roman" w:cstheme="minorHAnsi"/>
                <w:sz w:val="20"/>
                <w:szCs w:val="20"/>
                <w:lang w:val="fr-FR" w:eastAsia="rw-RW"/>
              </w:rPr>
              <w:t xml:space="preserve"> deuxième étape du processus d’évaluation, les enveloppes financières seront ouvertes et les offres financières comparées</w:t>
            </w:r>
            <w:r w:rsidR="00A0735A" w:rsidRPr="00825BBE">
              <w:rPr>
                <w:rFonts w:eastAsia="Times New Roman" w:cstheme="minorHAnsi"/>
                <w:sz w:val="20"/>
                <w:szCs w:val="20"/>
                <w:lang w:val="fr-FR" w:eastAsia="rw-RW"/>
              </w:rPr>
              <w:t>. U</w:t>
            </w:r>
            <w:r w:rsidR="00C3053C" w:rsidRPr="00825BBE">
              <w:rPr>
                <w:rFonts w:eastAsia="Times New Roman" w:cstheme="minorHAnsi"/>
                <w:sz w:val="20"/>
                <w:szCs w:val="20"/>
                <w:lang w:val="fr-FR" w:eastAsia="rw-RW"/>
              </w:rPr>
              <w:t xml:space="preserve">ne note financière sera calculée pour chaque proposition </w:t>
            </w:r>
            <w:r w:rsidR="00A0735A" w:rsidRPr="00825BBE">
              <w:rPr>
                <w:rFonts w:eastAsia="Times New Roman" w:cstheme="minorHAnsi"/>
                <w:sz w:val="20"/>
                <w:szCs w:val="20"/>
                <w:lang w:val="fr-FR" w:eastAsia="rw-RW"/>
              </w:rPr>
              <w:t xml:space="preserve">techniquement qualifiée </w:t>
            </w:r>
            <w:r w:rsidR="00C3053C" w:rsidRPr="00825BBE">
              <w:rPr>
                <w:rFonts w:eastAsia="Times New Roman" w:cstheme="minorHAnsi"/>
                <w:sz w:val="20"/>
                <w:szCs w:val="20"/>
                <w:lang w:val="fr-FR" w:eastAsia="rw-RW"/>
              </w:rPr>
              <w:t>sur la base de la formule :</w:t>
            </w:r>
          </w:p>
          <w:p w:rsidR="00C3053C" w:rsidRPr="00825BBE" w:rsidRDefault="00C3053C" w:rsidP="00C3053C">
            <w:pPr>
              <w:jc w:val="both"/>
              <w:rPr>
                <w:rFonts w:eastAsia="Times New Roman" w:cstheme="minorHAnsi"/>
                <w:sz w:val="20"/>
                <w:szCs w:val="20"/>
                <w:lang w:val="fr-FR" w:eastAsia="rw-RW"/>
              </w:rPr>
            </w:pPr>
          </w:p>
          <w:p w:rsidR="00C3053C" w:rsidRPr="00825BBE" w:rsidRDefault="00C3053C" w:rsidP="00C3053C">
            <w:pPr>
              <w:jc w:val="both"/>
              <w:rPr>
                <w:rFonts w:eastAsia="Times New Roman" w:cstheme="minorHAnsi"/>
                <w:b/>
                <w:i/>
                <w:sz w:val="20"/>
                <w:szCs w:val="20"/>
                <w:lang w:val="fr-FR" w:eastAsia="rw-RW"/>
              </w:rPr>
            </w:pPr>
            <w:r w:rsidRPr="00825BBE">
              <w:rPr>
                <w:rFonts w:eastAsia="Times New Roman" w:cstheme="minorHAnsi"/>
                <w:b/>
                <w:i/>
                <w:sz w:val="20"/>
                <w:szCs w:val="20"/>
                <w:lang w:val="fr-FR" w:eastAsia="rw-RW"/>
              </w:rPr>
              <w:t>Note financière A = [(Offre financière la moins disante)/Offre financière de A] x 30</w:t>
            </w:r>
          </w:p>
          <w:p w:rsidR="00C3053C" w:rsidRPr="00825BBE" w:rsidRDefault="00C3053C" w:rsidP="00C3053C">
            <w:pPr>
              <w:jc w:val="both"/>
              <w:rPr>
                <w:rFonts w:eastAsia="Times New Roman" w:cstheme="minorHAnsi"/>
                <w:b/>
                <w:i/>
                <w:sz w:val="20"/>
                <w:szCs w:val="20"/>
                <w:u w:val="single"/>
                <w:lang w:val="fr-FR" w:eastAsia="rw-RW"/>
              </w:rPr>
            </w:pPr>
          </w:p>
          <w:p w:rsidR="00443E94" w:rsidRPr="00825BBE" w:rsidRDefault="00C3053C" w:rsidP="00167362">
            <w:pPr>
              <w:jc w:val="both"/>
              <w:rPr>
                <w:rFonts w:eastAsia="Times New Roman" w:cstheme="minorHAnsi"/>
                <w:b/>
                <w:sz w:val="20"/>
                <w:szCs w:val="20"/>
                <w:lang w:val="fr-FR" w:eastAsia="rw-RW"/>
              </w:rPr>
            </w:pPr>
            <w:r w:rsidRPr="00825BBE">
              <w:rPr>
                <w:rFonts w:eastAsia="Times New Roman" w:cstheme="minorHAnsi"/>
                <w:b/>
                <w:sz w:val="20"/>
                <w:szCs w:val="20"/>
                <w:lang w:val="fr-FR" w:eastAsia="rw-RW"/>
              </w:rPr>
              <w:t>Le/la Consultant (e) avec le cumul de notes (Technique pondérée + Financière) le plus élevé sera retenu pour le contrat.</w:t>
            </w:r>
          </w:p>
        </w:tc>
      </w:tr>
    </w:tbl>
    <w:p w:rsidR="00D4316B" w:rsidRPr="00825BBE" w:rsidRDefault="00D4316B" w:rsidP="00C3053C">
      <w:pPr>
        <w:rPr>
          <w:rFonts w:cstheme="minorHAnsi"/>
          <w:b/>
          <w:sz w:val="20"/>
          <w:szCs w:val="20"/>
          <w:lang w:val="fr-FR"/>
        </w:rPr>
      </w:pPr>
    </w:p>
    <w:p w:rsidR="00C3053C" w:rsidRPr="00825BBE" w:rsidRDefault="00E848E3" w:rsidP="00C3053C">
      <w:pPr>
        <w:rPr>
          <w:rFonts w:cstheme="minorHAnsi"/>
          <w:b/>
          <w:sz w:val="20"/>
          <w:szCs w:val="20"/>
          <w:lang w:val="fr-FR"/>
        </w:rPr>
      </w:pPr>
      <w:r w:rsidRPr="00825BBE">
        <w:rPr>
          <w:rFonts w:cstheme="minorHAnsi"/>
          <w:b/>
          <w:sz w:val="20"/>
          <w:szCs w:val="20"/>
        </w:rPr>
        <w:t>8</w:t>
      </w:r>
      <w:r w:rsidR="00C3053C" w:rsidRPr="00825BBE">
        <w:rPr>
          <w:rFonts w:cstheme="minorHAnsi"/>
          <w:b/>
          <w:sz w:val="20"/>
          <w:szCs w:val="20"/>
        </w:rPr>
        <w:t xml:space="preserve">. </w:t>
      </w:r>
      <w:r w:rsidR="00C3053C" w:rsidRPr="00825BBE">
        <w:rPr>
          <w:rFonts w:eastAsia="Calibri" w:cstheme="minorHAnsi"/>
          <w:b/>
          <w:sz w:val="20"/>
          <w:szCs w:val="20"/>
          <w:lang w:val="fr-FR"/>
        </w:rPr>
        <w:t>Autres informations pertinentes</w:t>
      </w:r>
    </w:p>
    <w:tbl>
      <w:tblPr>
        <w:tblStyle w:val="Grilledutableau"/>
        <w:tblW w:w="0" w:type="auto"/>
        <w:tblLook w:val="04A0"/>
      </w:tblPr>
      <w:tblGrid>
        <w:gridCol w:w="9576"/>
      </w:tblGrid>
      <w:tr w:rsidR="00C3053C" w:rsidRPr="009A3491" w:rsidTr="00C3053C">
        <w:trPr>
          <w:trHeight w:val="2415"/>
        </w:trPr>
        <w:tc>
          <w:tcPr>
            <w:tcW w:w="9576" w:type="dxa"/>
          </w:tcPr>
          <w:p w:rsidR="00C3053C" w:rsidRPr="00825BBE" w:rsidRDefault="00C3053C" w:rsidP="00C3053C">
            <w:pPr>
              <w:rPr>
                <w:rFonts w:cstheme="minorHAnsi"/>
                <w:sz w:val="20"/>
                <w:szCs w:val="20"/>
                <w:lang w:val="fr-FR"/>
              </w:rPr>
            </w:pPr>
            <w:r w:rsidRPr="00825BBE">
              <w:rPr>
                <w:rFonts w:cstheme="minorHAnsi"/>
                <w:sz w:val="20"/>
                <w:szCs w:val="20"/>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825BBE" w:rsidRDefault="00C3053C" w:rsidP="00C3053C">
            <w:pPr>
              <w:rPr>
                <w:rFonts w:cstheme="minorHAnsi"/>
                <w:sz w:val="20"/>
                <w:szCs w:val="20"/>
                <w:lang w:val="fr-FR"/>
              </w:rPr>
            </w:pPr>
          </w:p>
          <w:p w:rsidR="00C3053C" w:rsidRPr="00825BBE" w:rsidRDefault="00C3053C" w:rsidP="00C3053C">
            <w:pPr>
              <w:rPr>
                <w:rFonts w:cstheme="minorHAnsi"/>
                <w:sz w:val="20"/>
                <w:szCs w:val="20"/>
                <w:lang w:val="fr-FR"/>
              </w:rPr>
            </w:pPr>
            <w:r w:rsidRPr="00825BBE">
              <w:rPr>
                <w:rFonts w:cstheme="minorHAnsi"/>
                <w:sz w:val="20"/>
                <w:szCs w:val="20"/>
                <w:lang w:val="fr-FR"/>
              </w:rPr>
              <w:t xml:space="preserve">Le consultant retenu devra prendre toutes les dispositions nécessaires pour faire les </w:t>
            </w:r>
            <w:r w:rsidRPr="00825BBE">
              <w:rPr>
                <w:rFonts w:cstheme="minorHAnsi"/>
                <w:b/>
                <w:sz w:val="20"/>
                <w:szCs w:val="20"/>
                <w:lang w:val="fr-FR"/>
              </w:rPr>
              <w:t xml:space="preserve">formations sécuritaires requises </w:t>
            </w:r>
            <w:r w:rsidRPr="00825BBE">
              <w:rPr>
                <w:rFonts w:cstheme="minorHAnsi"/>
                <w:sz w:val="20"/>
                <w:szCs w:val="20"/>
                <w:lang w:val="fr-FR"/>
              </w:rPr>
              <w:t>avant tout démarrage de mission (ces certificats sont obtenus en ligne, le PNUD fournira tous les détails au consultant retenu au moment de l´attribution du contrat).</w:t>
            </w:r>
          </w:p>
          <w:p w:rsidR="00C3053C" w:rsidRPr="00825BBE" w:rsidRDefault="00C3053C" w:rsidP="00DC6C23">
            <w:pPr>
              <w:rPr>
                <w:rFonts w:cstheme="minorHAnsi"/>
                <w:color w:val="FF0000"/>
                <w:sz w:val="20"/>
                <w:szCs w:val="20"/>
                <w:lang w:val="fr-FR"/>
              </w:rPr>
            </w:pPr>
          </w:p>
        </w:tc>
      </w:tr>
    </w:tbl>
    <w:p w:rsidR="00731576" w:rsidRPr="00825BBE" w:rsidRDefault="00731576">
      <w:pPr>
        <w:rPr>
          <w:rFonts w:cstheme="minorHAnsi"/>
          <w:b/>
          <w:sz w:val="20"/>
          <w:szCs w:val="20"/>
          <w:lang w:val="fr-FR"/>
        </w:rPr>
      </w:pPr>
    </w:p>
    <w:p w:rsidR="00BB33FA" w:rsidRPr="00825BBE" w:rsidRDefault="00BB33FA">
      <w:pPr>
        <w:rPr>
          <w:rFonts w:cstheme="minorHAnsi"/>
          <w:b/>
          <w:sz w:val="20"/>
          <w:szCs w:val="20"/>
          <w:lang w:val="fr-FR"/>
        </w:rPr>
      </w:pPr>
    </w:p>
    <w:p w:rsidR="00EA50D0" w:rsidRPr="00825BBE" w:rsidRDefault="002A1486" w:rsidP="00A24134">
      <w:pPr>
        <w:rPr>
          <w:rFonts w:cstheme="minorHAnsi"/>
          <w:b/>
          <w:sz w:val="24"/>
          <w:szCs w:val="24"/>
          <w:u w:val="single"/>
          <w:lang w:val="fr-FR"/>
        </w:rPr>
      </w:pPr>
      <w:r w:rsidRPr="00825BBE">
        <w:rPr>
          <w:rFonts w:cstheme="minorHAnsi"/>
          <w:b/>
          <w:sz w:val="24"/>
          <w:szCs w:val="24"/>
          <w:u w:val="single"/>
          <w:lang w:val="fr-FR"/>
        </w:rPr>
        <w:t>ANNEX</w:t>
      </w:r>
      <w:r w:rsidR="00852471" w:rsidRPr="00825BBE">
        <w:rPr>
          <w:rFonts w:cstheme="minorHAnsi"/>
          <w:b/>
          <w:sz w:val="24"/>
          <w:szCs w:val="24"/>
          <w:u w:val="single"/>
          <w:lang w:val="fr-FR"/>
        </w:rPr>
        <w:t>ES</w:t>
      </w:r>
    </w:p>
    <w:p w:rsidR="00103276" w:rsidRPr="00825BBE" w:rsidRDefault="0082245E" w:rsidP="00A24134">
      <w:pPr>
        <w:rPr>
          <w:rFonts w:cstheme="minorHAnsi"/>
          <w:b/>
          <w:lang w:val="fr-FR"/>
        </w:rPr>
      </w:pPr>
      <w:r w:rsidRPr="00825BBE">
        <w:rPr>
          <w:rFonts w:cstheme="minorHAnsi"/>
          <w:b/>
          <w:lang w:val="fr-FR"/>
        </w:rPr>
        <w:t>ANNEX 1</w:t>
      </w:r>
      <w:r w:rsidR="00167362" w:rsidRPr="00825BBE">
        <w:rPr>
          <w:rFonts w:cstheme="minorHAnsi"/>
          <w:b/>
          <w:lang w:val="fr-FR"/>
        </w:rPr>
        <w:t xml:space="preserve"> – Termes et Conditions des contrats IC (IndividualContracts)</w:t>
      </w:r>
    </w:p>
    <w:bookmarkStart w:id="6" w:name="_MON_1440321617"/>
    <w:bookmarkEnd w:id="6"/>
    <w:p w:rsidR="004B1614" w:rsidRPr="00825BBE" w:rsidRDefault="00F43C75" w:rsidP="00A24134">
      <w:pPr>
        <w:rPr>
          <w:rFonts w:cstheme="minorHAnsi"/>
          <w:b/>
          <w:lang w:val="fr-FR"/>
        </w:rPr>
      </w:pPr>
      <w:r w:rsidRPr="00825BBE">
        <w:rPr>
          <w:rFonts w:eastAsia="Times New Roman" w:cstheme="minorHAnsi"/>
          <w:b/>
          <w:noProof/>
          <w:lang w:eastAsia="rw-RW"/>
        </w:rPr>
        <w:object w:dxaOrig="1531" w:dyaOrig="990">
          <v:shape id="_x0000_i1025" type="#_x0000_t75" alt="" style="width:77.25pt;height:51.75pt;mso-width-percent:0;mso-height-percent:0;mso-width-percent:0;mso-height-percent:0" o:ole="">
            <v:imagedata r:id="rId15" o:title=""/>
          </v:shape>
          <o:OLEObject Type="Embed" ProgID="Word.Document.12" ShapeID="_x0000_i1025" DrawAspect="Icon" ObjectID="_1615988619" r:id="rId16">
            <o:FieldCodes>\s</o:FieldCodes>
          </o:OLEObject>
        </w:object>
      </w:r>
    </w:p>
    <w:p w:rsidR="00852471" w:rsidRPr="00825BBE" w:rsidRDefault="00852471" w:rsidP="00A24134">
      <w:pPr>
        <w:rPr>
          <w:rFonts w:cstheme="minorHAnsi"/>
          <w:b/>
          <w:lang w:val="fr-FR"/>
        </w:rPr>
      </w:pPr>
      <w:r w:rsidRPr="00825BBE">
        <w:rPr>
          <w:rFonts w:cstheme="minorHAnsi"/>
          <w:b/>
          <w:lang w:val="fr-FR"/>
        </w:rPr>
        <w:t>ANNEX 2 – L</w:t>
      </w:r>
      <w:r w:rsidR="00167362" w:rsidRPr="00825BBE">
        <w:rPr>
          <w:rFonts w:cstheme="minorHAnsi"/>
          <w:b/>
          <w:lang w:val="fr-FR"/>
        </w:rPr>
        <w:t xml:space="preserve">ettre d´Offre </w:t>
      </w:r>
      <w:r w:rsidRPr="00825BBE">
        <w:rPr>
          <w:rFonts w:cstheme="minorHAnsi"/>
          <w:b/>
          <w:lang w:val="fr-FR"/>
        </w:rPr>
        <w:t>(format proposition financière)</w:t>
      </w:r>
    </w:p>
    <w:bookmarkStart w:id="7" w:name="_MON_1612175976"/>
    <w:bookmarkEnd w:id="7"/>
    <w:p w:rsidR="00240981" w:rsidRPr="00825BBE" w:rsidRDefault="00F43C75" w:rsidP="00C3053C">
      <w:pPr>
        <w:rPr>
          <w:rFonts w:cstheme="minorHAnsi"/>
          <w:b/>
          <w:lang w:val="fr-FR"/>
        </w:rPr>
      </w:pPr>
      <w:r w:rsidRPr="00825BBE">
        <w:rPr>
          <w:rFonts w:cstheme="minorHAnsi"/>
          <w:b/>
          <w:noProof/>
          <w:lang w:val="fr-FR"/>
        </w:rPr>
        <w:object w:dxaOrig="1544" w:dyaOrig="998">
          <v:shape id="_x0000_i1026" type="#_x0000_t75" alt="" style="width:77.25pt;height:51.75pt;mso-width-percent:0;mso-height-percent:0;mso-width-percent:0;mso-height-percent:0" o:ole="">
            <v:imagedata r:id="rId17" o:title=""/>
          </v:shape>
          <o:OLEObject Type="Embed" ProgID="Word.Document.12" ShapeID="_x0000_i1026" DrawAspect="Icon" ObjectID="_1615988620" r:id="rId18">
            <o:FieldCodes>\s</o:FieldCodes>
          </o:OLEObject>
        </w:object>
      </w:r>
    </w:p>
    <w:sectPr w:rsidR="00240981" w:rsidRPr="00825BBE" w:rsidSect="00A73596">
      <w:headerReference w:type="default" r:id="rId19"/>
      <w:footerReference w:type="even" r:id="rId20"/>
      <w:footerReference w:type="default" r:id="rId21"/>
      <w:pgSz w:w="12240" w:h="15840"/>
      <w:pgMar w:top="63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1F" w:rsidRDefault="0014391F" w:rsidP="00A24134">
      <w:pPr>
        <w:spacing w:after="0" w:line="240" w:lineRule="auto"/>
      </w:pPr>
      <w:r>
        <w:separator/>
      </w:r>
    </w:p>
  </w:endnote>
  <w:endnote w:type="continuationSeparator" w:id="1">
    <w:p w:rsidR="0014391F" w:rsidRDefault="0014391F"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charset w:val="00"/>
    <w:family w:val="roman"/>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734861080"/>
      <w:docPartObj>
        <w:docPartGallery w:val="Page Numbers (Bottom of Page)"/>
        <w:docPartUnique/>
      </w:docPartObj>
    </w:sdtPr>
    <w:sdtContent>
      <w:p w:rsidR="003E7093" w:rsidRDefault="0061689A" w:rsidP="00DF6F04">
        <w:pPr>
          <w:pStyle w:val="Pieddepage"/>
          <w:framePr w:wrap="none" w:vAnchor="text" w:hAnchor="margin" w:xAlign="right" w:y="1"/>
          <w:rPr>
            <w:rStyle w:val="Numrodepage"/>
          </w:rPr>
        </w:pPr>
        <w:r>
          <w:rPr>
            <w:rStyle w:val="Numrodepage"/>
          </w:rPr>
          <w:fldChar w:fldCharType="begin"/>
        </w:r>
        <w:r w:rsidR="003E7093">
          <w:rPr>
            <w:rStyle w:val="Numrodepage"/>
          </w:rPr>
          <w:instrText xml:space="preserve"> PAGE </w:instrText>
        </w:r>
        <w:r>
          <w:rPr>
            <w:rStyle w:val="Numrodepage"/>
          </w:rPr>
          <w:fldChar w:fldCharType="end"/>
        </w:r>
      </w:p>
    </w:sdtContent>
  </w:sdt>
  <w:p w:rsidR="003E7093" w:rsidRDefault="003E7093" w:rsidP="003E709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997861576"/>
      <w:docPartObj>
        <w:docPartGallery w:val="Page Numbers (Bottom of Page)"/>
        <w:docPartUnique/>
      </w:docPartObj>
    </w:sdtPr>
    <w:sdtContent>
      <w:p w:rsidR="003E7093" w:rsidRDefault="0061689A" w:rsidP="00DF6F04">
        <w:pPr>
          <w:pStyle w:val="Pieddepage"/>
          <w:framePr w:wrap="none" w:vAnchor="text" w:hAnchor="margin" w:xAlign="right" w:y="1"/>
          <w:rPr>
            <w:rStyle w:val="Numrodepage"/>
          </w:rPr>
        </w:pPr>
        <w:r>
          <w:rPr>
            <w:rStyle w:val="Numrodepage"/>
          </w:rPr>
          <w:fldChar w:fldCharType="begin"/>
        </w:r>
        <w:r w:rsidR="003E7093">
          <w:rPr>
            <w:rStyle w:val="Numrodepage"/>
          </w:rPr>
          <w:instrText xml:space="preserve"> PAGE </w:instrText>
        </w:r>
        <w:r>
          <w:rPr>
            <w:rStyle w:val="Numrodepage"/>
          </w:rPr>
          <w:fldChar w:fldCharType="separate"/>
        </w:r>
        <w:r w:rsidR="00C8317D">
          <w:rPr>
            <w:rStyle w:val="Numrodepage"/>
            <w:noProof/>
          </w:rPr>
          <w:t>1</w:t>
        </w:r>
        <w:r>
          <w:rPr>
            <w:rStyle w:val="Numrodepage"/>
          </w:rPr>
          <w:fldChar w:fldCharType="end"/>
        </w:r>
      </w:p>
    </w:sdtContent>
  </w:sdt>
  <w:p w:rsidR="003E7093" w:rsidRDefault="003E7093" w:rsidP="003E709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1F" w:rsidRDefault="0014391F" w:rsidP="00A24134">
      <w:pPr>
        <w:spacing w:after="0" w:line="240" w:lineRule="auto"/>
      </w:pPr>
      <w:r>
        <w:separator/>
      </w:r>
    </w:p>
  </w:footnote>
  <w:footnote w:type="continuationSeparator" w:id="1">
    <w:p w:rsidR="0014391F" w:rsidRDefault="0014391F" w:rsidP="00A24134">
      <w:pPr>
        <w:spacing w:after="0" w:line="240" w:lineRule="auto"/>
      </w:pPr>
      <w:r>
        <w:continuationSeparator/>
      </w:r>
    </w:p>
  </w:footnote>
  <w:footnote w:id="2">
    <w:p w:rsidR="005E7226" w:rsidRPr="00BE707D" w:rsidRDefault="005E7226" w:rsidP="005E7226">
      <w:pPr>
        <w:pStyle w:val="Notedebasdepage"/>
        <w:rPr>
          <w:lang w:val="fr-CD"/>
        </w:rPr>
      </w:pPr>
      <w:r>
        <w:rPr>
          <w:rStyle w:val="Appelnotedebasdep"/>
        </w:rPr>
        <w:footnoteRef/>
      </w:r>
      <w:hyperlink r:id="rId1" w:history="1">
        <w:r w:rsidRPr="001D114C">
          <w:rPr>
            <w:rStyle w:val="Lienhypertexte"/>
          </w:rPr>
          <w:t>https://donnees.banquemondiale.org/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8940" cy="9220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2" cy="95492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5pt" o:bullet="t">
        <v:imagedata r:id="rId1" o:title="mso2ED2"/>
      </v:shape>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abstractNum w:abstractNumId="0">
    <w:nsid w:val="07200172"/>
    <w:multiLevelType w:val="hybridMultilevel"/>
    <w:tmpl w:val="99D4D96E"/>
    <w:lvl w:ilvl="0" w:tplc="9BDE1792">
      <w:start w:val="1"/>
      <w:numFmt w:val="decimal"/>
      <w:pStyle w:val="Paragraph"/>
      <w:lvlText w:val="%1."/>
      <w:lvlJc w:val="left"/>
      <w:pPr>
        <w:ind w:left="360" w:hanging="360"/>
      </w:pPr>
      <w:rPr>
        <w:rFonts w:ascii="Calibri" w:hAnsi="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92301D"/>
    <w:multiLevelType w:val="hybridMultilevel"/>
    <w:tmpl w:val="6C14960E"/>
    <w:lvl w:ilvl="0" w:tplc="240C000F">
      <w:start w:val="1"/>
      <w:numFmt w:val="decimal"/>
      <w:lvlText w:val="%1."/>
      <w:lvlJc w:val="left"/>
      <w:pPr>
        <w:ind w:left="720" w:hanging="360"/>
      </w:pPr>
    </w:lvl>
    <w:lvl w:ilvl="1" w:tplc="240C0019">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134A41D3"/>
    <w:multiLevelType w:val="hybridMultilevel"/>
    <w:tmpl w:val="AA8E814E"/>
    <w:lvl w:ilvl="0" w:tplc="F7040C6C">
      <w:start w:val="1"/>
      <w:numFmt w:val="decimal"/>
      <w:lvlText w:val="%1."/>
      <w:lvlJc w:val="left"/>
      <w:pPr>
        <w:ind w:left="720" w:hanging="360"/>
      </w:pPr>
      <w:rPr>
        <w:rFonts w:ascii="Arial Narrow" w:hAnsi="Arial Narrow"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nsid w:val="1BDB553E"/>
    <w:multiLevelType w:val="hybridMultilevel"/>
    <w:tmpl w:val="6C209496"/>
    <w:lvl w:ilvl="0" w:tplc="C00C2E74">
      <w:start w:val="4"/>
      <w:numFmt w:val="bullet"/>
      <w:lvlText w:val="-"/>
      <w:lvlJc w:val="left"/>
      <w:pPr>
        <w:ind w:left="720" w:hanging="360"/>
      </w:pPr>
      <w:rPr>
        <w:rFonts w:ascii="Times New Roman" w:eastAsiaTheme="majorEastAsia"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D847974"/>
    <w:multiLevelType w:val="multilevel"/>
    <w:tmpl w:val="558E825E"/>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6">
    <w:nsid w:val="207304B4"/>
    <w:multiLevelType w:val="hybridMultilevel"/>
    <w:tmpl w:val="50A8CEA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7">
    <w:nsid w:val="252C4F03"/>
    <w:multiLevelType w:val="hybridMultilevel"/>
    <w:tmpl w:val="FC1C8B88"/>
    <w:lvl w:ilvl="0" w:tplc="04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F75D93"/>
    <w:multiLevelType w:val="multilevel"/>
    <w:tmpl w:val="12280492"/>
    <w:styleLink w:val="List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9">
    <w:nsid w:val="2AA368F5"/>
    <w:multiLevelType w:val="hybridMultilevel"/>
    <w:tmpl w:val="97E0D744"/>
    <w:lvl w:ilvl="0" w:tplc="080C0007">
      <w:start w:val="1"/>
      <w:numFmt w:val="bullet"/>
      <w:lvlText w:val=""/>
      <w:lvlPicBulletId w:val="0"/>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2E437159"/>
    <w:multiLevelType w:val="multilevel"/>
    <w:tmpl w:val="5248E698"/>
    <w:styleLink w:val="List1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1">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D4A23"/>
    <w:multiLevelType w:val="hybridMultilevel"/>
    <w:tmpl w:val="C5BE93A6"/>
    <w:lvl w:ilvl="0" w:tplc="080C0007">
      <w:start w:val="1"/>
      <w:numFmt w:val="bullet"/>
      <w:lvlText w:val=""/>
      <w:lvlPicBulletId w:val="0"/>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3">
    <w:nsid w:val="3E1440ED"/>
    <w:multiLevelType w:val="hybridMultilevel"/>
    <w:tmpl w:val="9BD82F0A"/>
    <w:lvl w:ilvl="0" w:tplc="4CA48862">
      <w:start w:val="6"/>
      <w:numFmt w:val="bullet"/>
      <w:lvlText w:val="-"/>
      <w:lvlJc w:val="left"/>
      <w:pPr>
        <w:ind w:left="720" w:hanging="360"/>
      </w:pPr>
      <w:rPr>
        <w:rFonts w:ascii="Times New Roman" w:eastAsiaTheme="majorEastAsia"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0536869"/>
    <w:multiLevelType w:val="multilevel"/>
    <w:tmpl w:val="AD18E97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5">
    <w:nsid w:val="49EC37BD"/>
    <w:multiLevelType w:val="hybridMultilevel"/>
    <w:tmpl w:val="671AA984"/>
    <w:lvl w:ilvl="0" w:tplc="080C0007">
      <w:start w:val="1"/>
      <w:numFmt w:val="bullet"/>
      <w:lvlText w:val=""/>
      <w:lvlPicBulletId w:val="0"/>
      <w:lvlJc w:val="left"/>
      <w:pPr>
        <w:tabs>
          <w:tab w:val="num" w:pos="927"/>
        </w:tabs>
        <w:ind w:left="927"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9D1D9F"/>
    <w:multiLevelType w:val="multilevel"/>
    <w:tmpl w:val="3E4423FE"/>
    <w:styleLink w:val="List1"/>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abstractNum>
  <w:abstractNum w:abstractNumId="17">
    <w:nsid w:val="526E0F3B"/>
    <w:multiLevelType w:val="multilevel"/>
    <w:tmpl w:val="0A0CEBAC"/>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18">
    <w:nsid w:val="52FF4C67"/>
    <w:multiLevelType w:val="multilevel"/>
    <w:tmpl w:val="A27CF5C2"/>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abstractNum>
  <w:abstractNum w:abstractNumId="19">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A671D6"/>
    <w:multiLevelType w:val="hybridMultilevel"/>
    <w:tmpl w:val="FEA821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9E432F"/>
    <w:multiLevelType w:val="multilevel"/>
    <w:tmpl w:val="4E36E50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PicBulletId w:val="1"/>
      <w:lvlJc w:val="left"/>
      <w:pPr>
        <w:tabs>
          <w:tab w:val="num" w:pos="1363"/>
        </w:tabs>
        <w:ind w:left="1363" w:hanging="360"/>
      </w:pPr>
      <w:rPr>
        <w:rFonts w:ascii="Courier New" w:hAnsi="Courier New" w:hint="default"/>
        <w:sz w:val="20"/>
      </w:rPr>
    </w:lvl>
    <w:lvl w:ilvl="2" w:tentative="1">
      <w:start w:val="1"/>
      <w:numFmt w:val="bullet"/>
      <w:lvlText w:val=""/>
      <w:lvlPicBulletId w:val="2"/>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2">
    <w:nsid w:val="5DCB0F40"/>
    <w:multiLevelType w:val="multilevel"/>
    <w:tmpl w:val="803C0766"/>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23">
    <w:nsid w:val="5F9F3140"/>
    <w:multiLevelType w:val="hybridMultilevel"/>
    <w:tmpl w:val="38B835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243C86"/>
    <w:multiLevelType w:val="hybridMultilevel"/>
    <w:tmpl w:val="4FC0CAB0"/>
    <w:lvl w:ilvl="0" w:tplc="B570FD42">
      <w:numFmt w:val="bullet"/>
      <w:lvlText w:val="-"/>
      <w:lvlJc w:val="left"/>
      <w:pPr>
        <w:ind w:left="720" w:hanging="360"/>
      </w:pPr>
      <w:rPr>
        <w:rFonts w:ascii="Arial" w:eastAsia="Times New Roman" w:hAnsi="Arial" w:cs="Aria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nsid w:val="63D232C7"/>
    <w:multiLevelType w:val="hybridMultilevel"/>
    <w:tmpl w:val="6C14960E"/>
    <w:lvl w:ilvl="0" w:tplc="240C000F">
      <w:start w:val="1"/>
      <w:numFmt w:val="decimal"/>
      <w:lvlText w:val="%1."/>
      <w:lvlJc w:val="left"/>
      <w:pPr>
        <w:ind w:left="720" w:hanging="360"/>
      </w:pPr>
    </w:lvl>
    <w:lvl w:ilvl="1" w:tplc="240C0019">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nsid w:val="664F3ED5"/>
    <w:multiLevelType w:val="multilevel"/>
    <w:tmpl w:val="77C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65933"/>
    <w:multiLevelType w:val="multilevel"/>
    <w:tmpl w:val="A16404EE"/>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8">
    <w:nsid w:val="6A256DEE"/>
    <w:multiLevelType w:val="multilevel"/>
    <w:tmpl w:val="03D21060"/>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29">
    <w:nsid w:val="6AF04247"/>
    <w:multiLevelType w:val="hybridMultilevel"/>
    <w:tmpl w:val="AAB204A6"/>
    <w:lvl w:ilvl="0" w:tplc="240C0001">
      <w:start w:val="1"/>
      <w:numFmt w:val="bullet"/>
      <w:lvlText w:val=""/>
      <w:lvlJc w:val="left"/>
      <w:pPr>
        <w:ind w:left="720" w:hanging="360"/>
      </w:pPr>
      <w:rPr>
        <w:rFonts w:ascii="Symbol" w:hAnsi="Symbol"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6C5651"/>
    <w:multiLevelType w:val="multilevel"/>
    <w:tmpl w:val="35206764"/>
    <w:styleLink w:val="List0"/>
    <w:lvl w:ilvl="0">
      <w:numFmt w:val="bullet"/>
      <w:lvlText w:val="▪"/>
      <w:lvlJc w:val="left"/>
      <w:pPr>
        <w:tabs>
          <w:tab w:val="num" w:pos="720"/>
        </w:tabs>
        <w:ind w:left="72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2">
    <w:nsid w:val="71DC4444"/>
    <w:multiLevelType w:val="multilevel"/>
    <w:tmpl w:val="6C30F5B4"/>
    <w:styleLink w:val="List21"/>
    <w:lvl w:ilvl="0">
      <w:start w:val="1"/>
      <w:numFmt w:val="decimal"/>
      <w:lvlText w:val="%1."/>
      <w:lvlJc w:val="left"/>
      <w:rPr>
        <w:position w:val="0"/>
        <w:rtl w:val="0"/>
        <w:lang w:val="fr-FR"/>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num w:numId="1">
    <w:abstractNumId w:val="1"/>
  </w:num>
  <w:num w:numId="2">
    <w:abstractNumId w:val="20"/>
  </w:num>
  <w:num w:numId="3">
    <w:abstractNumId w:val="31"/>
  </w:num>
  <w:num w:numId="4">
    <w:abstractNumId w:val="16"/>
  </w:num>
  <w:num w:numId="5">
    <w:abstractNumId w:val="32"/>
  </w:num>
  <w:num w:numId="6">
    <w:abstractNumId w:val="8"/>
  </w:num>
  <w:num w:numId="7">
    <w:abstractNumId w:val="27"/>
  </w:num>
  <w:num w:numId="8">
    <w:abstractNumId w:val="18"/>
  </w:num>
  <w:num w:numId="9">
    <w:abstractNumId w:val="22"/>
  </w:num>
  <w:num w:numId="10">
    <w:abstractNumId w:val="17"/>
  </w:num>
  <w:num w:numId="11">
    <w:abstractNumId w:val="5"/>
  </w:num>
  <w:num w:numId="12">
    <w:abstractNumId w:val="28"/>
  </w:num>
  <w:num w:numId="13">
    <w:abstractNumId w:val="10"/>
  </w:num>
  <w:num w:numId="14">
    <w:abstractNumId w:val="13"/>
  </w:num>
  <w:num w:numId="15">
    <w:abstractNumId w:val="15"/>
  </w:num>
  <w:num w:numId="16">
    <w:abstractNumId w:val="9"/>
  </w:num>
  <w:num w:numId="17">
    <w:abstractNumId w:val="12"/>
  </w:num>
  <w:num w:numId="18">
    <w:abstractNumId w:val="23"/>
  </w:num>
  <w:num w:numId="19">
    <w:abstractNumId w:val="7"/>
  </w:num>
  <w:num w:numId="20">
    <w:abstractNumId w:val="4"/>
  </w:num>
  <w:num w:numId="21">
    <w:abstractNumId w:val="21"/>
  </w:num>
  <w:num w:numId="22">
    <w:abstractNumId w:val="26"/>
  </w:num>
  <w:num w:numId="23">
    <w:abstractNumId w:val="14"/>
  </w:num>
  <w:num w:numId="24">
    <w:abstractNumId w:val="11"/>
  </w:num>
  <w:num w:numId="25">
    <w:abstractNumId w:val="19"/>
  </w:num>
  <w:num w:numId="26">
    <w:abstractNumId w:val="25"/>
  </w:num>
  <w:num w:numId="27">
    <w:abstractNumId w:val="2"/>
  </w:num>
  <w:num w:numId="28">
    <w:abstractNumId w:val="30"/>
  </w:num>
  <w:num w:numId="29">
    <w:abstractNumId w:val="0"/>
  </w:num>
  <w:num w:numId="30">
    <w:abstractNumId w:val="24"/>
  </w:num>
  <w:num w:numId="31">
    <w:abstractNumId w:val="3"/>
  </w:num>
  <w:num w:numId="32">
    <w:abstractNumId w:val="29"/>
  </w:num>
  <w:num w:numId="3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5A87"/>
    <w:rsid w:val="0001012F"/>
    <w:rsid w:val="000121F0"/>
    <w:rsid w:val="0001469E"/>
    <w:rsid w:val="00023420"/>
    <w:rsid w:val="000440EC"/>
    <w:rsid w:val="00057DA8"/>
    <w:rsid w:val="00061457"/>
    <w:rsid w:val="00072984"/>
    <w:rsid w:val="000853CD"/>
    <w:rsid w:val="00086485"/>
    <w:rsid w:val="00092DBB"/>
    <w:rsid w:val="00095950"/>
    <w:rsid w:val="000964DE"/>
    <w:rsid w:val="000B254C"/>
    <w:rsid w:val="000B468F"/>
    <w:rsid w:val="000B6B6B"/>
    <w:rsid w:val="000C4ECC"/>
    <w:rsid w:val="000D2201"/>
    <w:rsid w:val="000E2C6B"/>
    <w:rsid w:val="000E45E5"/>
    <w:rsid w:val="000E6FDF"/>
    <w:rsid w:val="000E7952"/>
    <w:rsid w:val="000F212E"/>
    <w:rsid w:val="00103276"/>
    <w:rsid w:val="00123982"/>
    <w:rsid w:val="00134A66"/>
    <w:rsid w:val="0014391F"/>
    <w:rsid w:val="001446F6"/>
    <w:rsid w:val="00144DE7"/>
    <w:rsid w:val="001473B3"/>
    <w:rsid w:val="001513A7"/>
    <w:rsid w:val="00157D70"/>
    <w:rsid w:val="00162092"/>
    <w:rsid w:val="001623CF"/>
    <w:rsid w:val="00167362"/>
    <w:rsid w:val="00170654"/>
    <w:rsid w:val="00170915"/>
    <w:rsid w:val="00173BB8"/>
    <w:rsid w:val="00180DF8"/>
    <w:rsid w:val="001922DD"/>
    <w:rsid w:val="001922FE"/>
    <w:rsid w:val="001A0DCE"/>
    <w:rsid w:val="001C10E0"/>
    <w:rsid w:val="001C161A"/>
    <w:rsid w:val="001C2F5F"/>
    <w:rsid w:val="001D32A5"/>
    <w:rsid w:val="001D6CD5"/>
    <w:rsid w:val="001E0176"/>
    <w:rsid w:val="001E22BC"/>
    <w:rsid w:val="001E30BA"/>
    <w:rsid w:val="001F04FB"/>
    <w:rsid w:val="001F11A7"/>
    <w:rsid w:val="001F25F2"/>
    <w:rsid w:val="001F45B5"/>
    <w:rsid w:val="00200AA0"/>
    <w:rsid w:val="00210248"/>
    <w:rsid w:val="00213A46"/>
    <w:rsid w:val="00215236"/>
    <w:rsid w:val="002223E0"/>
    <w:rsid w:val="00223899"/>
    <w:rsid w:val="00240981"/>
    <w:rsid w:val="002526AF"/>
    <w:rsid w:val="00254862"/>
    <w:rsid w:val="002750B7"/>
    <w:rsid w:val="002778C9"/>
    <w:rsid w:val="002778D9"/>
    <w:rsid w:val="00277E8A"/>
    <w:rsid w:val="00281676"/>
    <w:rsid w:val="00283330"/>
    <w:rsid w:val="00287ABC"/>
    <w:rsid w:val="00287F49"/>
    <w:rsid w:val="00291C39"/>
    <w:rsid w:val="002A0E25"/>
    <w:rsid w:val="002A1486"/>
    <w:rsid w:val="002A5E51"/>
    <w:rsid w:val="002A64C5"/>
    <w:rsid w:val="002B0A5E"/>
    <w:rsid w:val="002B197A"/>
    <w:rsid w:val="002C2C8E"/>
    <w:rsid w:val="002C6781"/>
    <w:rsid w:val="002F799A"/>
    <w:rsid w:val="002F7B77"/>
    <w:rsid w:val="00314F51"/>
    <w:rsid w:val="003230F4"/>
    <w:rsid w:val="003231AD"/>
    <w:rsid w:val="0033218C"/>
    <w:rsid w:val="00332354"/>
    <w:rsid w:val="0033411B"/>
    <w:rsid w:val="003346BC"/>
    <w:rsid w:val="00334CBA"/>
    <w:rsid w:val="00336E59"/>
    <w:rsid w:val="00336EF8"/>
    <w:rsid w:val="00343717"/>
    <w:rsid w:val="00343852"/>
    <w:rsid w:val="00343A62"/>
    <w:rsid w:val="00354655"/>
    <w:rsid w:val="003754C3"/>
    <w:rsid w:val="0037636E"/>
    <w:rsid w:val="0038031A"/>
    <w:rsid w:val="003812A9"/>
    <w:rsid w:val="003836C0"/>
    <w:rsid w:val="00387B70"/>
    <w:rsid w:val="00394B99"/>
    <w:rsid w:val="003A22D4"/>
    <w:rsid w:val="003B0C3C"/>
    <w:rsid w:val="003B189C"/>
    <w:rsid w:val="003C2466"/>
    <w:rsid w:val="003C474C"/>
    <w:rsid w:val="003D51AC"/>
    <w:rsid w:val="003E7093"/>
    <w:rsid w:val="003F0258"/>
    <w:rsid w:val="003F31A2"/>
    <w:rsid w:val="00411EDD"/>
    <w:rsid w:val="00431ED4"/>
    <w:rsid w:val="00432027"/>
    <w:rsid w:val="00440ECE"/>
    <w:rsid w:val="00441B18"/>
    <w:rsid w:val="00443E94"/>
    <w:rsid w:val="00445903"/>
    <w:rsid w:val="00453E91"/>
    <w:rsid w:val="00464661"/>
    <w:rsid w:val="00473B49"/>
    <w:rsid w:val="004758AA"/>
    <w:rsid w:val="004762C8"/>
    <w:rsid w:val="004830B9"/>
    <w:rsid w:val="0049026B"/>
    <w:rsid w:val="00497EDA"/>
    <w:rsid w:val="004A2B79"/>
    <w:rsid w:val="004B1614"/>
    <w:rsid w:val="004B3FB1"/>
    <w:rsid w:val="004D3F24"/>
    <w:rsid w:val="004E1860"/>
    <w:rsid w:val="004E2669"/>
    <w:rsid w:val="004F4F1B"/>
    <w:rsid w:val="004F50EA"/>
    <w:rsid w:val="00500582"/>
    <w:rsid w:val="005063F9"/>
    <w:rsid w:val="00511834"/>
    <w:rsid w:val="005131C5"/>
    <w:rsid w:val="00523B12"/>
    <w:rsid w:val="005270E7"/>
    <w:rsid w:val="00540BD0"/>
    <w:rsid w:val="0055219C"/>
    <w:rsid w:val="00552801"/>
    <w:rsid w:val="00557FCC"/>
    <w:rsid w:val="005878EE"/>
    <w:rsid w:val="00593C60"/>
    <w:rsid w:val="005A6D73"/>
    <w:rsid w:val="005B038A"/>
    <w:rsid w:val="005C224C"/>
    <w:rsid w:val="005D2792"/>
    <w:rsid w:val="005E39E0"/>
    <w:rsid w:val="005E7226"/>
    <w:rsid w:val="005F1B65"/>
    <w:rsid w:val="005F1C17"/>
    <w:rsid w:val="005F5DD8"/>
    <w:rsid w:val="005F64C1"/>
    <w:rsid w:val="00605B7A"/>
    <w:rsid w:val="006060A5"/>
    <w:rsid w:val="0061689A"/>
    <w:rsid w:val="0061692B"/>
    <w:rsid w:val="00622C8B"/>
    <w:rsid w:val="00626DA2"/>
    <w:rsid w:val="006315F7"/>
    <w:rsid w:val="0063524A"/>
    <w:rsid w:val="006424FF"/>
    <w:rsid w:val="0065681E"/>
    <w:rsid w:val="0065710B"/>
    <w:rsid w:val="0066198E"/>
    <w:rsid w:val="00665B73"/>
    <w:rsid w:val="00666EED"/>
    <w:rsid w:val="00671528"/>
    <w:rsid w:val="00676AD5"/>
    <w:rsid w:val="0068022B"/>
    <w:rsid w:val="006822FB"/>
    <w:rsid w:val="006C491D"/>
    <w:rsid w:val="006E1090"/>
    <w:rsid w:val="006E4092"/>
    <w:rsid w:val="006E569A"/>
    <w:rsid w:val="006F32E7"/>
    <w:rsid w:val="006F4513"/>
    <w:rsid w:val="007054B6"/>
    <w:rsid w:val="00711A47"/>
    <w:rsid w:val="00711F0F"/>
    <w:rsid w:val="00714BE9"/>
    <w:rsid w:val="00717476"/>
    <w:rsid w:val="007222BB"/>
    <w:rsid w:val="00726A53"/>
    <w:rsid w:val="00731576"/>
    <w:rsid w:val="00733BAA"/>
    <w:rsid w:val="007354EA"/>
    <w:rsid w:val="00741FDD"/>
    <w:rsid w:val="00763D8C"/>
    <w:rsid w:val="007650C2"/>
    <w:rsid w:val="007654A8"/>
    <w:rsid w:val="0077079F"/>
    <w:rsid w:val="00776753"/>
    <w:rsid w:val="00776FB1"/>
    <w:rsid w:val="00777337"/>
    <w:rsid w:val="007818C5"/>
    <w:rsid w:val="00795ADF"/>
    <w:rsid w:val="007B467A"/>
    <w:rsid w:val="007B4EEB"/>
    <w:rsid w:val="007C2318"/>
    <w:rsid w:val="007C4235"/>
    <w:rsid w:val="007C690C"/>
    <w:rsid w:val="007D1F5A"/>
    <w:rsid w:val="007D382E"/>
    <w:rsid w:val="007E4F76"/>
    <w:rsid w:val="00810FC3"/>
    <w:rsid w:val="00816B78"/>
    <w:rsid w:val="008221DF"/>
    <w:rsid w:val="0082245E"/>
    <w:rsid w:val="00825BBE"/>
    <w:rsid w:val="00834D1A"/>
    <w:rsid w:val="0083711D"/>
    <w:rsid w:val="00837F09"/>
    <w:rsid w:val="008429D1"/>
    <w:rsid w:val="00845D5B"/>
    <w:rsid w:val="00852471"/>
    <w:rsid w:val="00867321"/>
    <w:rsid w:val="00880A9B"/>
    <w:rsid w:val="00881645"/>
    <w:rsid w:val="00882780"/>
    <w:rsid w:val="00892EA0"/>
    <w:rsid w:val="008A0260"/>
    <w:rsid w:val="008A277A"/>
    <w:rsid w:val="008A4E69"/>
    <w:rsid w:val="008A6F73"/>
    <w:rsid w:val="008B33D2"/>
    <w:rsid w:val="008B4655"/>
    <w:rsid w:val="008B6321"/>
    <w:rsid w:val="008C3DAC"/>
    <w:rsid w:val="008D3B81"/>
    <w:rsid w:val="008D7E45"/>
    <w:rsid w:val="008E128B"/>
    <w:rsid w:val="008E21EC"/>
    <w:rsid w:val="008E31C7"/>
    <w:rsid w:val="0090409F"/>
    <w:rsid w:val="00922409"/>
    <w:rsid w:val="00935DF2"/>
    <w:rsid w:val="00941A93"/>
    <w:rsid w:val="00944F40"/>
    <w:rsid w:val="0094779C"/>
    <w:rsid w:val="00950F59"/>
    <w:rsid w:val="0095565B"/>
    <w:rsid w:val="00961622"/>
    <w:rsid w:val="009630B9"/>
    <w:rsid w:val="009723CE"/>
    <w:rsid w:val="009735B1"/>
    <w:rsid w:val="00977742"/>
    <w:rsid w:val="00983EB8"/>
    <w:rsid w:val="00984CA9"/>
    <w:rsid w:val="009901BF"/>
    <w:rsid w:val="009912B9"/>
    <w:rsid w:val="00991F1B"/>
    <w:rsid w:val="00993E07"/>
    <w:rsid w:val="0099678D"/>
    <w:rsid w:val="009A3491"/>
    <w:rsid w:val="009A4AC3"/>
    <w:rsid w:val="009B61EA"/>
    <w:rsid w:val="009D346F"/>
    <w:rsid w:val="009E2B22"/>
    <w:rsid w:val="009E74E7"/>
    <w:rsid w:val="00A030A0"/>
    <w:rsid w:val="00A04F9B"/>
    <w:rsid w:val="00A0735A"/>
    <w:rsid w:val="00A21445"/>
    <w:rsid w:val="00A24134"/>
    <w:rsid w:val="00A30B5F"/>
    <w:rsid w:val="00A3399B"/>
    <w:rsid w:val="00A35C84"/>
    <w:rsid w:val="00A538B9"/>
    <w:rsid w:val="00A572BC"/>
    <w:rsid w:val="00A57692"/>
    <w:rsid w:val="00A62FDC"/>
    <w:rsid w:val="00A6756E"/>
    <w:rsid w:val="00A7215E"/>
    <w:rsid w:val="00A73596"/>
    <w:rsid w:val="00A75CF9"/>
    <w:rsid w:val="00A766AD"/>
    <w:rsid w:val="00A83454"/>
    <w:rsid w:val="00A84AEE"/>
    <w:rsid w:val="00A91D81"/>
    <w:rsid w:val="00A932C0"/>
    <w:rsid w:val="00A9494D"/>
    <w:rsid w:val="00AA449A"/>
    <w:rsid w:val="00AA4872"/>
    <w:rsid w:val="00AA5BAE"/>
    <w:rsid w:val="00AA76B6"/>
    <w:rsid w:val="00AB3424"/>
    <w:rsid w:val="00AB6727"/>
    <w:rsid w:val="00AC6EA2"/>
    <w:rsid w:val="00AC6F4C"/>
    <w:rsid w:val="00AD129C"/>
    <w:rsid w:val="00AD5158"/>
    <w:rsid w:val="00AF0F93"/>
    <w:rsid w:val="00AF28E5"/>
    <w:rsid w:val="00AF3C0C"/>
    <w:rsid w:val="00AF6929"/>
    <w:rsid w:val="00B00EF2"/>
    <w:rsid w:val="00B2445F"/>
    <w:rsid w:val="00B24D48"/>
    <w:rsid w:val="00B25308"/>
    <w:rsid w:val="00B3038B"/>
    <w:rsid w:val="00B31BA4"/>
    <w:rsid w:val="00B31E98"/>
    <w:rsid w:val="00B3276A"/>
    <w:rsid w:val="00B33B7F"/>
    <w:rsid w:val="00B42DD4"/>
    <w:rsid w:val="00B438A3"/>
    <w:rsid w:val="00B460B2"/>
    <w:rsid w:val="00B47D9C"/>
    <w:rsid w:val="00B53585"/>
    <w:rsid w:val="00B60FD8"/>
    <w:rsid w:val="00B879BD"/>
    <w:rsid w:val="00BB33FA"/>
    <w:rsid w:val="00BC623E"/>
    <w:rsid w:val="00BF32D9"/>
    <w:rsid w:val="00BF3F19"/>
    <w:rsid w:val="00BF414F"/>
    <w:rsid w:val="00BF50A5"/>
    <w:rsid w:val="00BF6263"/>
    <w:rsid w:val="00C02DC8"/>
    <w:rsid w:val="00C03793"/>
    <w:rsid w:val="00C07F93"/>
    <w:rsid w:val="00C13782"/>
    <w:rsid w:val="00C22E07"/>
    <w:rsid w:val="00C3053C"/>
    <w:rsid w:val="00C44326"/>
    <w:rsid w:val="00C564EB"/>
    <w:rsid w:val="00C60E0E"/>
    <w:rsid w:val="00C62F49"/>
    <w:rsid w:val="00C64099"/>
    <w:rsid w:val="00C74855"/>
    <w:rsid w:val="00C75B64"/>
    <w:rsid w:val="00C82325"/>
    <w:rsid w:val="00C8317D"/>
    <w:rsid w:val="00C95583"/>
    <w:rsid w:val="00C978E6"/>
    <w:rsid w:val="00CA1799"/>
    <w:rsid w:val="00CA2CE9"/>
    <w:rsid w:val="00CA4B29"/>
    <w:rsid w:val="00CB0DEA"/>
    <w:rsid w:val="00CB0FD0"/>
    <w:rsid w:val="00CB569F"/>
    <w:rsid w:val="00CB68B7"/>
    <w:rsid w:val="00CC1E8E"/>
    <w:rsid w:val="00CC315A"/>
    <w:rsid w:val="00CD14E5"/>
    <w:rsid w:val="00CD5CAF"/>
    <w:rsid w:val="00CF18C4"/>
    <w:rsid w:val="00CF522C"/>
    <w:rsid w:val="00CF54CB"/>
    <w:rsid w:val="00D02344"/>
    <w:rsid w:val="00D03E7B"/>
    <w:rsid w:val="00D1513C"/>
    <w:rsid w:val="00D17475"/>
    <w:rsid w:val="00D23DBA"/>
    <w:rsid w:val="00D2659A"/>
    <w:rsid w:val="00D4316B"/>
    <w:rsid w:val="00D50C2F"/>
    <w:rsid w:val="00D54A05"/>
    <w:rsid w:val="00D56441"/>
    <w:rsid w:val="00D56C11"/>
    <w:rsid w:val="00D72CA7"/>
    <w:rsid w:val="00D758FB"/>
    <w:rsid w:val="00D90DA0"/>
    <w:rsid w:val="00D92FCE"/>
    <w:rsid w:val="00D9419F"/>
    <w:rsid w:val="00DA646F"/>
    <w:rsid w:val="00DA6EEB"/>
    <w:rsid w:val="00DB0EB6"/>
    <w:rsid w:val="00DB13D3"/>
    <w:rsid w:val="00DB77DD"/>
    <w:rsid w:val="00DB7F57"/>
    <w:rsid w:val="00DC2CB2"/>
    <w:rsid w:val="00DD3BA3"/>
    <w:rsid w:val="00DE1432"/>
    <w:rsid w:val="00DF61A0"/>
    <w:rsid w:val="00E1553B"/>
    <w:rsid w:val="00E33760"/>
    <w:rsid w:val="00E35467"/>
    <w:rsid w:val="00E40968"/>
    <w:rsid w:val="00E430E5"/>
    <w:rsid w:val="00E4398D"/>
    <w:rsid w:val="00E44214"/>
    <w:rsid w:val="00E53430"/>
    <w:rsid w:val="00E53AB2"/>
    <w:rsid w:val="00E56341"/>
    <w:rsid w:val="00E678F9"/>
    <w:rsid w:val="00E736EB"/>
    <w:rsid w:val="00E73D68"/>
    <w:rsid w:val="00E74A4C"/>
    <w:rsid w:val="00E75675"/>
    <w:rsid w:val="00E8310E"/>
    <w:rsid w:val="00E848E3"/>
    <w:rsid w:val="00E849D6"/>
    <w:rsid w:val="00E84CA5"/>
    <w:rsid w:val="00E90323"/>
    <w:rsid w:val="00E94857"/>
    <w:rsid w:val="00EA50D0"/>
    <w:rsid w:val="00EA697D"/>
    <w:rsid w:val="00EB1B71"/>
    <w:rsid w:val="00ED428B"/>
    <w:rsid w:val="00ED649B"/>
    <w:rsid w:val="00F06319"/>
    <w:rsid w:val="00F22E57"/>
    <w:rsid w:val="00F40EEB"/>
    <w:rsid w:val="00F41B94"/>
    <w:rsid w:val="00F43C75"/>
    <w:rsid w:val="00F548DF"/>
    <w:rsid w:val="00F64848"/>
    <w:rsid w:val="00F65F9E"/>
    <w:rsid w:val="00F66064"/>
    <w:rsid w:val="00F662A3"/>
    <w:rsid w:val="00F71CA5"/>
    <w:rsid w:val="00F7753E"/>
    <w:rsid w:val="00F84875"/>
    <w:rsid w:val="00F9130D"/>
    <w:rsid w:val="00F9149B"/>
    <w:rsid w:val="00F918E6"/>
    <w:rsid w:val="00F91CEC"/>
    <w:rsid w:val="00FB0E78"/>
    <w:rsid w:val="00FC096F"/>
    <w:rsid w:val="00FC4ED0"/>
    <w:rsid w:val="00FC5CF1"/>
    <w:rsid w:val="00FE0AD6"/>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5">
    <w:name w:val="heading 5"/>
    <w:basedOn w:val="Normal"/>
    <w:next w:val="Normal"/>
    <w:link w:val="Titre5Car"/>
    <w:uiPriority w:val="9"/>
    <w:semiHidden/>
    <w:unhideWhenUsed/>
    <w:qFormat/>
    <w:rsid w:val="009735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customStyle="1" w:styleId="Corps">
    <w:name w:val="Corps"/>
    <w:rsid w:val="00287ABC"/>
    <w:pPr>
      <w:pBdr>
        <w:top w:val="nil"/>
        <w:left w:val="nil"/>
        <w:bottom w:val="nil"/>
        <w:right w:val="nil"/>
        <w:between w:val="nil"/>
        <w:bar w:val="nil"/>
      </w:pBdr>
    </w:pPr>
    <w:rPr>
      <w:rFonts w:ascii="Calibri" w:eastAsia="Calibri" w:hAnsi="Calibri" w:cs="Calibri"/>
      <w:color w:val="000000"/>
      <w:u w:color="000000"/>
      <w:bdr w:val="nil"/>
      <w:lang w:val="fr-FR"/>
    </w:rPr>
  </w:style>
  <w:style w:type="numbering" w:customStyle="1" w:styleId="List0">
    <w:name w:val="List 0"/>
    <w:basedOn w:val="Aucuneliste"/>
    <w:rsid w:val="009735B1"/>
    <w:pPr>
      <w:numPr>
        <w:numId w:val="3"/>
      </w:numPr>
    </w:pPr>
  </w:style>
  <w:style w:type="numbering" w:customStyle="1" w:styleId="List1">
    <w:name w:val="List 1"/>
    <w:basedOn w:val="Aucuneliste"/>
    <w:rsid w:val="009735B1"/>
    <w:pPr>
      <w:numPr>
        <w:numId w:val="4"/>
      </w:numPr>
    </w:pPr>
  </w:style>
  <w:style w:type="character" w:customStyle="1" w:styleId="Titre5Car">
    <w:name w:val="Titre 5 Car"/>
    <w:basedOn w:val="Policepardfaut"/>
    <w:link w:val="Titre5"/>
    <w:uiPriority w:val="9"/>
    <w:semiHidden/>
    <w:rsid w:val="009735B1"/>
    <w:rPr>
      <w:rFonts w:asciiTheme="majorHAnsi" w:eastAsiaTheme="majorEastAsia" w:hAnsiTheme="majorHAnsi" w:cstheme="majorBidi"/>
      <w:color w:val="365F91" w:themeColor="accent1" w:themeShade="BF"/>
    </w:rPr>
  </w:style>
  <w:style w:type="paragraph" w:customStyle="1" w:styleId="Ss-section3">
    <w:name w:val="Ss-section 3"/>
    <w:rsid w:val="009735B1"/>
    <w:pPr>
      <w:pBdr>
        <w:top w:val="nil"/>
        <w:left w:val="nil"/>
        <w:bottom w:val="nil"/>
        <w:right w:val="nil"/>
        <w:between w:val="nil"/>
        <w:bar w:val="nil"/>
      </w:pBdr>
      <w:spacing w:before="52" w:after="31" w:line="312" w:lineRule="auto"/>
      <w:outlineLvl w:val="2"/>
    </w:pPr>
    <w:rPr>
      <w:rFonts w:ascii="Trebuchet MS" w:eastAsia="Arial Unicode MS" w:hAnsi="Arial Unicode MS" w:cs="Arial Unicode MS"/>
      <w:color w:val="003399"/>
      <w:sz w:val="18"/>
      <w:szCs w:val="18"/>
      <w:u w:color="003399"/>
      <w:bdr w:val="nil"/>
      <w:lang w:val="fr-FR"/>
    </w:rPr>
  </w:style>
  <w:style w:type="numbering" w:customStyle="1" w:styleId="List21">
    <w:name w:val="List 21"/>
    <w:basedOn w:val="Aucuneliste"/>
    <w:rsid w:val="009735B1"/>
    <w:pPr>
      <w:numPr>
        <w:numId w:val="5"/>
      </w:numPr>
    </w:pPr>
  </w:style>
  <w:style w:type="numbering" w:customStyle="1" w:styleId="List31">
    <w:name w:val="List 31"/>
    <w:basedOn w:val="Aucuneliste"/>
    <w:rsid w:val="00626DA2"/>
    <w:pPr>
      <w:numPr>
        <w:numId w:val="6"/>
      </w:numPr>
    </w:pPr>
  </w:style>
  <w:style w:type="paragraph" w:customStyle="1" w:styleId="Grillemoyenne1-Accent21">
    <w:name w:val="Grille moyenne 1 - Accent 21"/>
    <w:rsid w:val="007C690C"/>
    <w:pPr>
      <w:pBdr>
        <w:top w:val="nil"/>
        <w:left w:val="nil"/>
        <w:bottom w:val="nil"/>
        <w:right w:val="nil"/>
        <w:between w:val="nil"/>
        <w:bar w:val="nil"/>
      </w:pBdr>
      <w:spacing w:after="0" w:line="240" w:lineRule="auto"/>
      <w:ind w:left="720"/>
    </w:pPr>
    <w:rPr>
      <w:rFonts w:ascii="Arial Unicode MS" w:eastAsia="Arial Unicode MS" w:hAnsi="Arial" w:cs="Arial Unicode MS"/>
      <w:color w:val="000000"/>
      <w:u w:color="000000"/>
      <w:bdr w:val="nil"/>
      <w:lang w:val="fr-FR"/>
    </w:rPr>
  </w:style>
  <w:style w:type="numbering" w:customStyle="1" w:styleId="List41">
    <w:name w:val="List 41"/>
    <w:basedOn w:val="Aucuneliste"/>
    <w:rsid w:val="007C690C"/>
    <w:pPr>
      <w:numPr>
        <w:numId w:val="7"/>
      </w:numPr>
    </w:pPr>
  </w:style>
  <w:style w:type="numbering" w:customStyle="1" w:styleId="List51">
    <w:name w:val="List 51"/>
    <w:basedOn w:val="Aucuneliste"/>
    <w:rsid w:val="007C690C"/>
    <w:pPr>
      <w:numPr>
        <w:numId w:val="8"/>
      </w:numPr>
    </w:pPr>
  </w:style>
  <w:style w:type="numbering" w:customStyle="1" w:styleId="List6">
    <w:name w:val="List 6"/>
    <w:basedOn w:val="Aucuneliste"/>
    <w:rsid w:val="007C690C"/>
    <w:pPr>
      <w:numPr>
        <w:numId w:val="9"/>
      </w:numPr>
    </w:pPr>
  </w:style>
  <w:style w:type="numbering" w:customStyle="1" w:styleId="List7">
    <w:name w:val="List 7"/>
    <w:basedOn w:val="Aucuneliste"/>
    <w:rsid w:val="007C690C"/>
    <w:pPr>
      <w:numPr>
        <w:numId w:val="10"/>
      </w:numPr>
    </w:pPr>
  </w:style>
  <w:style w:type="paragraph" w:styleId="Corpsdetexte">
    <w:name w:val="Body Text"/>
    <w:basedOn w:val="Normal"/>
    <w:link w:val="CorpsdetexteCar"/>
    <w:uiPriority w:val="99"/>
    <w:semiHidden/>
    <w:unhideWhenUsed/>
    <w:rsid w:val="007C690C"/>
    <w:pPr>
      <w:spacing w:after="120"/>
    </w:pPr>
  </w:style>
  <w:style w:type="character" w:customStyle="1" w:styleId="CorpsdetexteCar">
    <w:name w:val="Corps de texte Car"/>
    <w:basedOn w:val="Policepardfaut"/>
    <w:link w:val="Corpsdetexte"/>
    <w:uiPriority w:val="99"/>
    <w:semiHidden/>
    <w:rsid w:val="007C690C"/>
  </w:style>
  <w:style w:type="numbering" w:customStyle="1" w:styleId="List8">
    <w:name w:val="List 8"/>
    <w:basedOn w:val="Aucuneliste"/>
    <w:rsid w:val="00CB0FD0"/>
    <w:pPr>
      <w:numPr>
        <w:numId w:val="11"/>
      </w:numPr>
    </w:pPr>
  </w:style>
  <w:style w:type="numbering" w:customStyle="1" w:styleId="List9">
    <w:name w:val="List 9"/>
    <w:basedOn w:val="Aucuneliste"/>
    <w:rsid w:val="00CB0FD0"/>
    <w:pPr>
      <w:numPr>
        <w:numId w:val="12"/>
      </w:numPr>
    </w:pPr>
  </w:style>
  <w:style w:type="numbering" w:customStyle="1" w:styleId="List12">
    <w:name w:val="List 12"/>
    <w:basedOn w:val="Aucuneliste"/>
    <w:rsid w:val="00CB0FD0"/>
    <w:pPr>
      <w:numPr>
        <w:numId w:val="13"/>
      </w:numPr>
    </w:pPr>
  </w:style>
  <w:style w:type="character" w:styleId="Numrodepage">
    <w:name w:val="page number"/>
    <w:basedOn w:val="Policepardfaut"/>
    <w:uiPriority w:val="99"/>
    <w:semiHidden/>
    <w:unhideWhenUsed/>
    <w:rsid w:val="003E7093"/>
  </w:style>
  <w:style w:type="paragraph" w:customStyle="1" w:styleId="bodytext">
    <w:name w:val="bodytext"/>
    <w:basedOn w:val="Normal"/>
    <w:rsid w:val="007818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ongtext">
    <w:name w:val="long_text"/>
    <w:basedOn w:val="Policepardfaut"/>
    <w:rsid w:val="0068022B"/>
  </w:style>
  <w:style w:type="paragraph" w:styleId="Notedebasdepage">
    <w:name w:val="footnote text"/>
    <w:basedOn w:val="Normal"/>
    <w:link w:val="NotedebasdepageCar"/>
    <w:uiPriority w:val="99"/>
    <w:semiHidden/>
    <w:unhideWhenUsed/>
    <w:rsid w:val="005C224C"/>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5C224C"/>
    <w:rPr>
      <w:rFonts w:ascii="Calibri" w:eastAsia="Calibri" w:hAnsi="Calibri" w:cs="Times New Roman"/>
      <w:sz w:val="20"/>
      <w:szCs w:val="20"/>
      <w:lang w:val="en-PH"/>
    </w:rPr>
  </w:style>
  <w:style w:type="character" w:styleId="Appelnotedebasdep">
    <w:name w:val="footnote reference"/>
    <w:uiPriority w:val="99"/>
    <w:semiHidden/>
    <w:unhideWhenUsed/>
    <w:rsid w:val="005C224C"/>
    <w:rPr>
      <w:vertAlign w:val="superscript"/>
    </w:rPr>
  </w:style>
  <w:style w:type="paragraph" w:customStyle="1" w:styleId="Paragraph">
    <w:name w:val="Paragraph"/>
    <w:basedOn w:val="Normal"/>
    <w:link w:val="ParagraphChar"/>
    <w:qFormat/>
    <w:rsid w:val="00AF0F93"/>
    <w:pPr>
      <w:numPr>
        <w:numId w:val="29"/>
      </w:numPr>
      <w:spacing w:after="240" w:line="240" w:lineRule="auto"/>
      <w:jc w:val="both"/>
    </w:pPr>
    <w:rPr>
      <w:rFonts w:ascii="Calibri" w:eastAsia="Calibri" w:hAnsi="Calibri" w:cs="Angsana New"/>
      <w:noProof/>
      <w:sz w:val="20"/>
      <w:lang w:val="fr-FR"/>
    </w:rPr>
  </w:style>
  <w:style w:type="character" w:customStyle="1" w:styleId="ParagraphChar">
    <w:name w:val="Paragraph Char"/>
    <w:link w:val="Paragraph"/>
    <w:rsid w:val="00AF0F93"/>
    <w:rPr>
      <w:rFonts w:ascii="Calibri" w:eastAsia="Calibri" w:hAnsi="Calibri" w:cs="Angsana New"/>
      <w:noProof/>
      <w:sz w:val="20"/>
      <w:lang w:val="fr-FR"/>
    </w:rPr>
  </w:style>
</w:styles>
</file>

<file path=word/webSettings.xml><?xml version="1.0" encoding="utf-8"?>
<w:webSettings xmlns:r="http://schemas.openxmlformats.org/officeDocument/2006/relationships" xmlns:w="http://schemas.openxmlformats.org/wordprocessingml/2006/main">
  <w:divs>
    <w:div w:id="84041247">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656105593">
      <w:bodyDiv w:val="1"/>
      <w:marLeft w:val="0"/>
      <w:marRight w:val="0"/>
      <w:marTop w:val="0"/>
      <w:marBottom w:val="0"/>
      <w:divBdr>
        <w:top w:val="none" w:sz="0" w:space="0" w:color="auto"/>
        <w:left w:val="none" w:sz="0" w:space="0" w:color="auto"/>
        <w:bottom w:val="none" w:sz="0" w:space="0" w:color="auto"/>
        <w:right w:val="none" w:sz="0" w:space="0" w:color="auto"/>
      </w:divBdr>
    </w:div>
    <w:div w:id="800921426">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Document_Microsoft_Office_Word2.doc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Document_Microsoft_Office_Word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76F10DC1-5512-4207-9B5C-72C9AA2479FD}">
  <ds:schemaRefs>
    <ds:schemaRef ds:uri="http://schemas.openxmlformats.org/officeDocument/2006/bibliography"/>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3258</Words>
  <Characters>17920</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Arnaud MANGALA</cp:lastModifiedBy>
  <cp:revision>2</cp:revision>
  <cp:lastPrinted>2019-03-22T10:12:00Z</cp:lastPrinted>
  <dcterms:created xsi:type="dcterms:W3CDTF">2019-04-05T14:57:00Z</dcterms:created>
  <dcterms:modified xsi:type="dcterms:W3CDTF">2019-04-05T14:57:00Z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