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11" w:rsidRPr="0085295D" w:rsidRDefault="00D56C11" w:rsidP="00D56C11">
      <w:pPr>
        <w:tabs>
          <w:tab w:val="left" w:pos="1410"/>
        </w:tabs>
        <w:spacing w:after="0" w:line="240" w:lineRule="auto"/>
        <w:jc w:val="center"/>
        <w:rPr>
          <w:rFonts w:cstheme="minorHAnsi"/>
          <w:b/>
        </w:rPr>
      </w:pPr>
      <w:r w:rsidRPr="0085295D">
        <w:rPr>
          <w:rFonts w:cstheme="minorHAnsi"/>
          <w:b/>
        </w:rPr>
        <w:t>NOTICE DE SELECTION</w:t>
      </w:r>
    </w:p>
    <w:p w:rsidR="007A00F5" w:rsidRPr="0085295D" w:rsidRDefault="007A00F5" w:rsidP="00E94CCB">
      <w:pPr>
        <w:tabs>
          <w:tab w:val="left" w:pos="1410"/>
        </w:tabs>
        <w:spacing w:after="0" w:line="240" w:lineRule="auto"/>
        <w:jc w:val="center"/>
        <w:rPr>
          <w:rFonts w:cstheme="minorHAnsi"/>
          <w:b/>
        </w:rPr>
      </w:pPr>
    </w:p>
    <w:p w:rsidR="0014257B" w:rsidRPr="0085295D" w:rsidRDefault="00DD3375" w:rsidP="00142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heme="minorHAnsi"/>
          <w:b/>
          <w:lang w:eastAsia="fr-FR"/>
        </w:rPr>
      </w:pPr>
      <w:bookmarkStart w:id="0" w:name="_Hlk18483930"/>
      <w:r w:rsidRPr="0085295D">
        <w:rPr>
          <w:rFonts w:eastAsia="Times New Roman" w:cstheme="minorHAnsi"/>
          <w:b/>
          <w:bCs/>
        </w:rPr>
        <w:t>Recrutement d´u</w:t>
      </w:r>
      <w:r w:rsidR="00D56C11" w:rsidRPr="0085295D">
        <w:rPr>
          <w:rFonts w:eastAsia="Times New Roman" w:cstheme="minorHAnsi"/>
          <w:b/>
          <w:bCs/>
        </w:rPr>
        <w:t>n(e) consultant(e)</w:t>
      </w:r>
      <w:r w:rsidRPr="0085295D">
        <w:rPr>
          <w:rFonts w:eastAsia="Times New Roman" w:cstheme="minorHAnsi"/>
          <w:b/>
          <w:bCs/>
        </w:rPr>
        <w:t xml:space="preserve"> d´expertise</w:t>
      </w:r>
      <w:r w:rsidR="003322B0" w:rsidRPr="0085295D">
        <w:rPr>
          <w:rFonts w:eastAsia="Times New Roman" w:cstheme="minorHAnsi"/>
          <w:b/>
          <w:bCs/>
        </w:rPr>
        <w:t>na</w:t>
      </w:r>
      <w:r w:rsidR="00D56C11" w:rsidRPr="0085295D">
        <w:rPr>
          <w:rFonts w:eastAsia="Times New Roman" w:cstheme="minorHAnsi"/>
          <w:b/>
          <w:bCs/>
        </w:rPr>
        <w:t>tional (e)</w:t>
      </w:r>
      <w:r w:rsidR="0014257B" w:rsidRPr="0085295D">
        <w:rPr>
          <w:rFonts w:eastAsia="Times New Roman" w:cstheme="minorHAnsi"/>
          <w:b/>
          <w:lang w:eastAsia="fr-FR"/>
        </w:rPr>
        <w:t>chargé d’é</w:t>
      </w:r>
      <w:r w:rsidR="00B46029" w:rsidRPr="0085295D">
        <w:rPr>
          <w:rFonts w:eastAsia="Times New Roman" w:cstheme="minorHAnsi"/>
          <w:b/>
          <w:lang w:eastAsia="fr-FR"/>
        </w:rPr>
        <w:t>laborer le programme conjoint Rule of Law</w:t>
      </w:r>
    </w:p>
    <w:bookmarkEnd w:id="0"/>
    <w:p w:rsidR="00D56C11" w:rsidRPr="0085295D" w:rsidRDefault="00D56C11" w:rsidP="00E94CCB">
      <w:pPr>
        <w:spacing w:after="0" w:line="240" w:lineRule="auto"/>
        <w:jc w:val="center"/>
        <w:rPr>
          <w:rFonts w:eastAsia="MS Mincho" w:cstheme="minorHAnsi"/>
          <w:b/>
          <w:lang w:eastAsia="fr-FR"/>
        </w:rPr>
      </w:pPr>
    </w:p>
    <w:p w:rsidR="00D56C11" w:rsidRPr="0085295D" w:rsidRDefault="00D56C11" w:rsidP="00D56C11">
      <w:pPr>
        <w:spacing w:after="0" w:line="240" w:lineRule="auto"/>
        <w:jc w:val="center"/>
        <w:rPr>
          <w:rFonts w:eastAsia="Times New Roman" w:cstheme="minorHAnsi"/>
          <w:b/>
          <w:lang w:eastAsia="fr-FR"/>
        </w:rPr>
      </w:pPr>
      <w:r w:rsidRPr="0085295D">
        <w:rPr>
          <w:rFonts w:eastAsia="Times New Roman" w:cstheme="minorHAnsi"/>
          <w:b/>
          <w:lang w:eastAsia="rw-RW"/>
        </w:rPr>
        <w:t xml:space="preserve">Référence du dossier : </w:t>
      </w:r>
      <w:r w:rsidR="0085295D">
        <w:rPr>
          <w:rFonts w:eastAsia="Times New Roman" w:cstheme="minorHAnsi"/>
          <w:b/>
          <w:lang w:eastAsia="rw-RW"/>
        </w:rPr>
        <w:t>001</w:t>
      </w:r>
      <w:r w:rsidR="003F640F" w:rsidRPr="0085295D">
        <w:rPr>
          <w:rFonts w:eastAsia="Times New Roman" w:cstheme="minorHAnsi"/>
          <w:b/>
          <w:lang w:eastAsia="rw-RW"/>
        </w:rPr>
        <w:t>/IC</w:t>
      </w:r>
      <w:r w:rsidR="006010EF" w:rsidRPr="0085295D">
        <w:rPr>
          <w:rFonts w:eastAsia="Times New Roman" w:cstheme="minorHAnsi"/>
          <w:b/>
          <w:lang w:eastAsia="rw-RW"/>
        </w:rPr>
        <w:t>-</w:t>
      </w:r>
      <w:r w:rsidR="005A26AB" w:rsidRPr="0085295D">
        <w:rPr>
          <w:rFonts w:eastAsia="Times New Roman" w:cstheme="minorHAnsi"/>
          <w:b/>
          <w:lang w:eastAsia="rw-RW"/>
        </w:rPr>
        <w:t>INT</w:t>
      </w:r>
      <w:r w:rsidR="003F640F" w:rsidRPr="0085295D">
        <w:rPr>
          <w:rFonts w:eastAsia="Times New Roman" w:cstheme="minorHAnsi"/>
          <w:b/>
          <w:lang w:eastAsia="rw-RW"/>
        </w:rPr>
        <w:t>/</w:t>
      </w:r>
      <w:r w:rsidR="00B46029" w:rsidRPr="0085295D">
        <w:rPr>
          <w:rFonts w:eastAsia="Times New Roman" w:cstheme="minorHAnsi"/>
          <w:b/>
          <w:lang w:eastAsia="rw-RW"/>
        </w:rPr>
        <w:t>CPRD</w:t>
      </w:r>
      <w:r w:rsidR="003F640F" w:rsidRPr="0085295D">
        <w:rPr>
          <w:rFonts w:eastAsia="Times New Roman" w:cstheme="minorHAnsi"/>
          <w:b/>
          <w:lang w:eastAsia="rw-RW"/>
        </w:rPr>
        <w:t>/20</w:t>
      </w:r>
      <w:r w:rsidR="003445D9" w:rsidRPr="0085295D">
        <w:rPr>
          <w:rFonts w:eastAsia="Times New Roman" w:cstheme="minorHAnsi"/>
          <w:b/>
          <w:lang w:eastAsia="rw-RW"/>
        </w:rPr>
        <w:t>20</w:t>
      </w:r>
    </w:p>
    <w:p w:rsidR="003F640F" w:rsidRPr="0085295D" w:rsidRDefault="00D56C11" w:rsidP="003F640F">
      <w:pPr>
        <w:spacing w:after="0" w:line="240" w:lineRule="auto"/>
        <w:jc w:val="right"/>
        <w:rPr>
          <w:rFonts w:eastAsia="Times New Roman" w:cstheme="minorHAnsi"/>
          <w:lang w:eastAsia="rw-RW"/>
        </w:rPr>
      </w:pPr>
      <w:r w:rsidRPr="0085295D">
        <w:rPr>
          <w:rFonts w:eastAsia="Times New Roman" w:cstheme="minorHAnsi"/>
          <w:lang w:eastAsia="rw-RW"/>
        </w:rPr>
        <w:t xml:space="preserve">Date : </w:t>
      </w:r>
      <w:r w:rsidR="005810AD" w:rsidRPr="0085295D">
        <w:rPr>
          <w:rFonts w:eastAsia="Times New Roman" w:cstheme="minorHAnsi"/>
          <w:lang w:eastAsia="rw-RW"/>
        </w:rPr>
        <w:t>0</w:t>
      </w:r>
      <w:r w:rsidR="00593C86">
        <w:rPr>
          <w:rFonts w:eastAsia="Times New Roman" w:cstheme="minorHAnsi"/>
          <w:lang w:eastAsia="rw-RW"/>
        </w:rPr>
        <w:t>9</w:t>
      </w:r>
      <w:r w:rsidRPr="0085295D">
        <w:rPr>
          <w:rFonts w:eastAsia="Times New Roman" w:cstheme="minorHAnsi"/>
          <w:lang w:eastAsia="rw-RW"/>
        </w:rPr>
        <w:t>/</w:t>
      </w:r>
      <w:r w:rsidR="005810AD" w:rsidRPr="0085295D">
        <w:rPr>
          <w:rFonts w:eastAsia="Times New Roman" w:cstheme="minorHAnsi"/>
          <w:lang w:eastAsia="rw-RW"/>
        </w:rPr>
        <w:t>01</w:t>
      </w:r>
      <w:r w:rsidRPr="0085295D">
        <w:rPr>
          <w:rFonts w:eastAsia="Times New Roman" w:cstheme="minorHAnsi"/>
          <w:lang w:eastAsia="rw-RW"/>
        </w:rPr>
        <w:t>/</w:t>
      </w:r>
      <w:r w:rsidR="005810AD" w:rsidRPr="0085295D">
        <w:rPr>
          <w:rFonts w:eastAsia="Times New Roman" w:cstheme="minorHAnsi"/>
          <w:lang w:eastAsia="rw-RW"/>
        </w:rPr>
        <w:t>2020</w:t>
      </w:r>
    </w:p>
    <w:p w:rsidR="009E2B22" w:rsidRPr="0085295D" w:rsidRDefault="00724AD6" w:rsidP="009E2B22">
      <w:pPr>
        <w:tabs>
          <w:tab w:val="left" w:pos="1410"/>
        </w:tabs>
        <w:rPr>
          <w:rFonts w:cstheme="minorHAnsi"/>
          <w:b/>
        </w:rPr>
      </w:pPr>
      <w:r>
        <w:rPr>
          <w:rFonts w:cstheme="minorHAnsi"/>
          <w:b/>
          <w:noProof/>
        </w:rPr>
        <w:pict>
          <v:shapetype id="_x0000_t32" coordsize="21600,21600" o:spt="32" o:oned="t" path="m,l21600,21600e" filled="f">
            <v:path arrowok="t" fillok="f" o:connecttype="none"/>
            <o:lock v:ext="edit" shapetype="t"/>
          </v:shapetype>
          <v:shape id="AutoShape 3" o:spid="_x0000_s1026" type="#_x0000_t32" style="position:absolute;margin-left:-.75pt;margin-top:6.85pt;width:522.7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" strokecolor="blue" strokeweight="4.5pt"/>
        </w:pict>
      </w:r>
    </w:p>
    <w:p w:rsidR="0065710B" w:rsidRPr="0085295D" w:rsidRDefault="009630B9" w:rsidP="0065710B">
      <w:pPr>
        <w:tabs>
          <w:tab w:val="left" w:pos="1410"/>
        </w:tabs>
        <w:rPr>
          <w:rFonts w:cstheme="minorHAnsi"/>
        </w:rPr>
      </w:pPr>
      <w:r w:rsidRPr="0085295D">
        <w:rPr>
          <w:rFonts w:cstheme="minorHAnsi"/>
          <w:b/>
        </w:rPr>
        <w:t>Pays :</w:t>
      </w:r>
      <w:r w:rsidR="00E75675" w:rsidRPr="0085295D">
        <w:rPr>
          <w:rFonts w:cstheme="minorHAnsi"/>
        </w:rPr>
        <w:t>République Démocratique du Congo</w:t>
      </w:r>
      <w:r w:rsidR="00170915" w:rsidRPr="0085295D">
        <w:rPr>
          <w:rFonts w:cstheme="minorHAnsi"/>
        </w:rPr>
        <w:t xml:space="preserve">, Ville : </w:t>
      </w:r>
      <w:r w:rsidR="00170915" w:rsidRPr="0085295D">
        <w:rPr>
          <w:rFonts w:cstheme="minorHAnsi"/>
          <w:u w:val="single"/>
        </w:rPr>
        <w:t>Kinshasa</w:t>
      </w:r>
      <w:r w:rsidR="00863179" w:rsidRPr="0085295D">
        <w:rPr>
          <w:rFonts w:cstheme="minorHAnsi"/>
          <w:u w:val="single"/>
        </w:rPr>
        <w:t xml:space="preserve"> et Home based</w:t>
      </w:r>
    </w:p>
    <w:p w:rsidR="008800F4" w:rsidRPr="0085295D" w:rsidRDefault="009630B9" w:rsidP="000D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lang w:eastAsia="fr-FR"/>
        </w:rPr>
      </w:pPr>
      <w:r w:rsidRPr="0085295D">
        <w:rPr>
          <w:rFonts w:cstheme="minorHAnsi"/>
          <w:b/>
        </w:rPr>
        <w:t>Description de la mission</w:t>
      </w:r>
      <w:r w:rsidR="00164555" w:rsidRPr="0085295D">
        <w:rPr>
          <w:rFonts w:cstheme="minorHAnsi"/>
          <w:b/>
        </w:rPr>
        <w:t xml:space="preserve"> : </w:t>
      </w:r>
      <w:r w:rsidR="00526069" w:rsidRPr="0085295D">
        <w:rPr>
          <w:rFonts w:eastAsia="Times New Roman" w:cstheme="minorHAnsi"/>
          <w:lang w:eastAsia="fr-FR"/>
        </w:rPr>
        <w:t xml:space="preserve">Un(e) consultant(e) </w:t>
      </w:r>
      <w:r w:rsidR="00DD3375" w:rsidRPr="0085295D">
        <w:rPr>
          <w:rFonts w:eastAsia="Times New Roman" w:cstheme="minorHAnsi"/>
          <w:lang w:eastAsia="fr-FR"/>
        </w:rPr>
        <w:t xml:space="preserve">d´expertise </w:t>
      </w:r>
      <w:r w:rsidR="005A26AB" w:rsidRPr="0085295D">
        <w:rPr>
          <w:rFonts w:eastAsia="Times New Roman" w:cstheme="minorHAnsi"/>
          <w:lang w:eastAsia="fr-FR"/>
        </w:rPr>
        <w:t>international</w:t>
      </w:r>
      <w:r w:rsidR="00526069" w:rsidRPr="0085295D">
        <w:rPr>
          <w:rFonts w:eastAsia="Times New Roman" w:cstheme="minorHAnsi"/>
          <w:lang w:eastAsia="fr-FR"/>
        </w:rPr>
        <w:t xml:space="preserve"> (e) </w:t>
      </w:r>
      <w:r w:rsidR="004550BE" w:rsidRPr="0085295D">
        <w:rPr>
          <w:rFonts w:eastAsia="Times New Roman" w:cstheme="minorHAnsi"/>
          <w:lang w:eastAsia="fr-FR"/>
        </w:rPr>
        <w:t>chargé d’</w:t>
      </w:r>
      <w:r w:rsidR="00B46029" w:rsidRPr="0085295D">
        <w:rPr>
          <w:rFonts w:eastAsia="Times New Roman" w:cstheme="minorHAnsi"/>
          <w:lang w:eastAsia="fr-FR"/>
        </w:rPr>
        <w:t>Elaborer un nouveau Programme Conjoint Intégré Rule of Law du</w:t>
      </w:r>
      <w:r w:rsidR="004550BE" w:rsidRPr="0085295D">
        <w:rPr>
          <w:rFonts w:eastAsia="Times New Roman" w:cstheme="minorHAnsi"/>
          <w:lang w:eastAsia="fr-FR"/>
        </w:rPr>
        <w:t xml:space="preserve"> PNUD </w:t>
      </w:r>
      <w:r w:rsidR="00B46029" w:rsidRPr="0085295D">
        <w:rPr>
          <w:rFonts w:eastAsia="Times New Roman" w:cstheme="minorHAnsi"/>
          <w:lang w:eastAsia="fr-FR"/>
        </w:rPr>
        <w:t>en étroite consultation avec les sections de la Monusco (Justice Section Support, BCNUDH, UNPOL et Correction Unit).</w:t>
      </w:r>
    </w:p>
    <w:p w:rsidR="008800F4" w:rsidRPr="0085295D" w:rsidRDefault="008800F4" w:rsidP="00880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lang w:eastAsia="fr-FR"/>
        </w:rPr>
      </w:pPr>
    </w:p>
    <w:p w:rsidR="00D56C11" w:rsidRPr="0085295D" w:rsidRDefault="00D56C11" w:rsidP="00D56C11">
      <w:pPr>
        <w:tabs>
          <w:tab w:val="left" w:pos="1410"/>
        </w:tabs>
        <w:spacing w:after="0" w:line="240" w:lineRule="auto"/>
        <w:ind w:left="3600" w:hanging="3600"/>
        <w:jc w:val="both"/>
        <w:rPr>
          <w:rFonts w:cstheme="minorHAnsi"/>
        </w:rPr>
      </w:pPr>
      <w:r w:rsidRPr="0085295D">
        <w:rPr>
          <w:rFonts w:cstheme="minorHAnsi"/>
          <w:b/>
        </w:rPr>
        <w:t>Niveau de poste et d’expérience :</w:t>
      </w:r>
      <w:r w:rsidRPr="0085295D">
        <w:rPr>
          <w:rFonts w:cstheme="minorHAnsi"/>
        </w:rPr>
        <w:t xml:space="preserve"> Consultance, </w:t>
      </w:r>
      <w:r w:rsidR="005A26AB" w:rsidRPr="0085295D">
        <w:rPr>
          <w:rFonts w:cstheme="minorHAnsi"/>
        </w:rPr>
        <w:t>inter</w:t>
      </w:r>
      <w:r w:rsidR="00E94CCB" w:rsidRPr="0085295D">
        <w:rPr>
          <w:rFonts w:cstheme="minorHAnsi"/>
        </w:rPr>
        <w:t>n</w:t>
      </w:r>
      <w:r w:rsidRPr="0085295D">
        <w:rPr>
          <w:rFonts w:cstheme="minorHAnsi"/>
        </w:rPr>
        <w:t>ational</w:t>
      </w:r>
    </w:p>
    <w:p w:rsidR="00D56C11" w:rsidRPr="0085295D" w:rsidRDefault="00D56C11" w:rsidP="00D56C11">
      <w:pPr>
        <w:tabs>
          <w:tab w:val="left" w:pos="1410"/>
        </w:tabs>
        <w:spacing w:after="0" w:line="240" w:lineRule="auto"/>
        <w:ind w:left="3600" w:hanging="3600"/>
        <w:jc w:val="both"/>
        <w:rPr>
          <w:rFonts w:cstheme="minorHAnsi"/>
        </w:rPr>
      </w:pPr>
    </w:p>
    <w:p w:rsidR="0065710B" w:rsidRPr="0085295D" w:rsidRDefault="009630B9" w:rsidP="0065710B">
      <w:pPr>
        <w:tabs>
          <w:tab w:val="left" w:pos="1410"/>
        </w:tabs>
        <w:rPr>
          <w:rFonts w:cstheme="minorHAnsi"/>
          <w:b/>
        </w:rPr>
      </w:pPr>
      <w:r w:rsidRPr="0085295D">
        <w:rPr>
          <w:rFonts w:cstheme="minorHAnsi"/>
          <w:b/>
        </w:rPr>
        <w:t xml:space="preserve">Intitulé du projet </w:t>
      </w:r>
      <w:r w:rsidR="0065710B" w:rsidRPr="0085295D">
        <w:rPr>
          <w:rFonts w:cstheme="minorHAnsi"/>
          <w:b/>
        </w:rPr>
        <w:t>:</w:t>
      </w:r>
      <w:r w:rsidR="004550BE" w:rsidRPr="0085295D">
        <w:rPr>
          <w:rFonts w:cstheme="minorHAnsi"/>
        </w:rPr>
        <w:t>Programme</w:t>
      </w:r>
      <w:r w:rsidR="00E72E1D" w:rsidRPr="0085295D">
        <w:rPr>
          <w:rFonts w:cstheme="minorHAnsi"/>
        </w:rPr>
        <w:t> « </w:t>
      </w:r>
      <w:r w:rsidR="00B46029" w:rsidRPr="0085295D">
        <w:rPr>
          <w:rFonts w:cstheme="minorHAnsi"/>
        </w:rPr>
        <w:t>CPRD</w:t>
      </w:r>
      <w:r w:rsidR="00E72E1D" w:rsidRPr="0085295D">
        <w:rPr>
          <w:rFonts w:cstheme="minorHAnsi"/>
        </w:rPr>
        <w:t> »</w:t>
      </w:r>
    </w:p>
    <w:p w:rsidR="00D56C11" w:rsidRPr="0085295D" w:rsidRDefault="009630B9" w:rsidP="00D56C11">
      <w:pPr>
        <w:tabs>
          <w:tab w:val="left" w:pos="1410"/>
        </w:tabs>
        <w:rPr>
          <w:rFonts w:cstheme="minorHAnsi"/>
        </w:rPr>
      </w:pPr>
      <w:r w:rsidRPr="0085295D">
        <w:rPr>
          <w:rFonts w:cstheme="minorHAnsi"/>
          <w:b/>
        </w:rPr>
        <w:t xml:space="preserve">Durée de la </w:t>
      </w:r>
      <w:r w:rsidR="00164555" w:rsidRPr="0085295D">
        <w:rPr>
          <w:rFonts w:cstheme="minorHAnsi"/>
          <w:b/>
        </w:rPr>
        <w:t xml:space="preserve">mission : </w:t>
      </w:r>
      <w:r w:rsidR="00FC3982" w:rsidRPr="0085295D">
        <w:rPr>
          <w:rFonts w:cstheme="minorHAnsi"/>
        </w:rPr>
        <w:t xml:space="preserve">35 </w:t>
      </w:r>
      <w:r w:rsidR="00526069" w:rsidRPr="0085295D">
        <w:rPr>
          <w:rFonts w:cstheme="minorHAnsi"/>
        </w:rPr>
        <w:t xml:space="preserve">jours </w:t>
      </w:r>
      <w:r w:rsidR="00FC3982" w:rsidRPr="0085295D">
        <w:rPr>
          <w:rFonts w:cstheme="minorHAnsi"/>
        </w:rPr>
        <w:t xml:space="preserve">ouvrables </w:t>
      </w:r>
      <w:r w:rsidR="00863179" w:rsidRPr="0085295D">
        <w:rPr>
          <w:rFonts w:cstheme="minorHAnsi"/>
        </w:rPr>
        <w:t>étalés sur une période de 2 mois et demi (</w:t>
      </w:r>
      <w:r w:rsidR="0058251A" w:rsidRPr="0085295D">
        <w:rPr>
          <w:rFonts w:cstheme="minorHAnsi"/>
        </w:rPr>
        <w:t xml:space="preserve">avec deux semaines en mission en RDC à Kinshasa et le reste des </w:t>
      </w:r>
      <w:r w:rsidR="00863179" w:rsidRPr="0085295D">
        <w:rPr>
          <w:rFonts w:cstheme="minorHAnsi"/>
        </w:rPr>
        <w:t xml:space="preserve"> jours en Home based</w:t>
      </w:r>
      <w:r w:rsidR="0058251A" w:rsidRPr="0085295D">
        <w:rPr>
          <w:rFonts w:cstheme="minorHAnsi"/>
        </w:rPr>
        <w:t>)</w:t>
      </w:r>
      <w:r w:rsidR="00863179" w:rsidRPr="0085295D">
        <w:rPr>
          <w:rFonts w:cstheme="minorHAnsi"/>
        </w:rPr>
        <w:t>; la mission est prévue de demarrer au mois de févier 2020.</w:t>
      </w:r>
    </w:p>
    <w:p w:rsidR="00D56C11" w:rsidRPr="0085295D" w:rsidRDefault="00D56C11" w:rsidP="00D56C11">
      <w:pPr>
        <w:spacing w:after="0" w:line="240" w:lineRule="auto"/>
        <w:jc w:val="both"/>
        <w:rPr>
          <w:rFonts w:eastAsia="Times New Roman" w:cstheme="minorHAnsi"/>
          <w:b/>
          <w:lang w:eastAsia="rw-RW"/>
        </w:rPr>
      </w:pPr>
      <w:r w:rsidRPr="0085295D">
        <w:rPr>
          <w:rFonts w:eastAsia="Times New Roman" w:cstheme="minorHAnsi"/>
          <w:b/>
          <w:lang w:eastAsia="rw-RW"/>
        </w:rPr>
        <w:t>Prière envoyer vos propositions (proposition technique et</w:t>
      </w:r>
      <w:r w:rsidR="00337558" w:rsidRPr="0085295D">
        <w:rPr>
          <w:rFonts w:eastAsia="Times New Roman" w:cstheme="minorHAnsi"/>
          <w:b/>
          <w:lang w:eastAsia="rw-RW"/>
        </w:rPr>
        <w:t xml:space="preserve"> Lettre d´Offre avec une proposition</w:t>
      </w:r>
      <w:r w:rsidRPr="0085295D">
        <w:rPr>
          <w:rFonts w:eastAsia="Times New Roman" w:cstheme="minorHAnsi"/>
          <w:b/>
          <w:lang w:eastAsia="rw-RW"/>
        </w:rPr>
        <w:t xml:space="preserve"> financière) dûment signées à l’adresse e-mail </w:t>
      </w:r>
      <w:hyperlink r:id="rId12" w:history="1">
        <w:r w:rsidR="00F851BD" w:rsidRPr="00FE325E">
          <w:rPr>
            <w:rStyle w:val="Lienhypertexte"/>
            <w:rFonts w:eastAsia="Times New Roman" w:cstheme="minorHAnsi"/>
            <w:b/>
            <w:lang w:eastAsia="rw-RW"/>
          </w:rPr>
          <w:t>ic.soumission.cd@undp.org</w:t>
        </w:r>
      </w:hyperlink>
      <w:r w:rsidRPr="0085295D">
        <w:rPr>
          <w:rFonts w:eastAsia="Times New Roman" w:cstheme="minorHAnsi"/>
          <w:b/>
          <w:lang w:eastAsia="rw-RW"/>
        </w:rPr>
        <w:t xml:space="preserve">avec mention de la référence et intitulé du dossier. </w:t>
      </w:r>
    </w:p>
    <w:p w:rsidR="00D56C11" w:rsidRPr="0085295D" w:rsidRDefault="00D56C11" w:rsidP="00D56C11">
      <w:pPr>
        <w:spacing w:after="0" w:line="240" w:lineRule="auto"/>
        <w:jc w:val="both"/>
        <w:rPr>
          <w:rFonts w:cstheme="minorHAnsi"/>
          <w:b/>
        </w:rPr>
      </w:pPr>
    </w:p>
    <w:p w:rsidR="002E6AFF" w:rsidRPr="0085295D" w:rsidRDefault="00D56C11" w:rsidP="002E6AFF">
      <w:pPr>
        <w:spacing w:after="0" w:line="240" w:lineRule="auto"/>
        <w:jc w:val="both"/>
        <w:rPr>
          <w:rFonts w:cstheme="minorHAnsi"/>
          <w:b/>
        </w:rPr>
      </w:pPr>
      <w:bookmarkStart w:id="1" w:name="_Hlk29370413"/>
      <w:r w:rsidRPr="0085295D">
        <w:rPr>
          <w:rFonts w:cstheme="minorHAnsi"/>
          <w:b/>
        </w:rPr>
        <w:t xml:space="preserve">Votre proposition devra être reçue au plus tard </w:t>
      </w:r>
      <w:r w:rsidRPr="0085295D">
        <w:rPr>
          <w:rFonts w:cstheme="minorHAnsi"/>
          <w:b/>
          <w:u w:val="single"/>
        </w:rPr>
        <w:t>le</w:t>
      </w:r>
      <w:r w:rsidR="003445D9" w:rsidRPr="0085295D">
        <w:rPr>
          <w:rFonts w:cstheme="minorHAnsi"/>
          <w:b/>
          <w:u w:val="single"/>
        </w:rPr>
        <w:t>jeu</w:t>
      </w:r>
      <w:r w:rsidR="002C52C5" w:rsidRPr="0085295D">
        <w:rPr>
          <w:rFonts w:cstheme="minorHAnsi"/>
          <w:b/>
          <w:u w:val="single"/>
        </w:rPr>
        <w:t>di</w:t>
      </w:r>
      <w:r w:rsidR="003445D9" w:rsidRPr="0085295D">
        <w:rPr>
          <w:rFonts w:cstheme="minorHAnsi"/>
          <w:b/>
          <w:u w:val="single"/>
        </w:rPr>
        <w:t>23</w:t>
      </w:r>
      <w:r w:rsidR="002C52C5" w:rsidRPr="0085295D">
        <w:rPr>
          <w:rFonts w:cstheme="minorHAnsi"/>
          <w:b/>
          <w:u w:val="single"/>
        </w:rPr>
        <w:t>janvier2020</w:t>
      </w:r>
      <w:r w:rsidRPr="0085295D">
        <w:rPr>
          <w:rFonts w:cstheme="minorHAnsi"/>
          <w:b/>
          <w:u w:val="single"/>
        </w:rPr>
        <w:t xml:space="preserve"> à 1</w:t>
      </w:r>
      <w:r w:rsidR="005A26AB" w:rsidRPr="0085295D">
        <w:rPr>
          <w:rFonts w:cstheme="minorHAnsi"/>
          <w:b/>
          <w:u w:val="single"/>
        </w:rPr>
        <w:t>6</w:t>
      </w:r>
      <w:r w:rsidRPr="0085295D">
        <w:rPr>
          <w:rFonts w:cstheme="minorHAnsi"/>
          <w:b/>
          <w:u w:val="single"/>
        </w:rPr>
        <w:t xml:space="preserve"> heure</w:t>
      </w:r>
      <w:r w:rsidR="00526069" w:rsidRPr="0085295D">
        <w:rPr>
          <w:rFonts w:cstheme="minorHAnsi"/>
          <w:b/>
          <w:u w:val="single"/>
        </w:rPr>
        <w:t>s</w:t>
      </w:r>
      <w:r w:rsidRPr="0085295D">
        <w:rPr>
          <w:rFonts w:cstheme="minorHAnsi"/>
          <w:b/>
        </w:rPr>
        <w:t xml:space="preserve"> de </w:t>
      </w:r>
      <w:r w:rsidR="00170915" w:rsidRPr="0085295D">
        <w:rPr>
          <w:rFonts w:cstheme="minorHAnsi"/>
          <w:b/>
        </w:rPr>
        <w:t>Kinshasa</w:t>
      </w:r>
      <w:r w:rsidR="00722D7A" w:rsidRPr="0085295D">
        <w:rPr>
          <w:rFonts w:cstheme="minorHAnsi"/>
          <w:b/>
        </w:rPr>
        <w:t xml:space="preserve">. </w:t>
      </w:r>
      <w:r w:rsidR="002E6AFF" w:rsidRPr="0085295D">
        <w:rPr>
          <w:rStyle w:val="lev"/>
          <w:rFonts w:cstheme="minorHAnsi"/>
        </w:rPr>
        <w:t>Toute offre soumise après ce délai sera automatiquement rejetée.</w:t>
      </w:r>
    </w:p>
    <w:bookmarkEnd w:id="1"/>
    <w:p w:rsidR="00D56C11" w:rsidRPr="0085295D" w:rsidRDefault="00D56C11" w:rsidP="00D56C11">
      <w:pPr>
        <w:spacing w:after="0" w:line="240" w:lineRule="auto"/>
        <w:jc w:val="both"/>
        <w:rPr>
          <w:rFonts w:cstheme="minorHAnsi"/>
        </w:rPr>
      </w:pPr>
    </w:p>
    <w:p w:rsidR="00D56C11" w:rsidRPr="0085295D" w:rsidRDefault="00D56C11" w:rsidP="00D56C11">
      <w:pPr>
        <w:pStyle w:val="Retraitcorpsdetexte"/>
        <w:ind w:left="0"/>
        <w:jc w:val="both"/>
        <w:rPr>
          <w:rFonts w:asciiTheme="minorHAnsi" w:hAnsiTheme="minorHAnsi" w:cstheme="minorHAnsi"/>
          <w:sz w:val="22"/>
          <w:szCs w:val="22"/>
        </w:rPr>
      </w:pPr>
      <w:r w:rsidRPr="0085295D">
        <w:rPr>
          <w:rFonts w:asciiTheme="minorHAnsi" w:hAnsiTheme="minorHAnsi" w:cstheme="minorHAnsi"/>
          <w:sz w:val="22"/>
          <w:szCs w:val="22"/>
        </w:rPr>
        <w:t xml:space="preserve">N’hésitez pas à écrire à l’adresse </w:t>
      </w:r>
      <w:hyperlink r:id="rId13" w:history="1">
        <w:r w:rsidR="004B1614" w:rsidRPr="0085295D">
          <w:rPr>
            <w:rStyle w:val="Lienhypertexte"/>
            <w:rFonts w:asciiTheme="minorHAnsi" w:hAnsiTheme="minorHAnsi" w:cstheme="minorHAnsi"/>
            <w:color w:val="auto"/>
            <w:sz w:val="22"/>
            <w:szCs w:val="22"/>
          </w:rPr>
          <w:t>soumission.info@undp.org</w:t>
        </w:r>
      </w:hyperlink>
      <w:r w:rsidRPr="0085295D">
        <w:rPr>
          <w:rFonts w:asciiTheme="minorHAnsi" w:hAnsiTheme="minorHAnsi" w:cstheme="minorHAnsi"/>
          <w:sz w:val="22"/>
          <w:szCs w:val="22"/>
        </w:rPr>
        <w:t xml:space="preserve"> pour toute information complémentaire avant la date limite de dépôt des offres. </w:t>
      </w:r>
    </w:p>
    <w:p w:rsidR="00D56C11" w:rsidRPr="0085295D" w:rsidRDefault="00D56C11" w:rsidP="00D56C11">
      <w:pPr>
        <w:spacing w:after="0" w:line="240" w:lineRule="auto"/>
        <w:jc w:val="both"/>
        <w:rPr>
          <w:rFonts w:cstheme="minorHAnsi"/>
          <w:b/>
          <w:u w:val="single"/>
        </w:rPr>
      </w:pPr>
    </w:p>
    <w:p w:rsidR="00722D7A" w:rsidRPr="007A7882" w:rsidRDefault="00722D7A" w:rsidP="00722D7A">
      <w:pPr>
        <w:pStyle w:val="Retraitcorpsdetexte"/>
        <w:ind w:left="0"/>
        <w:jc w:val="both"/>
        <w:rPr>
          <w:rFonts w:asciiTheme="minorHAnsi" w:hAnsiTheme="minorHAnsi" w:cstheme="minorHAnsi"/>
          <w:b/>
          <w:color w:val="70AD47"/>
          <w:sz w:val="36"/>
          <w:szCs w:val="36"/>
          <w:u w:val="single"/>
        </w:rPr>
      </w:pPr>
      <w:r w:rsidRPr="007A7882">
        <w:rPr>
          <w:rFonts w:asciiTheme="minorHAnsi" w:hAnsiTheme="minorHAnsi" w:cstheme="minorHAnsi"/>
          <w:b/>
          <w:color w:val="70AD47"/>
          <w:sz w:val="36"/>
          <w:szCs w:val="36"/>
          <w:u w:val="single"/>
        </w:rPr>
        <w:t>Les candidatures féminines sont vivement encouragées.</w:t>
      </w:r>
    </w:p>
    <w:p w:rsidR="009E2B22" w:rsidRPr="0085295D" w:rsidRDefault="00724AD6" w:rsidP="009E2B22">
      <w:pPr>
        <w:tabs>
          <w:tab w:val="left" w:pos="1410"/>
        </w:tabs>
        <w:rPr>
          <w:rFonts w:cstheme="minorHAnsi"/>
        </w:rPr>
      </w:pPr>
      <w:r>
        <w:rPr>
          <w:rFonts w:cstheme="minorHAnsi"/>
          <w:noProof/>
        </w:rPr>
        <w:pict>
          <v:shape id="AutoShape 4" o:spid="_x0000_s1029" type="#_x0000_t32" style="position:absolute;margin-left:-.75pt;margin-top:8.55pt;width:522.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" strokecolor="blue" strokeweight="4.5pt"/>
        </w:pict>
      </w:r>
    </w:p>
    <w:p w:rsidR="001461D4" w:rsidRPr="0085295D" w:rsidRDefault="001461D4" w:rsidP="009E2B22">
      <w:pPr>
        <w:tabs>
          <w:tab w:val="left" w:pos="1410"/>
        </w:tabs>
        <w:rPr>
          <w:rFonts w:cstheme="minorHAnsi"/>
          <w:b/>
        </w:rPr>
      </w:pPr>
    </w:p>
    <w:p w:rsidR="00CA000E" w:rsidRPr="0085295D" w:rsidRDefault="00CA000E" w:rsidP="009E2B22">
      <w:pPr>
        <w:tabs>
          <w:tab w:val="left" w:pos="1410"/>
        </w:tabs>
        <w:rPr>
          <w:rFonts w:cstheme="minorHAnsi"/>
          <w:b/>
        </w:rPr>
      </w:pPr>
    </w:p>
    <w:p w:rsidR="00CA000E" w:rsidRPr="0085295D" w:rsidRDefault="00CA000E" w:rsidP="009E2B22">
      <w:pPr>
        <w:tabs>
          <w:tab w:val="left" w:pos="1410"/>
        </w:tabs>
        <w:rPr>
          <w:rFonts w:cstheme="minorHAnsi"/>
          <w:b/>
        </w:rPr>
      </w:pPr>
    </w:p>
    <w:p w:rsidR="001461D4" w:rsidRPr="0085295D" w:rsidRDefault="001461D4" w:rsidP="009E2B22">
      <w:pPr>
        <w:tabs>
          <w:tab w:val="left" w:pos="1410"/>
        </w:tabs>
        <w:rPr>
          <w:rFonts w:cstheme="minorHAnsi"/>
          <w:b/>
        </w:rPr>
      </w:pPr>
    </w:p>
    <w:p w:rsidR="009E2B22" w:rsidRPr="0085295D" w:rsidRDefault="009E2B22" w:rsidP="009E2B22">
      <w:pPr>
        <w:tabs>
          <w:tab w:val="left" w:pos="1410"/>
        </w:tabs>
        <w:rPr>
          <w:rFonts w:cstheme="minorHAnsi"/>
          <w:b/>
        </w:rPr>
      </w:pPr>
      <w:r w:rsidRPr="0085295D">
        <w:rPr>
          <w:rFonts w:cstheme="minorHAnsi"/>
          <w:b/>
        </w:rPr>
        <w:lastRenderedPageBreak/>
        <w:t xml:space="preserve">1. </w:t>
      </w:r>
      <w:r w:rsidR="00213A46" w:rsidRPr="0085295D">
        <w:rPr>
          <w:rFonts w:cstheme="minorHAnsi"/>
          <w:b/>
        </w:rPr>
        <w:t>Contexte</w:t>
      </w:r>
      <w:r w:rsidR="001461D4" w:rsidRPr="0085295D">
        <w:rPr>
          <w:rFonts w:cstheme="minorHAnsi"/>
          <w:b/>
        </w:rPr>
        <w:t xml:space="preserve"> et justification</w:t>
      </w:r>
      <w:r w:rsidR="00AC6EA2" w:rsidRPr="0085295D">
        <w:rPr>
          <w:rFonts w:cstheme="minorHAnsi"/>
          <w:b/>
        </w:rPr>
        <w:t>:</w:t>
      </w:r>
    </w:p>
    <w:tbl>
      <w:tblPr>
        <w:tblStyle w:val="Grilledutableau"/>
        <w:tblW w:w="0" w:type="auto"/>
        <w:tblLook w:val="04A0"/>
      </w:tblPr>
      <w:tblGrid>
        <w:gridCol w:w="9350"/>
      </w:tblGrid>
      <w:tr w:rsidR="002A57CC" w:rsidRPr="0085295D" w:rsidTr="00174B83">
        <w:tc>
          <w:tcPr>
            <w:tcW w:w="9350" w:type="dxa"/>
          </w:tcPr>
          <w:p w:rsidR="000939DA" w:rsidRPr="0085295D" w:rsidRDefault="000939DA" w:rsidP="000939DA">
            <w:pPr>
              <w:spacing w:line="276" w:lineRule="auto"/>
              <w:jc w:val="both"/>
              <w:rPr>
                <w:rFonts w:eastAsiaTheme="minorEastAsia" w:cstheme="minorHAnsi"/>
                <w:lang w:val="fr-CH"/>
              </w:rPr>
            </w:pPr>
            <w:r w:rsidRPr="0085295D">
              <w:rPr>
                <w:rFonts w:eastAsiaTheme="minorEastAsia" w:cstheme="minorHAnsi"/>
                <w:lang w:val="fr-CH"/>
              </w:rPr>
              <w:t>Deuxième pays africain en superficie, avec une population estimée à plus de 80 millions d'habitants et disposant d'un potentiel exceptionnel en ressources naturelles, la République Démocratique du Congo, sortie il y a quelques années d'un long conflit armé, demeure à ce jour un Etat fragile.</w:t>
            </w:r>
            <w:r w:rsidRPr="0085295D">
              <w:rPr>
                <w:rStyle w:val="Appelnotedebasdep"/>
                <w:rFonts w:eastAsiaTheme="minorEastAsia" w:cstheme="minorHAnsi"/>
                <w:lang w:val="fr-CH"/>
              </w:rPr>
              <w:footnoteReference w:id="2"/>
            </w:r>
            <w:r w:rsidRPr="0085295D">
              <w:rPr>
                <w:rFonts w:eastAsiaTheme="minorEastAsia" w:cstheme="minorHAnsi"/>
                <w:lang w:val="fr-CH"/>
              </w:rPr>
              <w:t xml:space="preserve"> Les causes sont notamment le patrimonialisme, la fragmentation et polarisation des identités, une population frappée par l’extrême pauvreté et un difficile accès aux ressources naturelles. </w:t>
            </w:r>
          </w:p>
          <w:p w:rsidR="000939DA" w:rsidRPr="0085295D" w:rsidRDefault="000939DA" w:rsidP="000939DA">
            <w:pPr>
              <w:spacing w:line="276" w:lineRule="auto"/>
              <w:jc w:val="both"/>
              <w:rPr>
                <w:rFonts w:eastAsiaTheme="minorEastAsia" w:cstheme="minorHAnsi"/>
                <w:lang w:val="fr-CH"/>
              </w:rPr>
            </w:pPr>
          </w:p>
          <w:p w:rsidR="000939DA" w:rsidRPr="0085295D" w:rsidRDefault="000939DA" w:rsidP="000939DA">
            <w:pPr>
              <w:spacing w:line="276" w:lineRule="auto"/>
              <w:jc w:val="both"/>
              <w:rPr>
                <w:rFonts w:eastAsiaTheme="minorEastAsia" w:cstheme="minorHAnsi"/>
                <w:lang w:val="fr-CH"/>
              </w:rPr>
            </w:pPr>
            <w:r w:rsidRPr="0085295D">
              <w:rPr>
                <w:rFonts w:eastAsiaTheme="minorEastAsia" w:cstheme="minorHAnsi"/>
                <w:lang w:val="fr-CH"/>
              </w:rPr>
              <w:t>Selon le Rapport final du Groupe d’experts sur l’exploitation illégale des ressources naturelles, la très grande majorité de la population ne tire aucun bénéfice des innombrables ressources naturelles du pays, pillées par divers groupes criminels.  Dès lors, l’on constate sur le terrain d’importantes violations des droits humains et de crimes internationaux dont des milliers de Congolais sont actuellement les victimes directes.</w:t>
            </w:r>
          </w:p>
          <w:p w:rsidR="000939DA" w:rsidRPr="0085295D" w:rsidRDefault="000939DA" w:rsidP="000939DA">
            <w:pPr>
              <w:spacing w:line="276" w:lineRule="auto"/>
              <w:jc w:val="both"/>
              <w:rPr>
                <w:rFonts w:eastAsiaTheme="minorEastAsia" w:cstheme="minorHAnsi"/>
                <w:lang w:val="fr-CH"/>
              </w:rPr>
            </w:pPr>
          </w:p>
          <w:p w:rsidR="000939DA" w:rsidRPr="0085295D" w:rsidRDefault="000939DA" w:rsidP="000939DA">
            <w:pPr>
              <w:spacing w:line="276" w:lineRule="auto"/>
              <w:jc w:val="both"/>
              <w:rPr>
                <w:rFonts w:cstheme="minorHAnsi"/>
                <w:b/>
              </w:rPr>
            </w:pPr>
            <w:r w:rsidRPr="0085295D">
              <w:rPr>
                <w:rFonts w:cstheme="minorHAnsi"/>
                <w:lang w:val="fr-CH"/>
              </w:rPr>
              <w:t>Or, l</w:t>
            </w:r>
            <w:r w:rsidRPr="0085295D">
              <w:rPr>
                <w:rFonts w:cstheme="minorHAnsi"/>
              </w:rPr>
              <w:t>a Constitution du 18 février 2006 entend ériger la RDC en tant « Etat de droit…démocratique </w:t>
            </w:r>
            <w:r w:rsidRPr="0085295D">
              <w:rPr>
                <w:rFonts w:cstheme="minorHAnsi"/>
                <w:vertAlign w:val="superscript"/>
              </w:rPr>
              <w:footnoteReference w:id="3"/>
            </w:r>
            <w:r w:rsidRPr="0085295D">
              <w:rPr>
                <w:rFonts w:cstheme="minorHAnsi"/>
              </w:rPr>
              <w:t> », respectueux des droits de l’homme tant civils que politiques, économiques, sociaux et culturels</w:t>
            </w:r>
            <w:r w:rsidRPr="0085295D">
              <w:rPr>
                <w:rFonts w:cstheme="minorHAnsi"/>
                <w:vertAlign w:val="superscript"/>
              </w:rPr>
              <w:footnoteReference w:id="4"/>
            </w:r>
            <w:r w:rsidRPr="0085295D">
              <w:rPr>
                <w:rFonts w:cstheme="minorHAnsi"/>
              </w:rPr>
              <w:t xml:space="preserve">. Elle prévoit une restructuration de l'ensemble du système judiciaire à travers : </w:t>
            </w:r>
          </w:p>
          <w:p w:rsidR="000939DA" w:rsidRPr="0085295D" w:rsidRDefault="000939DA" w:rsidP="000939DA">
            <w:pPr>
              <w:numPr>
                <w:ilvl w:val="0"/>
                <w:numId w:val="30"/>
              </w:numPr>
              <w:spacing w:line="276" w:lineRule="auto"/>
              <w:jc w:val="both"/>
              <w:rPr>
                <w:rFonts w:cstheme="minorHAnsi"/>
              </w:rPr>
            </w:pPr>
            <w:r w:rsidRPr="0085295D">
              <w:rPr>
                <w:rFonts w:cstheme="minorHAnsi"/>
              </w:rPr>
              <w:t>La création de deux ordres de juridictions (judiciaires et administratifs) et d’une Cour Constitutionnelle (articles 149, 153, 154, 155, 157 et 158) ;</w:t>
            </w:r>
          </w:p>
          <w:p w:rsidR="000939DA" w:rsidRPr="0085295D" w:rsidRDefault="000939DA" w:rsidP="000939DA">
            <w:pPr>
              <w:numPr>
                <w:ilvl w:val="0"/>
                <w:numId w:val="30"/>
              </w:numPr>
              <w:spacing w:line="276" w:lineRule="auto"/>
              <w:jc w:val="both"/>
              <w:rPr>
                <w:rFonts w:cstheme="minorHAnsi"/>
              </w:rPr>
            </w:pPr>
            <w:r w:rsidRPr="0085295D">
              <w:rPr>
                <w:rFonts w:cstheme="minorHAnsi"/>
              </w:rPr>
              <w:t>L'inclusion des juridictions militaires dans l’ordre judiciaire, sous la supervision de la Cour de Cassation (art. 153) ;</w:t>
            </w:r>
          </w:p>
          <w:p w:rsidR="000939DA" w:rsidRPr="0085295D" w:rsidRDefault="000939DA" w:rsidP="000939DA">
            <w:pPr>
              <w:numPr>
                <w:ilvl w:val="0"/>
                <w:numId w:val="30"/>
              </w:numPr>
              <w:spacing w:line="276" w:lineRule="auto"/>
              <w:jc w:val="both"/>
              <w:rPr>
                <w:rFonts w:cstheme="minorHAnsi"/>
              </w:rPr>
            </w:pPr>
            <w:r w:rsidRPr="0085295D">
              <w:rPr>
                <w:rFonts w:cstheme="minorHAnsi"/>
              </w:rPr>
              <w:t>L'affirmation du principe de l’indépendance de la magistrature confortée par la consécration de l’inamovibilité des magistrats, qui trouve son expression dans le statut des magistrats et par l’institution du Conseil supérieur de la magistrature (art. 152) ;</w:t>
            </w:r>
          </w:p>
          <w:p w:rsidR="000939DA" w:rsidRPr="0085295D" w:rsidRDefault="000939DA" w:rsidP="000939DA">
            <w:pPr>
              <w:numPr>
                <w:ilvl w:val="0"/>
                <w:numId w:val="30"/>
              </w:numPr>
              <w:spacing w:line="276" w:lineRule="auto"/>
              <w:jc w:val="both"/>
              <w:rPr>
                <w:rFonts w:cstheme="minorHAnsi"/>
              </w:rPr>
            </w:pPr>
            <w:r w:rsidRPr="0085295D">
              <w:rPr>
                <w:rFonts w:cstheme="minorHAnsi"/>
              </w:rPr>
              <w:t>La compétence concurrente entre le pouvoir central et les provinces, notamment en ce qui concerne l’administration des cours et tribunaux, des maisons d’arrêts et de correction et des prisons (art 203 alinéa 5).</w:t>
            </w:r>
          </w:p>
          <w:p w:rsidR="000939DA" w:rsidRPr="0085295D" w:rsidRDefault="000939DA" w:rsidP="000939DA">
            <w:pPr>
              <w:spacing w:line="276" w:lineRule="auto"/>
              <w:jc w:val="both"/>
              <w:rPr>
                <w:rFonts w:cstheme="minorHAnsi"/>
              </w:rPr>
            </w:pPr>
          </w:p>
          <w:p w:rsidR="000939DA" w:rsidRPr="0085295D" w:rsidRDefault="000939DA" w:rsidP="000939DA">
            <w:pPr>
              <w:spacing w:line="276" w:lineRule="auto"/>
              <w:jc w:val="both"/>
              <w:rPr>
                <w:rFonts w:cstheme="minorHAnsi"/>
              </w:rPr>
            </w:pPr>
            <w:r w:rsidRPr="0085295D">
              <w:rPr>
                <w:rFonts w:cstheme="minorHAnsi"/>
              </w:rPr>
              <w:t xml:space="preserve">Dans cette aspiration à faire de la RDC un Etat de droit et démocratique assis sur une justice équitable et respectueuse des droits et facteurs de développement humain durable, le pays s’est doté en 2006, du premier document de la stratégie de croissance et de réduction de la pauvreté reflétant cet engagement en prévoyant, dans le chapitre sur la gouvernance administrative, de réformer le secteur de la Justice. </w:t>
            </w:r>
          </w:p>
          <w:p w:rsidR="000939DA" w:rsidRPr="0085295D" w:rsidRDefault="000939DA" w:rsidP="000939DA">
            <w:pPr>
              <w:spacing w:line="276" w:lineRule="auto"/>
              <w:ind w:left="360"/>
              <w:contextualSpacing/>
              <w:rPr>
                <w:rFonts w:cstheme="minorHAnsi"/>
              </w:rPr>
            </w:pPr>
          </w:p>
          <w:p w:rsidR="000939DA" w:rsidRPr="0085295D" w:rsidRDefault="000939DA" w:rsidP="000939DA">
            <w:pPr>
              <w:spacing w:line="276" w:lineRule="auto"/>
              <w:jc w:val="both"/>
              <w:rPr>
                <w:rFonts w:cstheme="minorHAnsi"/>
              </w:rPr>
            </w:pPr>
            <w:r w:rsidRPr="0085295D">
              <w:rPr>
                <w:rFonts w:cstheme="minorHAnsi"/>
              </w:rPr>
              <w:t xml:space="preserve">Aussi, dans la suite de ces efforts d’asseoir l’Etat de droit sur la justice, en 2007, le Ministère de la </w:t>
            </w:r>
            <w:r w:rsidRPr="0085295D">
              <w:rPr>
                <w:rFonts w:cstheme="minorHAnsi"/>
              </w:rPr>
              <w:lastRenderedPageBreak/>
              <w:t xml:space="preserve">Justice s’est doté d’un plan d’actions (2007 -2012) pour la réforme de la Justice élaboré sur base du rapport d’Audit organisationnel du secteur de la Justice réalisé en 2004. </w:t>
            </w:r>
          </w:p>
          <w:p w:rsidR="000939DA" w:rsidRPr="0085295D" w:rsidRDefault="000939DA" w:rsidP="000939DA">
            <w:pPr>
              <w:spacing w:line="276" w:lineRule="auto"/>
              <w:jc w:val="both"/>
              <w:rPr>
                <w:rFonts w:cstheme="minorHAnsi"/>
              </w:rPr>
            </w:pPr>
          </w:p>
          <w:p w:rsidR="000939DA" w:rsidRPr="0085295D" w:rsidRDefault="000939DA" w:rsidP="000939DA">
            <w:pPr>
              <w:spacing w:line="276" w:lineRule="auto"/>
              <w:jc w:val="both"/>
              <w:rPr>
                <w:rFonts w:cstheme="minorHAnsi"/>
              </w:rPr>
            </w:pPr>
            <w:r w:rsidRPr="0085295D">
              <w:rPr>
                <w:rFonts w:cstheme="minorHAnsi"/>
              </w:rPr>
              <w:t xml:space="preserve">Par ailleurs, l’année 2015 a été marquée par la tenue des Etats Généraux de la Justice (EGJ) qui ont rassemblé près de 300 acteurs judiciaires. </w:t>
            </w:r>
            <w:r w:rsidRPr="0085295D">
              <w:rPr>
                <w:rFonts w:cstheme="minorHAnsi"/>
                <w:lang w:val="fr-CH"/>
              </w:rPr>
              <w:t>Organisés pour la première fois depuis 1996, avec le soutien notamment du PNUD, de la MONUSCO et de l’Union Européenne, les Etats Généraux, ont</w:t>
            </w:r>
            <w:r w:rsidRPr="0085295D">
              <w:rPr>
                <w:rFonts w:cstheme="minorHAnsi"/>
              </w:rPr>
              <w:t xml:space="preserve"> permis de formuler près de 350 recommandations sur la base desquelles une nouvelle Politique Nationale de Réforme de la Justice (PNRJ) 2017-2026 et un Plan d’Actions Prioritaires « PAP » ont été élaborés et validés. </w:t>
            </w:r>
          </w:p>
          <w:p w:rsidR="000939DA" w:rsidRPr="0085295D" w:rsidRDefault="000939DA" w:rsidP="000939DA">
            <w:pPr>
              <w:spacing w:line="276" w:lineRule="auto"/>
              <w:jc w:val="both"/>
              <w:rPr>
                <w:rFonts w:cstheme="minorHAnsi"/>
              </w:rPr>
            </w:pPr>
            <w:r w:rsidRPr="0085295D">
              <w:rPr>
                <w:rFonts w:cstheme="minorHAnsi"/>
                <w:lang w:val="fr-CH"/>
              </w:rPr>
              <w:t xml:space="preserve">Le secteur de la Justice est appuyé par un groupe relativement restreint de Partenaires Techniques et Financiers (PTF) à savoir les Etats-Unis, la France, la Suède, l’Union européenne, le PNUD et la MONUSCO. Le cadre de coordination des PTF avec les autorités nationales se fait au sein des Groupes Thématiques Justice et Droit humains (national et provinciaux). </w:t>
            </w:r>
          </w:p>
          <w:p w:rsidR="000939DA" w:rsidRPr="0085295D" w:rsidRDefault="000939DA" w:rsidP="000939DA">
            <w:pPr>
              <w:spacing w:line="276" w:lineRule="auto"/>
              <w:jc w:val="both"/>
              <w:rPr>
                <w:rFonts w:cstheme="minorHAnsi"/>
              </w:rPr>
            </w:pPr>
            <w:r w:rsidRPr="0085295D">
              <w:rPr>
                <w:rFonts w:cstheme="minorHAnsi"/>
              </w:rPr>
              <w:t xml:space="preserve">Le Programme des Nations Unies pour le Développement intervient activement dans le secteur de la Justice dans l’appui institutionnel au Ministère national de la Justice et au Conseil Supérieur de la Magistrature tant pour la conduite de la reforme que pour la bonne administration de la justice par les cours et tribunaux. Les interventions du PNUD se traduisent également par l’appui à la chaine pénale, mais également dans la lutte contre l’impunité des crimes contre la paix et la sécurité de l’humanité en travaillant tant sur l’offre que la demande de justice.  Il en est de même du secteur où le PNUD a eu à mettre en œuvre des projets d’appui à la police. Ces interventions sont menées dans les provinces du Nord Kivu, Sud Kivu, Ex-Province Orientale, Haut Katanga et le Kasaï central avec l’appui financier de l’Union européenne, de BBPS et des fonds programmatiques de la MONUSCO.  </w:t>
            </w:r>
          </w:p>
          <w:p w:rsidR="000939DA" w:rsidRPr="0085295D" w:rsidRDefault="000939DA" w:rsidP="000939DA">
            <w:pPr>
              <w:spacing w:line="276" w:lineRule="auto"/>
              <w:jc w:val="both"/>
              <w:rPr>
                <w:rFonts w:cstheme="minorHAnsi"/>
              </w:rPr>
            </w:pPr>
          </w:p>
          <w:p w:rsidR="000939DA" w:rsidRPr="0085295D" w:rsidRDefault="000939DA" w:rsidP="000939DA">
            <w:pPr>
              <w:spacing w:line="276" w:lineRule="auto"/>
              <w:jc w:val="both"/>
              <w:rPr>
                <w:rFonts w:cstheme="minorHAnsi"/>
              </w:rPr>
            </w:pPr>
            <w:r w:rsidRPr="0085295D">
              <w:rPr>
                <w:rFonts w:cstheme="minorHAnsi"/>
              </w:rPr>
              <w:t>Cependant, à la suite des tensions politiques en RDC depuis 2015 et une répression croissante conduisant à une restriction de l’espace démocratique, certains Partenaires Techniques et Financiers, dont l’Union européenne, ont décidé depuis 2016 de suspendre toute nouvelle intervention concernant les programmes d’appui institutionnel dans le secteur de la justice et de la sécurité. Pourtant, les besoins sont toujours aussi importants et le Conseil de sécurité a donné, à nouveau, mandat à la MONUSCO par sa résolution 2409 de : « </w:t>
            </w:r>
            <w:r w:rsidRPr="0085295D">
              <w:rPr>
                <w:rFonts w:cstheme="minorHAnsi"/>
                <w:i/>
              </w:rPr>
              <w:t>travailler de concert avec les autorités de la République démocratique du Congo, en tirant parti des capacités et des compétences techniques de la police des Nations Unies en matière d’investigation, afin d’arrêter et de traduire en justice tous ceux qui sont présumés coupables de génocide, de crimes de guerre et de crimes contre l’humanité, de violations du droit international humanitaire et de violations des droits de l’homme ou d’atteintes à ces droits dans le pays, notamment en coopérant avec les États de la région et la CPI </w:t>
            </w:r>
            <w:r w:rsidRPr="0085295D">
              <w:rPr>
                <w:rStyle w:val="Appelnotedebasdep"/>
                <w:rFonts w:cstheme="minorHAnsi"/>
                <w:i/>
              </w:rPr>
              <w:footnoteReference w:id="5"/>
            </w:r>
            <w:r w:rsidRPr="0085295D">
              <w:rPr>
                <w:rFonts w:cstheme="minorHAnsi"/>
              </w:rPr>
              <w:t>».</w:t>
            </w:r>
          </w:p>
          <w:p w:rsidR="000939DA" w:rsidRPr="0085295D" w:rsidRDefault="000939DA" w:rsidP="000939DA">
            <w:pPr>
              <w:spacing w:line="276" w:lineRule="auto"/>
              <w:jc w:val="both"/>
              <w:rPr>
                <w:rFonts w:cstheme="minorHAnsi"/>
              </w:rPr>
            </w:pPr>
          </w:p>
          <w:p w:rsidR="000939DA" w:rsidRPr="0085295D" w:rsidRDefault="000939DA" w:rsidP="000939DA">
            <w:pPr>
              <w:spacing w:line="276" w:lineRule="auto"/>
              <w:jc w:val="both"/>
              <w:rPr>
                <w:rFonts w:cstheme="minorHAnsi"/>
              </w:rPr>
            </w:pPr>
            <w:r w:rsidRPr="0085295D">
              <w:rPr>
                <w:rFonts w:cstheme="minorHAnsi"/>
              </w:rPr>
              <w:t xml:space="preserve">Face à ce constat et dans la perspective des changements intervenus après les élections du 23 </w:t>
            </w:r>
            <w:r w:rsidRPr="0085295D">
              <w:rPr>
                <w:rFonts w:cstheme="minorHAnsi"/>
              </w:rPr>
              <w:lastRenderedPageBreak/>
              <w:t xml:space="preserve">décembre 2018, ainsi que du désengagement futur de la Monusco, il est indispensable que le PNUD anticipe afin d’élaborer un programme intégré Rule of Law qui intègre à la fois les aspects de  Justice et de la sécurité pour les cinq prochaines années en capitalisant sur les résultats engrangés dans le cadre de ses différents projets mis en œuvre seul ou conjointement avec d’autres agences et sections de la Monusco. </w:t>
            </w:r>
          </w:p>
          <w:p w:rsidR="000939DA" w:rsidRPr="0085295D" w:rsidRDefault="000939DA" w:rsidP="000939DA">
            <w:pPr>
              <w:rPr>
                <w:rFonts w:cstheme="minorHAnsi"/>
                <w:lang w:val="fr-CD" w:eastAsia="fr-CD"/>
              </w:rPr>
            </w:pPr>
            <w:r w:rsidRPr="0085295D">
              <w:rPr>
                <w:rFonts w:cstheme="minorHAnsi"/>
              </w:rPr>
              <w:t xml:space="preserve">C’est dans cette logique et à la suite de la mission de positionnement stratégique du Bureau conduite par le BPPS et les consultations menées auprès des sections de la Monusco (Justice Section Support, BCNUDH, UNPOL, Correction) et d’autres agence sœurs telles que le UNHCR que le recrutement d’un Consultant est initié afin d’appuyer le Bureau dans l’élaboration d’un nouveau Programme Conjoint Intégré  Rule Of Law (prenant en charge les aspects de Justice, mais également des initiatives dans le domaine de la sécurité). </w:t>
            </w:r>
          </w:p>
          <w:p w:rsidR="003F640F" w:rsidRPr="0085295D" w:rsidRDefault="003F640F" w:rsidP="00526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heme="minorHAnsi"/>
                <w:lang w:val="fr-CD" w:eastAsia="fr-FR"/>
              </w:rPr>
            </w:pPr>
          </w:p>
        </w:tc>
      </w:tr>
    </w:tbl>
    <w:p w:rsidR="00CD4F12" w:rsidRPr="0085295D" w:rsidRDefault="00CD4F12" w:rsidP="00A24134">
      <w:pPr>
        <w:rPr>
          <w:rFonts w:cstheme="minorHAnsi"/>
          <w:b/>
        </w:rPr>
      </w:pPr>
    </w:p>
    <w:p w:rsidR="00944F40" w:rsidRPr="0085295D" w:rsidRDefault="00944F40" w:rsidP="00A24134">
      <w:pPr>
        <w:rPr>
          <w:rFonts w:cstheme="minorHAnsi"/>
          <w:b/>
        </w:rPr>
      </w:pPr>
      <w:r w:rsidRPr="0085295D">
        <w:rPr>
          <w:rFonts w:cstheme="minorHAnsi"/>
          <w:b/>
        </w:rPr>
        <w:t xml:space="preserve">2. </w:t>
      </w:r>
      <w:r w:rsidR="001461D4" w:rsidRPr="0085295D">
        <w:rPr>
          <w:rFonts w:cstheme="minorHAnsi"/>
          <w:b/>
        </w:rPr>
        <w:t>Tâches et responsabilités</w:t>
      </w:r>
    </w:p>
    <w:tbl>
      <w:tblPr>
        <w:tblStyle w:val="Grilledutableau"/>
        <w:tblW w:w="0" w:type="auto"/>
        <w:tblLook w:val="04A0"/>
      </w:tblPr>
      <w:tblGrid>
        <w:gridCol w:w="9350"/>
      </w:tblGrid>
      <w:tr w:rsidR="00AE0E6F" w:rsidRPr="0085295D" w:rsidTr="00662312">
        <w:tc>
          <w:tcPr>
            <w:tcW w:w="9350" w:type="dxa"/>
          </w:tcPr>
          <w:p w:rsidR="000939DA" w:rsidRPr="0085295D" w:rsidRDefault="000939DA" w:rsidP="000939DA">
            <w:pPr>
              <w:spacing w:line="276" w:lineRule="auto"/>
              <w:jc w:val="both"/>
              <w:rPr>
                <w:rFonts w:cstheme="minorHAnsi"/>
              </w:rPr>
            </w:pPr>
          </w:p>
          <w:p w:rsidR="000939DA" w:rsidRPr="0085295D" w:rsidRDefault="000939DA" w:rsidP="000939DA">
            <w:pPr>
              <w:spacing w:line="276" w:lineRule="auto"/>
              <w:jc w:val="both"/>
              <w:rPr>
                <w:rFonts w:cstheme="minorHAnsi"/>
              </w:rPr>
            </w:pPr>
            <w:r w:rsidRPr="0085295D">
              <w:rPr>
                <w:rFonts w:cstheme="minorHAnsi"/>
              </w:rPr>
              <w:t xml:space="preserve">Sous l’autorité́ du Team Leader du pilier Consolidation de la paix et renforcement de la démocratie et la supervision directe l’Analyste au Programme en charge du portefeuille Justice et Elections, le Consultant aura pour mission d’accompagner le Bureau du PNUD dans la formulation du document du nouveau programme Conjoint Intégré Rule Of Law. </w:t>
            </w:r>
          </w:p>
          <w:p w:rsidR="000939DA" w:rsidRPr="0085295D" w:rsidRDefault="000939DA" w:rsidP="000939DA">
            <w:pPr>
              <w:spacing w:line="276" w:lineRule="auto"/>
              <w:jc w:val="both"/>
              <w:rPr>
                <w:rFonts w:cstheme="minorHAnsi"/>
              </w:rPr>
            </w:pPr>
          </w:p>
          <w:p w:rsidR="000939DA" w:rsidRPr="0085295D" w:rsidRDefault="000939DA" w:rsidP="000939DA">
            <w:pPr>
              <w:spacing w:line="276" w:lineRule="auto"/>
              <w:jc w:val="both"/>
              <w:rPr>
                <w:rFonts w:cstheme="minorHAnsi"/>
              </w:rPr>
            </w:pPr>
            <w:r w:rsidRPr="0085295D">
              <w:rPr>
                <w:rFonts w:cstheme="minorHAnsi"/>
              </w:rPr>
              <w:t>Dans le cadre de cet exercice de formulation, le consultant national devra :</w:t>
            </w:r>
          </w:p>
          <w:p w:rsidR="000939DA" w:rsidRPr="0085295D" w:rsidRDefault="000939DA" w:rsidP="000939DA">
            <w:pPr>
              <w:pStyle w:val="Paragraphedeliste"/>
              <w:numPr>
                <w:ilvl w:val="0"/>
                <w:numId w:val="31"/>
              </w:numPr>
              <w:spacing w:line="276" w:lineRule="auto"/>
              <w:jc w:val="both"/>
              <w:rPr>
                <w:rFonts w:cstheme="minorHAnsi"/>
              </w:rPr>
            </w:pPr>
            <w:r w:rsidRPr="0085295D">
              <w:rPr>
                <w:rFonts w:cstheme="minorHAnsi"/>
              </w:rPr>
              <w:t>Analyser les acquis dans les domaines de la justice et de la sécurité et élaborer une matrice d’actions stratégiques pour renforcer les capacités des institutions judiciaires et publiques à bien jouer leur rôle en lien avec les exigences de la lutte contre l’impunité et de respect des droits humains et le l’ODD 16 ;</w:t>
            </w:r>
          </w:p>
          <w:p w:rsidR="000939DA" w:rsidRPr="0085295D" w:rsidRDefault="000939DA" w:rsidP="000939DA">
            <w:pPr>
              <w:pStyle w:val="Paragraphedeliste"/>
              <w:numPr>
                <w:ilvl w:val="0"/>
                <w:numId w:val="31"/>
              </w:numPr>
              <w:spacing w:line="276" w:lineRule="auto"/>
              <w:jc w:val="both"/>
              <w:rPr>
                <w:rFonts w:cstheme="minorHAnsi"/>
              </w:rPr>
            </w:pPr>
            <w:r w:rsidRPr="0085295D">
              <w:rPr>
                <w:rFonts w:cstheme="minorHAnsi"/>
              </w:rPr>
              <w:t>Analyser les rôles et les profils de divers acteurs publics et non étatiques dans le domaine de l’accès à la justice, lutte contre les crimes graves et de l’appui à la police de manière générale et de la police judiciaire en particulier ;</w:t>
            </w:r>
          </w:p>
          <w:p w:rsidR="000939DA" w:rsidRPr="0085295D" w:rsidRDefault="000939DA" w:rsidP="000939DA">
            <w:pPr>
              <w:pStyle w:val="Paragraphedeliste"/>
              <w:numPr>
                <w:ilvl w:val="0"/>
                <w:numId w:val="31"/>
              </w:numPr>
              <w:spacing w:line="276" w:lineRule="auto"/>
              <w:jc w:val="both"/>
              <w:rPr>
                <w:rFonts w:cstheme="minorHAnsi"/>
              </w:rPr>
            </w:pPr>
            <w:r w:rsidRPr="0085295D">
              <w:rPr>
                <w:rFonts w:cstheme="minorHAnsi"/>
              </w:rPr>
              <w:t xml:space="preserve">En partant des priorités définies dans le PNSD, des axes d’intervention du CPD 2020-2023, ainsi que de l’agenda 2030 (ODD 16), proposer un contenu programmatique réaliste basé sur une théorie du changement solide et assorti des plans de travail et cadre logique y afférant ; </w:t>
            </w:r>
          </w:p>
          <w:p w:rsidR="000939DA" w:rsidRPr="0085295D" w:rsidRDefault="000939DA" w:rsidP="000939DA">
            <w:pPr>
              <w:pStyle w:val="Paragraphedeliste"/>
              <w:numPr>
                <w:ilvl w:val="0"/>
                <w:numId w:val="31"/>
              </w:numPr>
              <w:spacing w:line="276" w:lineRule="auto"/>
              <w:jc w:val="both"/>
              <w:rPr>
                <w:rFonts w:cstheme="minorHAnsi"/>
              </w:rPr>
            </w:pPr>
            <w:r w:rsidRPr="0085295D">
              <w:rPr>
                <w:rFonts w:cstheme="minorHAnsi"/>
                <w:lang/>
              </w:rPr>
              <w:t>Faire des analyses comparées pour le choix d’un meilleur ancrage institutionnel du programme et d’un mécanisme souple de Coordination inter agences/sections de la Monusco et des partenaires tant au niveau national que provincial ;</w:t>
            </w:r>
          </w:p>
          <w:p w:rsidR="000939DA" w:rsidRPr="0085295D" w:rsidRDefault="000939DA" w:rsidP="000939DA">
            <w:pPr>
              <w:pStyle w:val="Paragraphedeliste"/>
              <w:numPr>
                <w:ilvl w:val="0"/>
                <w:numId w:val="31"/>
              </w:numPr>
              <w:spacing w:line="276" w:lineRule="auto"/>
              <w:jc w:val="both"/>
              <w:rPr>
                <w:rFonts w:cstheme="minorHAnsi"/>
              </w:rPr>
            </w:pPr>
            <w:r w:rsidRPr="0085295D">
              <w:rPr>
                <w:rFonts w:cstheme="minorHAnsi"/>
              </w:rPr>
              <w:t xml:space="preserve">Proposer les zones d’interventions du programme dans ce secteur de RoL et justifier leur pertinence ; </w:t>
            </w:r>
          </w:p>
          <w:p w:rsidR="000939DA" w:rsidRPr="0085295D" w:rsidRDefault="000939DA" w:rsidP="000939DA">
            <w:pPr>
              <w:pStyle w:val="Paragraphedeliste"/>
              <w:numPr>
                <w:ilvl w:val="0"/>
                <w:numId w:val="31"/>
              </w:numPr>
              <w:spacing w:line="276" w:lineRule="auto"/>
              <w:jc w:val="both"/>
              <w:rPr>
                <w:rFonts w:cstheme="minorHAnsi"/>
              </w:rPr>
            </w:pPr>
            <w:r w:rsidRPr="0085295D">
              <w:rPr>
                <w:rFonts w:cstheme="minorHAnsi"/>
              </w:rPr>
              <w:t xml:space="preserve">Proposer une stratégie de pérennisation des acquis pour chaque axe d’intervention du </w:t>
            </w:r>
            <w:r w:rsidRPr="0085295D">
              <w:rPr>
                <w:rFonts w:cstheme="minorHAnsi"/>
              </w:rPr>
              <w:lastRenderedPageBreak/>
              <w:t>programme</w:t>
            </w:r>
          </w:p>
          <w:p w:rsidR="003F640F" w:rsidRPr="0085295D" w:rsidRDefault="003F640F" w:rsidP="000939DA">
            <w:pPr>
              <w:jc w:val="both"/>
              <w:rPr>
                <w:rFonts w:eastAsia="Calibri" w:cstheme="minorHAnsi"/>
              </w:rPr>
            </w:pPr>
          </w:p>
        </w:tc>
      </w:tr>
    </w:tbl>
    <w:p w:rsidR="00CA000E" w:rsidRPr="0085295D" w:rsidRDefault="00CA000E" w:rsidP="00BF6263">
      <w:pPr>
        <w:rPr>
          <w:rFonts w:cstheme="minorHAnsi"/>
          <w:b/>
        </w:rPr>
      </w:pPr>
    </w:p>
    <w:p w:rsidR="00AE0E6F" w:rsidRPr="0085295D" w:rsidRDefault="00AE0E6F" w:rsidP="00BF6263">
      <w:pPr>
        <w:rPr>
          <w:rFonts w:cstheme="minorHAnsi"/>
          <w:b/>
        </w:rPr>
      </w:pPr>
      <w:r w:rsidRPr="0085295D">
        <w:rPr>
          <w:rFonts w:cstheme="minorHAnsi"/>
          <w:b/>
        </w:rPr>
        <w:t>3. Durée de la consultation</w:t>
      </w:r>
    </w:p>
    <w:tbl>
      <w:tblPr>
        <w:tblStyle w:val="Grilledutableau"/>
        <w:tblW w:w="0" w:type="auto"/>
        <w:tblLook w:val="04A0"/>
      </w:tblPr>
      <w:tblGrid>
        <w:gridCol w:w="9350"/>
      </w:tblGrid>
      <w:tr w:rsidR="00AE0E6F" w:rsidRPr="0085295D" w:rsidTr="000939DA">
        <w:tc>
          <w:tcPr>
            <w:tcW w:w="9350" w:type="dxa"/>
            <w:shd w:val="clear" w:color="auto" w:fill="auto"/>
          </w:tcPr>
          <w:p w:rsidR="000939DA" w:rsidRPr="0085295D" w:rsidRDefault="000939DA" w:rsidP="000939DA">
            <w:pPr>
              <w:spacing w:line="276" w:lineRule="auto"/>
              <w:ind w:left="360"/>
              <w:jc w:val="both"/>
              <w:rPr>
                <w:rFonts w:cstheme="minorHAnsi"/>
              </w:rPr>
            </w:pPr>
          </w:p>
          <w:p w:rsidR="00394F82" w:rsidRPr="0085295D" w:rsidRDefault="000939DA" w:rsidP="00394F82">
            <w:pPr>
              <w:tabs>
                <w:tab w:val="left" w:pos="1410"/>
              </w:tabs>
              <w:rPr>
                <w:rFonts w:cstheme="minorHAnsi"/>
              </w:rPr>
            </w:pPr>
            <w:r w:rsidRPr="0085295D">
              <w:rPr>
                <w:rFonts w:cstheme="minorHAnsi"/>
              </w:rPr>
              <w:t xml:space="preserve">La consultation sera conduite sur une période de </w:t>
            </w:r>
            <w:r w:rsidR="00394F82" w:rsidRPr="0085295D">
              <w:rPr>
                <w:rFonts w:cstheme="minorHAnsi"/>
              </w:rPr>
              <w:t>35 jours ouvrables étalés sur une période de 2 mois et demi (avec deux semaines en mission en RDC à Kinshasa et le reste des  jours en Home based).</w:t>
            </w:r>
          </w:p>
          <w:p w:rsidR="00AE0E6F" w:rsidRPr="0085295D" w:rsidRDefault="00AE0E6F" w:rsidP="00BF6263">
            <w:pPr>
              <w:rPr>
                <w:rFonts w:cstheme="minorHAnsi"/>
                <w:b/>
              </w:rPr>
            </w:pPr>
          </w:p>
        </w:tc>
      </w:tr>
    </w:tbl>
    <w:p w:rsidR="003E6FC9" w:rsidRPr="0085295D" w:rsidRDefault="003E6FC9" w:rsidP="00BF6263">
      <w:pPr>
        <w:rPr>
          <w:rFonts w:cstheme="minorHAnsi"/>
          <w:b/>
        </w:rPr>
      </w:pPr>
    </w:p>
    <w:p w:rsidR="00AE0E6F" w:rsidRPr="0085295D" w:rsidRDefault="00AE0E6F" w:rsidP="00BF6263">
      <w:pPr>
        <w:rPr>
          <w:rFonts w:cstheme="minorHAnsi"/>
          <w:b/>
        </w:rPr>
      </w:pPr>
      <w:r w:rsidRPr="0085295D">
        <w:rPr>
          <w:rFonts w:cstheme="minorHAnsi"/>
          <w:b/>
        </w:rPr>
        <w:t>4</w:t>
      </w:r>
      <w:r w:rsidR="00BF6263" w:rsidRPr="0085295D">
        <w:rPr>
          <w:rFonts w:cstheme="minorHAnsi"/>
          <w:b/>
        </w:rPr>
        <w:t xml:space="preserve">. </w:t>
      </w:r>
      <w:r w:rsidRPr="0085295D">
        <w:rPr>
          <w:rFonts w:cstheme="minorHAnsi"/>
          <w:b/>
        </w:rPr>
        <w:t>Résultats attendus</w:t>
      </w:r>
    </w:p>
    <w:tbl>
      <w:tblPr>
        <w:tblStyle w:val="Grilledutableau"/>
        <w:tblW w:w="9360" w:type="dxa"/>
        <w:tblInd w:w="-5" w:type="dxa"/>
        <w:tblLook w:val="04A0"/>
      </w:tblPr>
      <w:tblGrid>
        <w:gridCol w:w="9360"/>
      </w:tblGrid>
      <w:tr w:rsidR="00284681" w:rsidRPr="0085295D" w:rsidTr="007E3539">
        <w:tc>
          <w:tcPr>
            <w:tcW w:w="9360" w:type="dxa"/>
          </w:tcPr>
          <w:p w:rsidR="00361BEE" w:rsidRPr="0085295D" w:rsidRDefault="005810AD" w:rsidP="00361BEE">
            <w:pPr>
              <w:rPr>
                <w:rFonts w:cstheme="minorHAnsi"/>
              </w:rPr>
            </w:pPr>
            <w:r w:rsidRPr="0085295D">
              <w:rPr>
                <w:rFonts w:cstheme="minorHAnsi"/>
              </w:rPr>
              <w:t>En collaboration avec l’ensemble de l’équipe d’évaluation, le consultant fournira les produits suivants:</w:t>
            </w:r>
          </w:p>
          <w:p w:rsidR="00361BEE" w:rsidRPr="0085295D" w:rsidRDefault="00361BEE" w:rsidP="00361BEE">
            <w:pPr>
              <w:rPr>
                <w:rFonts w:cstheme="minorHAnsi"/>
              </w:rPr>
            </w:pPr>
          </w:p>
          <w:tbl>
            <w:tblPr>
              <w:tblW w:w="5000" w:type="pct"/>
              <w:tblBorders>
                <w:top w:val="nil"/>
                <w:left w:val="nil"/>
                <w:right w:val="nil"/>
              </w:tblBorders>
              <w:tblLook w:val="0000"/>
            </w:tblPr>
            <w:tblGrid>
              <w:gridCol w:w="1025"/>
              <w:gridCol w:w="3616"/>
              <w:gridCol w:w="1700"/>
              <w:gridCol w:w="1088"/>
              <w:gridCol w:w="1695"/>
            </w:tblGrid>
            <w:tr w:rsidR="00863179" w:rsidRPr="0085295D" w:rsidTr="001C6F22">
              <w:trPr>
                <w:trHeight w:val="495"/>
              </w:trPr>
              <w:tc>
                <w:tcPr>
                  <w:tcW w:w="636" w:type="pct"/>
                  <w:tcBorders>
                    <w:top w:val="single" w:sz="8" w:space="0" w:color="000000"/>
                    <w:left w:val="single" w:sz="8" w:space="0" w:color="000000"/>
                    <w:bottom w:val="single" w:sz="8" w:space="0" w:color="000000"/>
                    <w:right w:val="single" w:sz="8" w:space="0" w:color="000000"/>
                  </w:tcBorders>
                  <w:shd w:val="clear" w:color="auto" w:fill="EAE8DA"/>
                  <w:tcMar>
                    <w:top w:w="20" w:type="nil"/>
                    <w:left w:w="20" w:type="nil"/>
                    <w:bottom w:w="20" w:type="nil"/>
                    <w:right w:w="20" w:type="nil"/>
                  </w:tcMar>
                </w:tcPr>
                <w:p w:rsidR="00401D58" w:rsidRPr="003445D9" w:rsidRDefault="00401D58" w:rsidP="00361BEE">
                  <w:pPr>
                    <w:autoSpaceDE w:val="0"/>
                    <w:autoSpaceDN w:val="0"/>
                    <w:adjustRightInd w:val="0"/>
                    <w:spacing w:after="0"/>
                    <w:jc w:val="both"/>
                    <w:rPr>
                      <w:rFonts w:cstheme="minorHAnsi"/>
                      <w:b/>
                      <w:bCs/>
                      <w:i/>
                      <w:u w:val="single"/>
                    </w:rPr>
                  </w:pPr>
                  <w:bookmarkStart w:id="2" w:name="_Hlk18419693"/>
                </w:p>
                <w:p w:rsidR="00361BEE" w:rsidRPr="0085295D" w:rsidRDefault="00361BEE" w:rsidP="00361BEE">
                  <w:pPr>
                    <w:autoSpaceDE w:val="0"/>
                    <w:autoSpaceDN w:val="0"/>
                    <w:adjustRightInd w:val="0"/>
                    <w:spacing w:after="0"/>
                    <w:jc w:val="both"/>
                    <w:rPr>
                      <w:rFonts w:eastAsia="Times New Roman" w:cstheme="minorHAnsi"/>
                    </w:rPr>
                  </w:pPr>
                  <w:r w:rsidRPr="0085295D">
                    <w:rPr>
                      <w:rFonts w:cstheme="minorHAnsi"/>
                      <w:b/>
                      <w:bCs/>
                      <w:i/>
                      <w:u w:val="single"/>
                    </w:rPr>
                    <w:t># Livrables</w:t>
                  </w:r>
                </w:p>
              </w:tc>
              <w:tc>
                <w:tcPr>
                  <w:tcW w:w="2217" w:type="pct"/>
                  <w:tcBorders>
                    <w:top w:val="single" w:sz="8" w:space="0" w:color="000000"/>
                    <w:left w:val="single" w:sz="8" w:space="0" w:color="000000"/>
                    <w:bottom w:val="single" w:sz="8" w:space="0" w:color="000000"/>
                    <w:right w:val="single" w:sz="8" w:space="0" w:color="000000"/>
                  </w:tcBorders>
                  <w:shd w:val="clear" w:color="auto" w:fill="EAE8DA"/>
                  <w:tcMar>
                    <w:top w:w="20" w:type="nil"/>
                    <w:left w:w="20" w:type="nil"/>
                    <w:bottom w:w="20" w:type="nil"/>
                    <w:right w:w="20" w:type="nil"/>
                  </w:tcMar>
                </w:tcPr>
                <w:p w:rsidR="00401D58" w:rsidRPr="003445D9" w:rsidRDefault="00401D58" w:rsidP="00361BEE">
                  <w:pPr>
                    <w:autoSpaceDE w:val="0"/>
                    <w:autoSpaceDN w:val="0"/>
                    <w:adjustRightInd w:val="0"/>
                    <w:spacing w:after="0"/>
                    <w:jc w:val="both"/>
                    <w:rPr>
                      <w:rFonts w:cstheme="minorHAnsi"/>
                      <w:b/>
                      <w:bCs/>
                      <w:i/>
                      <w:u w:val="single"/>
                    </w:rPr>
                  </w:pPr>
                </w:p>
                <w:p w:rsidR="00361BEE" w:rsidRPr="0085295D" w:rsidRDefault="00361BEE" w:rsidP="00361BEE">
                  <w:pPr>
                    <w:autoSpaceDE w:val="0"/>
                    <w:autoSpaceDN w:val="0"/>
                    <w:adjustRightInd w:val="0"/>
                    <w:spacing w:after="0"/>
                    <w:jc w:val="both"/>
                    <w:rPr>
                      <w:rFonts w:eastAsia="Times New Roman" w:cstheme="minorHAnsi"/>
                      <w:b/>
                      <w:bCs/>
                    </w:rPr>
                  </w:pPr>
                  <w:r w:rsidRPr="003445D9">
                    <w:rPr>
                      <w:rFonts w:cstheme="minorHAnsi"/>
                      <w:b/>
                      <w:bCs/>
                      <w:i/>
                      <w:u w:val="single"/>
                    </w:rPr>
                    <w:t>Livrables</w:t>
                  </w:r>
                </w:p>
              </w:tc>
              <w:tc>
                <w:tcPr>
                  <w:tcW w:w="501" w:type="pct"/>
                  <w:tcBorders>
                    <w:top w:val="single" w:sz="8" w:space="0" w:color="000000"/>
                    <w:left w:val="single" w:sz="8" w:space="0" w:color="000000"/>
                    <w:bottom w:val="single" w:sz="8" w:space="0" w:color="000000"/>
                    <w:right w:val="single" w:sz="8" w:space="0" w:color="000000"/>
                  </w:tcBorders>
                  <w:shd w:val="clear" w:color="auto" w:fill="EAE8DA"/>
                  <w:tcMar>
                    <w:top w:w="20" w:type="nil"/>
                    <w:left w:w="20" w:type="nil"/>
                    <w:bottom w:w="20" w:type="nil"/>
                    <w:right w:w="20" w:type="nil"/>
                  </w:tcMar>
                </w:tcPr>
                <w:p w:rsidR="00401D58" w:rsidRPr="003445D9" w:rsidRDefault="00401D58" w:rsidP="00361BEE">
                  <w:pPr>
                    <w:autoSpaceDE w:val="0"/>
                    <w:autoSpaceDN w:val="0"/>
                    <w:adjustRightInd w:val="0"/>
                    <w:spacing w:after="0"/>
                    <w:jc w:val="both"/>
                    <w:rPr>
                      <w:rFonts w:cstheme="minorHAnsi"/>
                      <w:b/>
                      <w:bCs/>
                      <w:i/>
                      <w:u w:val="single"/>
                    </w:rPr>
                  </w:pPr>
                </w:p>
                <w:p w:rsidR="00361BEE" w:rsidRPr="0085295D" w:rsidRDefault="00361BEE" w:rsidP="00361BEE">
                  <w:pPr>
                    <w:autoSpaceDE w:val="0"/>
                    <w:autoSpaceDN w:val="0"/>
                    <w:adjustRightInd w:val="0"/>
                    <w:spacing w:after="0"/>
                    <w:jc w:val="both"/>
                    <w:rPr>
                      <w:rFonts w:eastAsia="Times New Roman" w:cstheme="minorHAnsi"/>
                    </w:rPr>
                  </w:pPr>
                  <w:r w:rsidRPr="003445D9">
                    <w:rPr>
                      <w:rFonts w:cstheme="minorHAnsi"/>
                      <w:b/>
                      <w:bCs/>
                      <w:i/>
                      <w:u w:val="single"/>
                    </w:rPr>
                    <w:t>Délai*</w:t>
                  </w:r>
                </w:p>
              </w:tc>
              <w:tc>
                <w:tcPr>
                  <w:tcW w:w="561" w:type="pct"/>
                  <w:tcBorders>
                    <w:top w:val="single" w:sz="8" w:space="0" w:color="000000"/>
                    <w:left w:val="single" w:sz="8" w:space="0" w:color="000000"/>
                    <w:bottom w:val="single" w:sz="8" w:space="0" w:color="000000"/>
                    <w:right w:val="single" w:sz="8" w:space="0" w:color="000000"/>
                  </w:tcBorders>
                  <w:shd w:val="clear" w:color="auto" w:fill="EAE8DA"/>
                  <w:tcMar>
                    <w:top w:w="20" w:type="nil"/>
                    <w:left w:w="20" w:type="nil"/>
                    <w:bottom w:w="20" w:type="nil"/>
                    <w:right w:w="20" w:type="nil"/>
                  </w:tcMar>
                </w:tcPr>
                <w:p w:rsidR="00361BEE" w:rsidRPr="0085295D" w:rsidRDefault="00361BEE" w:rsidP="00361BEE">
                  <w:pPr>
                    <w:autoSpaceDE w:val="0"/>
                    <w:autoSpaceDN w:val="0"/>
                    <w:adjustRightInd w:val="0"/>
                    <w:spacing w:after="0"/>
                    <w:rPr>
                      <w:rFonts w:eastAsia="Times New Roman" w:cstheme="minorHAnsi"/>
                      <w:b/>
                      <w:bCs/>
                    </w:rPr>
                  </w:pPr>
                  <w:r w:rsidRPr="003445D9">
                    <w:rPr>
                      <w:rFonts w:cstheme="minorHAnsi"/>
                      <w:b/>
                      <w:bCs/>
                      <w:i/>
                      <w:u w:val="single"/>
                    </w:rPr>
                    <w:t>Tranche de paiement</w:t>
                  </w:r>
                </w:p>
              </w:tc>
              <w:tc>
                <w:tcPr>
                  <w:tcW w:w="1084" w:type="pct"/>
                  <w:tcBorders>
                    <w:top w:val="single" w:sz="8" w:space="0" w:color="000000"/>
                    <w:left w:val="single" w:sz="8" w:space="0" w:color="000000"/>
                    <w:bottom w:val="single" w:sz="8" w:space="0" w:color="000000"/>
                    <w:right w:val="single" w:sz="8" w:space="0" w:color="000000"/>
                  </w:tcBorders>
                  <w:shd w:val="clear" w:color="auto" w:fill="EAE8DA"/>
                </w:tcPr>
                <w:p w:rsidR="00361BEE" w:rsidRPr="0085295D" w:rsidRDefault="00361BEE" w:rsidP="00361BEE">
                  <w:pPr>
                    <w:autoSpaceDE w:val="0"/>
                    <w:autoSpaceDN w:val="0"/>
                    <w:adjustRightInd w:val="0"/>
                    <w:spacing w:after="0"/>
                    <w:rPr>
                      <w:rFonts w:eastAsia="Times New Roman" w:cstheme="minorHAnsi"/>
                      <w:b/>
                      <w:bCs/>
                    </w:rPr>
                  </w:pPr>
                  <w:r w:rsidRPr="003445D9">
                    <w:rPr>
                      <w:rFonts w:cstheme="minorHAnsi"/>
                      <w:b/>
                      <w:bCs/>
                      <w:i/>
                      <w:u w:val="single"/>
                    </w:rPr>
                    <w:t>Conditions de paiement</w:t>
                  </w:r>
                </w:p>
              </w:tc>
            </w:tr>
            <w:tr w:rsidR="00863179" w:rsidRPr="0085295D" w:rsidTr="001C6F22">
              <w:tblPrEx>
                <w:tblBorders>
                  <w:top w:val="none" w:sz="0" w:space="0" w:color="auto"/>
                </w:tblBorders>
              </w:tblPrEx>
              <w:tc>
                <w:tcPr>
                  <w:tcW w:w="63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FE52B8" w:rsidRPr="0085295D" w:rsidRDefault="00FE52B8" w:rsidP="00FE52B8">
                  <w:pPr>
                    <w:spacing w:after="0" w:line="240" w:lineRule="auto"/>
                    <w:rPr>
                      <w:rFonts w:cstheme="minorHAnsi"/>
                    </w:rPr>
                  </w:pPr>
                  <w:r w:rsidRPr="0085295D">
                    <w:rPr>
                      <w:rFonts w:cstheme="minorHAnsi"/>
                      <w:b/>
                      <w:i/>
                    </w:rPr>
                    <w:t>Livrable 1</w:t>
                  </w:r>
                </w:p>
              </w:tc>
              <w:tc>
                <w:tcPr>
                  <w:tcW w:w="221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E52B8" w:rsidRPr="0085295D" w:rsidRDefault="00FE52B8" w:rsidP="00FE52B8">
                  <w:pPr>
                    <w:spacing w:after="0" w:line="240" w:lineRule="auto"/>
                    <w:rPr>
                      <w:rFonts w:cstheme="minorHAnsi"/>
                    </w:rPr>
                  </w:pPr>
                  <w:r w:rsidRPr="0085295D">
                    <w:rPr>
                      <w:rFonts w:cstheme="minorHAnsi"/>
                      <w:b/>
                    </w:rPr>
                    <w:t>Note méthodologique et programme de travail co-écrit avec le consultant national.</w:t>
                  </w:r>
                </w:p>
                <w:p w:rsidR="00FE52B8" w:rsidRPr="0085295D" w:rsidRDefault="00FE52B8" w:rsidP="001C6F22">
                  <w:pPr>
                    <w:spacing w:after="0" w:line="240" w:lineRule="auto"/>
                    <w:jc w:val="both"/>
                    <w:rPr>
                      <w:rFonts w:cstheme="minorHAnsi"/>
                    </w:rPr>
                  </w:pPr>
                  <w:r w:rsidRPr="0085295D">
                    <w:rPr>
                      <w:rFonts w:cstheme="minorHAnsi"/>
                    </w:rPr>
                    <w:t>Rapport initial d’élaboration qui précisera la compréhension du Consultant quant aux éléments et à la méthodologie à suivre pour élaborer le programme dans le domaine de justice et sécurité. Ce rapport devra être assorti d’un calendrier détaillant les différentes tâches à accomplir au cours de la mission.</w:t>
                  </w:r>
                </w:p>
              </w:tc>
              <w:tc>
                <w:tcPr>
                  <w:tcW w:w="501"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E52B8" w:rsidRPr="0085295D" w:rsidRDefault="003D061E" w:rsidP="00FE52B8">
                  <w:pPr>
                    <w:spacing w:after="0" w:line="240" w:lineRule="auto"/>
                    <w:rPr>
                      <w:rFonts w:cstheme="minorHAnsi"/>
                    </w:rPr>
                  </w:pPr>
                  <w:r>
                    <w:rPr>
                      <w:rFonts w:cstheme="minorHAnsi"/>
                    </w:rPr>
                    <w:t xml:space="preserve">Au plus tard </w:t>
                  </w:r>
                  <w:r w:rsidR="00564A33">
                    <w:rPr>
                      <w:rFonts w:cstheme="minorHAnsi"/>
                    </w:rPr>
                    <w:t>5</w:t>
                  </w:r>
                  <w:r>
                    <w:rPr>
                      <w:rFonts w:cstheme="minorHAnsi"/>
                    </w:rPr>
                    <w:t xml:space="preserve"> jours après la signature du contrat </w:t>
                  </w:r>
                </w:p>
                <w:p w:rsidR="00FE52B8" w:rsidRPr="0085295D" w:rsidRDefault="00FE52B8" w:rsidP="00FE52B8">
                  <w:pPr>
                    <w:autoSpaceDE w:val="0"/>
                    <w:autoSpaceDN w:val="0"/>
                    <w:adjustRightInd w:val="0"/>
                    <w:spacing w:after="0"/>
                    <w:rPr>
                      <w:rFonts w:eastAsia="Calibri" w:cstheme="minorHAnsi"/>
                    </w:rPr>
                  </w:pPr>
                </w:p>
              </w:tc>
              <w:tc>
                <w:tcPr>
                  <w:tcW w:w="561"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E52B8" w:rsidRPr="0085295D" w:rsidRDefault="00FE52B8" w:rsidP="00FE52B8">
                  <w:pPr>
                    <w:autoSpaceDE w:val="0"/>
                    <w:autoSpaceDN w:val="0"/>
                    <w:adjustRightInd w:val="0"/>
                    <w:spacing w:after="0"/>
                    <w:ind w:left="284"/>
                    <w:jc w:val="center"/>
                    <w:rPr>
                      <w:rFonts w:eastAsia="Calibri" w:cstheme="minorHAnsi"/>
                    </w:rPr>
                  </w:pPr>
                  <w:r w:rsidRPr="0085295D">
                    <w:rPr>
                      <w:rFonts w:eastAsia="Calibri" w:cstheme="minorHAnsi"/>
                    </w:rPr>
                    <w:t>20%</w:t>
                  </w:r>
                </w:p>
              </w:tc>
              <w:tc>
                <w:tcPr>
                  <w:tcW w:w="1084" w:type="pct"/>
                  <w:tcBorders>
                    <w:top w:val="single" w:sz="8" w:space="0" w:color="000000"/>
                    <w:left w:val="single" w:sz="8" w:space="0" w:color="000000"/>
                    <w:bottom w:val="single" w:sz="8" w:space="0" w:color="000000"/>
                    <w:right w:val="single" w:sz="8" w:space="0" w:color="000000"/>
                  </w:tcBorders>
                </w:tcPr>
                <w:p w:rsidR="00FE52B8" w:rsidRPr="0085295D" w:rsidRDefault="00FE52B8" w:rsidP="00FE52B8">
                  <w:pPr>
                    <w:autoSpaceDE w:val="0"/>
                    <w:autoSpaceDN w:val="0"/>
                    <w:adjustRightInd w:val="0"/>
                    <w:spacing w:after="0"/>
                    <w:ind w:left="284"/>
                    <w:jc w:val="both"/>
                    <w:rPr>
                      <w:rFonts w:eastAsia="Calibri" w:cstheme="minorHAnsi"/>
                    </w:rPr>
                  </w:pPr>
                </w:p>
                <w:p w:rsidR="00FE52B8" w:rsidRPr="0085295D" w:rsidRDefault="00FE52B8" w:rsidP="00FE52B8">
                  <w:pPr>
                    <w:autoSpaceDE w:val="0"/>
                    <w:autoSpaceDN w:val="0"/>
                    <w:adjustRightInd w:val="0"/>
                    <w:spacing w:after="0"/>
                    <w:jc w:val="both"/>
                    <w:rPr>
                      <w:rFonts w:eastAsia="Calibri" w:cstheme="minorHAnsi"/>
                    </w:rPr>
                  </w:pPr>
                  <w:r w:rsidRPr="0085295D">
                    <w:rPr>
                      <w:rFonts w:cstheme="minorHAnsi"/>
                    </w:rPr>
                    <w:t>Paiement après validation des rapports</w:t>
                  </w:r>
                </w:p>
              </w:tc>
            </w:tr>
            <w:tr w:rsidR="00863179" w:rsidRPr="0085295D" w:rsidTr="001C6F22">
              <w:tblPrEx>
                <w:tblBorders>
                  <w:top w:val="none" w:sz="0" w:space="0" w:color="auto"/>
                </w:tblBorders>
              </w:tblPrEx>
              <w:tc>
                <w:tcPr>
                  <w:tcW w:w="636" w:type="pct"/>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tcPr>
                <w:p w:rsidR="003978BB" w:rsidRPr="0085295D" w:rsidRDefault="003978BB" w:rsidP="003978BB">
                  <w:pPr>
                    <w:spacing w:after="0"/>
                    <w:jc w:val="both"/>
                    <w:rPr>
                      <w:rFonts w:cstheme="minorHAnsi"/>
                      <w:bCs/>
                    </w:rPr>
                  </w:pPr>
                  <w:r w:rsidRPr="0085295D">
                    <w:rPr>
                      <w:rFonts w:cstheme="minorHAnsi"/>
                      <w:b/>
                      <w:i/>
                    </w:rPr>
                    <w:t>Livrable 2</w:t>
                  </w:r>
                </w:p>
              </w:tc>
              <w:tc>
                <w:tcPr>
                  <w:tcW w:w="221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3978BB" w:rsidRPr="0085295D" w:rsidRDefault="003978BB" w:rsidP="003978BB">
                  <w:pPr>
                    <w:autoSpaceDE w:val="0"/>
                    <w:autoSpaceDN w:val="0"/>
                    <w:adjustRightInd w:val="0"/>
                    <w:spacing w:after="0"/>
                    <w:rPr>
                      <w:rFonts w:cstheme="minorHAnsi"/>
                      <w:bCs/>
                    </w:rPr>
                  </w:pPr>
                  <w:r w:rsidRPr="0085295D">
                    <w:rPr>
                      <w:rFonts w:cstheme="minorHAnsi"/>
                      <w:b/>
                      <w:bCs/>
                    </w:rPr>
                    <w:t>Unenote conceptuelle du programme conjoint intégré Justice et Rule of Law 2020-2024</w:t>
                  </w:r>
                  <w:r w:rsidRPr="0085295D">
                    <w:rPr>
                      <w:rFonts w:cstheme="minorHAnsi"/>
                      <w:bCs/>
                    </w:rPr>
                    <w:t xml:space="preserve"> co-écrit avec le consultant national. </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rsidR="003978BB" w:rsidRPr="0085295D" w:rsidDel="002300C5" w:rsidRDefault="004D4215" w:rsidP="003978BB">
                  <w:pPr>
                    <w:autoSpaceDE w:val="0"/>
                    <w:autoSpaceDN w:val="0"/>
                    <w:adjustRightInd w:val="0"/>
                    <w:spacing w:after="0"/>
                    <w:rPr>
                      <w:rFonts w:eastAsia="Calibri" w:cstheme="minorHAnsi"/>
                    </w:rPr>
                  </w:pPr>
                  <w:r>
                    <w:rPr>
                      <w:rFonts w:cstheme="minorHAnsi"/>
                      <w:bCs/>
                    </w:rPr>
                    <w:t>Au plus tard 1</w:t>
                  </w:r>
                  <w:r w:rsidR="00B97A9F">
                    <w:rPr>
                      <w:rFonts w:cstheme="minorHAnsi"/>
                      <w:bCs/>
                    </w:rPr>
                    <w:t>5</w:t>
                  </w:r>
                  <w:r>
                    <w:rPr>
                      <w:rFonts w:cstheme="minorHAnsi"/>
                      <w:bCs/>
                    </w:rPr>
                    <w:t xml:space="preserve"> jours après la réception de la note méthodologique</w:t>
                  </w:r>
                </w:p>
              </w:tc>
              <w:tc>
                <w:tcPr>
                  <w:tcW w:w="561"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3978BB" w:rsidRPr="0085295D" w:rsidRDefault="003978BB" w:rsidP="003978BB">
                  <w:pPr>
                    <w:autoSpaceDE w:val="0"/>
                    <w:autoSpaceDN w:val="0"/>
                    <w:adjustRightInd w:val="0"/>
                    <w:spacing w:after="0"/>
                    <w:ind w:left="284"/>
                    <w:jc w:val="center"/>
                    <w:rPr>
                      <w:rFonts w:eastAsia="Calibri" w:cstheme="minorHAnsi"/>
                    </w:rPr>
                  </w:pPr>
                  <w:r w:rsidRPr="0085295D">
                    <w:rPr>
                      <w:rFonts w:eastAsia="Calibri" w:cstheme="minorHAnsi"/>
                    </w:rPr>
                    <w:t>30%</w:t>
                  </w:r>
                </w:p>
              </w:tc>
              <w:tc>
                <w:tcPr>
                  <w:tcW w:w="1084" w:type="pct"/>
                  <w:tcBorders>
                    <w:top w:val="single" w:sz="8" w:space="0" w:color="000000"/>
                    <w:left w:val="single" w:sz="8" w:space="0" w:color="000000"/>
                    <w:bottom w:val="single" w:sz="8" w:space="0" w:color="000000"/>
                    <w:right w:val="single" w:sz="8" w:space="0" w:color="000000"/>
                  </w:tcBorders>
                </w:tcPr>
                <w:p w:rsidR="003978BB" w:rsidRPr="0085295D" w:rsidRDefault="003978BB" w:rsidP="001C6F22">
                  <w:pPr>
                    <w:autoSpaceDE w:val="0"/>
                    <w:autoSpaceDN w:val="0"/>
                    <w:adjustRightInd w:val="0"/>
                    <w:spacing w:after="0"/>
                    <w:jc w:val="both"/>
                    <w:rPr>
                      <w:rFonts w:eastAsia="Calibri" w:cstheme="minorHAnsi"/>
                    </w:rPr>
                  </w:pPr>
                  <w:r w:rsidRPr="0085295D">
                    <w:rPr>
                      <w:rFonts w:cstheme="minorHAnsi"/>
                    </w:rPr>
                    <w:t xml:space="preserve">Paiement après validation de la note conceptuelle du programme </w:t>
                  </w:r>
                </w:p>
              </w:tc>
            </w:tr>
            <w:tr w:rsidR="00863179" w:rsidRPr="0085295D" w:rsidTr="001C6F22">
              <w:tblPrEx>
                <w:tblBorders>
                  <w:top w:val="none" w:sz="0" w:space="0" w:color="auto"/>
                </w:tblBorders>
              </w:tblPrEx>
              <w:tc>
                <w:tcPr>
                  <w:tcW w:w="636" w:type="pct"/>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tcPr>
                <w:p w:rsidR="00A72775" w:rsidRPr="0085295D" w:rsidRDefault="00A72775" w:rsidP="00A72775">
                  <w:pPr>
                    <w:jc w:val="both"/>
                    <w:rPr>
                      <w:rFonts w:cstheme="minorHAnsi"/>
                    </w:rPr>
                  </w:pPr>
                  <w:r w:rsidRPr="0085295D">
                    <w:rPr>
                      <w:rFonts w:cstheme="minorHAnsi"/>
                      <w:b/>
                      <w:i/>
                    </w:rPr>
                    <w:t>Livrable 3</w:t>
                  </w:r>
                </w:p>
              </w:tc>
              <w:tc>
                <w:tcPr>
                  <w:tcW w:w="221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A72775" w:rsidRPr="0085295D" w:rsidRDefault="00A72775" w:rsidP="00A72775">
                  <w:pPr>
                    <w:autoSpaceDE w:val="0"/>
                    <w:autoSpaceDN w:val="0"/>
                    <w:adjustRightInd w:val="0"/>
                    <w:spacing w:after="0"/>
                    <w:jc w:val="both"/>
                    <w:rPr>
                      <w:rFonts w:cstheme="minorHAnsi"/>
                    </w:rPr>
                  </w:pPr>
                  <w:r w:rsidRPr="0085295D">
                    <w:rPr>
                      <w:rFonts w:cstheme="minorHAnsi"/>
                      <w:b/>
                    </w:rPr>
                    <w:t>Un projet de document du programme conjoint intégré Justice et Rule of Law2020-2024 co-écrit avec le consultant national</w:t>
                  </w:r>
                  <w:r w:rsidRPr="0085295D">
                    <w:rPr>
                      <w:rFonts w:cstheme="minorHAnsi"/>
                    </w:rPr>
                    <w:t xml:space="preserve">. Le premier draft du Prodoc devra être </w:t>
                  </w:r>
                  <w:r w:rsidRPr="0085295D">
                    <w:rPr>
                      <w:rFonts w:cstheme="minorHAnsi"/>
                    </w:rPr>
                    <w:lastRenderedPageBreak/>
                    <w:t xml:space="preserve">partagé à l’équipe </w:t>
                  </w:r>
                  <w:r w:rsidRPr="0085295D">
                    <w:rPr>
                      <w:rFonts w:cstheme="minorHAnsi"/>
                      <w:bCs/>
                    </w:rPr>
                    <w:t>du PNUD, des agences et des sections de la Monusco pour revue et validation.</w:t>
                  </w:r>
                </w:p>
              </w:tc>
              <w:tc>
                <w:tcPr>
                  <w:tcW w:w="501" w:type="pct"/>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rsidR="00A72775" w:rsidRPr="0085295D" w:rsidDel="002300C5" w:rsidRDefault="00A72775" w:rsidP="00A72775">
                  <w:pPr>
                    <w:autoSpaceDE w:val="0"/>
                    <w:autoSpaceDN w:val="0"/>
                    <w:adjustRightInd w:val="0"/>
                    <w:spacing w:after="0"/>
                    <w:jc w:val="both"/>
                    <w:rPr>
                      <w:rFonts w:eastAsia="Calibri" w:cstheme="minorHAnsi"/>
                    </w:rPr>
                  </w:pPr>
                  <w:r w:rsidRPr="0085295D">
                    <w:rPr>
                      <w:rFonts w:cstheme="minorHAnsi"/>
                    </w:rPr>
                    <w:lastRenderedPageBreak/>
                    <w:t xml:space="preserve">Au plus tard </w:t>
                  </w:r>
                  <w:r w:rsidR="004D4215">
                    <w:rPr>
                      <w:rFonts w:cstheme="minorHAnsi"/>
                    </w:rPr>
                    <w:t>2</w:t>
                  </w:r>
                  <w:r w:rsidR="00B97A9F">
                    <w:rPr>
                      <w:rFonts w:cstheme="minorHAnsi"/>
                    </w:rPr>
                    <w:t>0</w:t>
                  </w:r>
                  <w:r w:rsidR="004D4215">
                    <w:rPr>
                      <w:rFonts w:cstheme="minorHAnsi"/>
                    </w:rPr>
                    <w:t xml:space="preserve"> jours après l</w:t>
                  </w:r>
                  <w:r w:rsidR="005D1434">
                    <w:rPr>
                      <w:rFonts w:cstheme="minorHAnsi"/>
                    </w:rPr>
                    <w:t xml:space="preserve">a validation de la note conceptuelle </w:t>
                  </w:r>
                </w:p>
              </w:tc>
              <w:tc>
                <w:tcPr>
                  <w:tcW w:w="561"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A72775" w:rsidRPr="0085295D" w:rsidRDefault="00A72775" w:rsidP="00A72775">
                  <w:pPr>
                    <w:autoSpaceDE w:val="0"/>
                    <w:autoSpaceDN w:val="0"/>
                    <w:adjustRightInd w:val="0"/>
                    <w:spacing w:after="0"/>
                    <w:ind w:left="284"/>
                    <w:jc w:val="center"/>
                    <w:rPr>
                      <w:rFonts w:eastAsia="Calibri" w:cstheme="minorHAnsi"/>
                    </w:rPr>
                  </w:pPr>
                  <w:r w:rsidRPr="0085295D">
                    <w:rPr>
                      <w:rFonts w:eastAsia="Calibri" w:cstheme="minorHAnsi"/>
                    </w:rPr>
                    <w:t>40%</w:t>
                  </w:r>
                </w:p>
              </w:tc>
              <w:tc>
                <w:tcPr>
                  <w:tcW w:w="1084" w:type="pct"/>
                  <w:tcBorders>
                    <w:top w:val="single" w:sz="8" w:space="0" w:color="000000"/>
                    <w:left w:val="single" w:sz="8" w:space="0" w:color="000000"/>
                    <w:bottom w:val="single" w:sz="8" w:space="0" w:color="000000"/>
                    <w:right w:val="single" w:sz="8" w:space="0" w:color="000000"/>
                  </w:tcBorders>
                </w:tcPr>
                <w:p w:rsidR="00A72775" w:rsidRPr="0085295D" w:rsidRDefault="00A72775" w:rsidP="001C6F22">
                  <w:pPr>
                    <w:autoSpaceDE w:val="0"/>
                    <w:autoSpaceDN w:val="0"/>
                    <w:adjustRightInd w:val="0"/>
                    <w:spacing w:after="0"/>
                    <w:jc w:val="both"/>
                    <w:rPr>
                      <w:rFonts w:eastAsia="Calibri" w:cstheme="minorHAnsi"/>
                    </w:rPr>
                  </w:pPr>
                  <w:r w:rsidRPr="0085295D">
                    <w:rPr>
                      <w:rFonts w:cstheme="minorHAnsi"/>
                    </w:rPr>
                    <w:t xml:space="preserve">Paiement après validation du document du programme conjoint ROL </w:t>
                  </w:r>
                </w:p>
              </w:tc>
            </w:tr>
            <w:tr w:rsidR="00863179" w:rsidRPr="0085295D" w:rsidTr="001C6F22">
              <w:tblPrEx>
                <w:tblBorders>
                  <w:top w:val="none" w:sz="0" w:space="0" w:color="auto"/>
                </w:tblBorders>
              </w:tblPrEx>
              <w:tc>
                <w:tcPr>
                  <w:tcW w:w="636"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rsidR="001C6F22" w:rsidRPr="0085295D" w:rsidRDefault="001C6F22" w:rsidP="001C6F22">
                  <w:pPr>
                    <w:spacing w:after="0"/>
                    <w:jc w:val="both"/>
                    <w:rPr>
                      <w:rFonts w:eastAsia="Calibri" w:cstheme="minorHAnsi"/>
                    </w:rPr>
                  </w:pPr>
                  <w:r w:rsidRPr="0085295D">
                    <w:rPr>
                      <w:rFonts w:cstheme="minorHAnsi"/>
                      <w:b/>
                      <w:i/>
                    </w:rPr>
                    <w:lastRenderedPageBreak/>
                    <w:t>Livrable 4</w:t>
                  </w:r>
                </w:p>
              </w:tc>
              <w:tc>
                <w:tcPr>
                  <w:tcW w:w="221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1C6F22" w:rsidRPr="0085295D" w:rsidRDefault="001C6F22" w:rsidP="001C6F22">
                  <w:pPr>
                    <w:spacing w:after="0"/>
                    <w:jc w:val="both"/>
                    <w:rPr>
                      <w:rFonts w:cstheme="minorHAnsi"/>
                      <w:bCs/>
                    </w:rPr>
                  </w:pPr>
                  <w:r w:rsidRPr="0085295D">
                    <w:rPr>
                      <w:rFonts w:cstheme="minorHAnsi"/>
                      <w:b/>
                    </w:rPr>
                    <w:t xml:space="preserve">Un rapport final de mission co-écrit avec le consultant national en français </w:t>
                  </w:r>
                  <w:r w:rsidRPr="0085295D">
                    <w:rPr>
                      <w:rFonts w:cstheme="minorHAnsi"/>
                      <w:b/>
                      <w:bCs/>
                    </w:rPr>
                    <w:t>ainsi que le Prodoc final</w:t>
                  </w:r>
                  <w:r w:rsidRPr="0085295D">
                    <w:rPr>
                      <w:rFonts w:cstheme="minorHAnsi"/>
                      <w:bCs/>
                    </w:rPr>
                    <w:t xml:space="preserve"> intégrant les commentaires et observations de l’équipe du PNUD, des agences et des sections de la Monusco.</w:t>
                  </w:r>
                </w:p>
              </w:tc>
              <w:tc>
                <w:tcPr>
                  <w:tcW w:w="501"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1C6F22" w:rsidRPr="0085295D" w:rsidRDefault="001C6F22" w:rsidP="001C6F22">
                  <w:pPr>
                    <w:spacing w:after="0"/>
                    <w:jc w:val="both"/>
                    <w:rPr>
                      <w:rFonts w:cstheme="minorHAnsi"/>
                      <w:bCs/>
                    </w:rPr>
                  </w:pPr>
                  <w:r w:rsidRPr="0085295D">
                    <w:rPr>
                      <w:rFonts w:cstheme="minorHAnsi"/>
                      <w:bCs/>
                    </w:rPr>
                    <w:t xml:space="preserve">Au plus tard </w:t>
                  </w:r>
                  <w:r w:rsidR="00E020DB">
                    <w:rPr>
                      <w:rFonts w:cstheme="minorHAnsi"/>
                      <w:bCs/>
                    </w:rPr>
                    <w:t>5 jours après la réception du document de programme conjoint</w:t>
                  </w:r>
                </w:p>
                <w:p w:rsidR="001C6F22" w:rsidRPr="0085295D" w:rsidDel="002300C5" w:rsidRDefault="001C6F22" w:rsidP="001C6F22">
                  <w:pPr>
                    <w:autoSpaceDE w:val="0"/>
                    <w:autoSpaceDN w:val="0"/>
                    <w:adjustRightInd w:val="0"/>
                    <w:spacing w:after="0"/>
                    <w:jc w:val="both"/>
                    <w:rPr>
                      <w:rFonts w:eastAsia="Calibri" w:cstheme="minorHAnsi"/>
                    </w:rPr>
                  </w:pPr>
                </w:p>
              </w:tc>
              <w:tc>
                <w:tcPr>
                  <w:tcW w:w="561"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1C6F22" w:rsidRPr="0085295D" w:rsidRDefault="001C6F22" w:rsidP="001C6F22">
                  <w:pPr>
                    <w:autoSpaceDE w:val="0"/>
                    <w:autoSpaceDN w:val="0"/>
                    <w:adjustRightInd w:val="0"/>
                    <w:spacing w:after="0"/>
                    <w:jc w:val="center"/>
                    <w:rPr>
                      <w:rFonts w:eastAsia="Calibri" w:cstheme="minorHAnsi"/>
                    </w:rPr>
                  </w:pPr>
                  <w:r w:rsidRPr="0085295D">
                    <w:rPr>
                      <w:rFonts w:eastAsia="Calibri" w:cstheme="minorHAnsi"/>
                    </w:rPr>
                    <w:t>10%</w:t>
                  </w:r>
                </w:p>
              </w:tc>
              <w:tc>
                <w:tcPr>
                  <w:tcW w:w="1084" w:type="pct"/>
                  <w:tcBorders>
                    <w:top w:val="single" w:sz="8" w:space="0" w:color="000000"/>
                    <w:left w:val="single" w:sz="8" w:space="0" w:color="000000"/>
                    <w:bottom w:val="single" w:sz="8" w:space="0" w:color="000000"/>
                    <w:right w:val="single" w:sz="8" w:space="0" w:color="000000"/>
                  </w:tcBorders>
                </w:tcPr>
                <w:p w:rsidR="001C6F22" w:rsidRPr="0085295D" w:rsidRDefault="001C6F22" w:rsidP="001C6F22">
                  <w:pPr>
                    <w:autoSpaceDE w:val="0"/>
                    <w:autoSpaceDN w:val="0"/>
                    <w:adjustRightInd w:val="0"/>
                    <w:spacing w:after="0"/>
                    <w:jc w:val="both"/>
                    <w:rPr>
                      <w:rFonts w:eastAsia="Calibri" w:cstheme="minorHAnsi"/>
                    </w:rPr>
                  </w:pPr>
                  <w:r w:rsidRPr="0085295D">
                    <w:rPr>
                      <w:rFonts w:cstheme="minorHAnsi"/>
                    </w:rPr>
                    <w:t>Paiement après validation du rapport final de la mission</w:t>
                  </w:r>
                </w:p>
              </w:tc>
            </w:tr>
            <w:bookmarkEnd w:id="2"/>
          </w:tbl>
          <w:p w:rsidR="00BF6263" w:rsidRPr="0085295D" w:rsidRDefault="00BF6263" w:rsidP="00167362">
            <w:pPr>
              <w:jc w:val="both"/>
              <w:rPr>
                <w:rFonts w:cstheme="minorHAnsi"/>
              </w:rPr>
            </w:pPr>
          </w:p>
        </w:tc>
      </w:tr>
    </w:tbl>
    <w:p w:rsidR="00361BEE" w:rsidRPr="0085295D" w:rsidRDefault="00361BEE" w:rsidP="00A24134">
      <w:pPr>
        <w:rPr>
          <w:rFonts w:cstheme="minorHAnsi"/>
          <w:b/>
        </w:rPr>
      </w:pPr>
    </w:p>
    <w:p w:rsidR="00AE0E6F" w:rsidRPr="0085295D" w:rsidRDefault="00AE0E6F" w:rsidP="00A24134">
      <w:pPr>
        <w:rPr>
          <w:rFonts w:cstheme="minorHAnsi"/>
          <w:b/>
        </w:rPr>
      </w:pPr>
      <w:bookmarkStart w:id="3" w:name="_Hlk29478034"/>
      <w:r w:rsidRPr="0085295D">
        <w:rPr>
          <w:rFonts w:cstheme="minorHAnsi"/>
          <w:b/>
        </w:rPr>
        <w:t>5. Méthodologies</w:t>
      </w:r>
    </w:p>
    <w:tbl>
      <w:tblPr>
        <w:tblStyle w:val="Grilledutableau"/>
        <w:tblW w:w="0" w:type="auto"/>
        <w:tblLook w:val="04A0"/>
      </w:tblPr>
      <w:tblGrid>
        <w:gridCol w:w="9350"/>
      </w:tblGrid>
      <w:tr w:rsidR="00AE0E6F" w:rsidRPr="0085295D" w:rsidTr="00AE0E6F">
        <w:tc>
          <w:tcPr>
            <w:tcW w:w="9350" w:type="dxa"/>
          </w:tcPr>
          <w:p w:rsidR="007E2889" w:rsidRPr="0085295D" w:rsidRDefault="007E2889" w:rsidP="007E2889">
            <w:pPr>
              <w:pStyle w:val="Corpsdetexte"/>
              <w:spacing w:after="0" w:line="276" w:lineRule="auto"/>
              <w:jc w:val="both"/>
              <w:rPr>
                <w:rFonts w:cstheme="minorHAnsi"/>
                <w:bCs/>
                <w:iCs/>
              </w:rPr>
            </w:pPr>
            <w:bookmarkStart w:id="4" w:name="_Hlk29478054"/>
            <w:bookmarkEnd w:id="3"/>
            <w:r w:rsidRPr="003445D9">
              <w:rPr>
                <w:rFonts w:cstheme="minorHAnsi"/>
                <w:bCs/>
                <w:iCs/>
              </w:rPr>
              <w:t>La mission de formulation doit être menée dans une approche participative et prendre en compte les avancées réalisées dans le cadre des projets PPAJ, Cellules d’Appui aux poursuites (CAPI, CAPII et CAPIII), PAJURR  et d’autres initiatives des agences et sections dans le domaine de la justice et de la sécurité. Il sera basé sur :</w:t>
            </w:r>
          </w:p>
          <w:p w:rsidR="007E2889" w:rsidRPr="0085295D" w:rsidRDefault="007E2889" w:rsidP="007E2889">
            <w:pPr>
              <w:pStyle w:val="Corpsdetexte"/>
              <w:numPr>
                <w:ilvl w:val="0"/>
                <w:numId w:val="33"/>
              </w:numPr>
              <w:spacing w:after="0" w:line="276" w:lineRule="auto"/>
              <w:jc w:val="both"/>
              <w:rPr>
                <w:rFonts w:cstheme="minorHAnsi"/>
                <w:bCs/>
                <w:iCs/>
              </w:rPr>
            </w:pPr>
            <w:r w:rsidRPr="0085295D">
              <w:rPr>
                <w:rFonts w:cstheme="minorHAnsi"/>
                <w:bCs/>
                <w:iCs/>
              </w:rPr>
              <w:t>Les entretiens avec les partenaires nationaux et internationaux (PTF, agences, ONG Internationales) intervenants dans le domaine de la justice et sécurité. </w:t>
            </w:r>
          </w:p>
          <w:p w:rsidR="007E2889" w:rsidRPr="0085295D" w:rsidRDefault="007E2889" w:rsidP="007E2889">
            <w:pPr>
              <w:pStyle w:val="Corpsdetexte"/>
              <w:numPr>
                <w:ilvl w:val="0"/>
                <w:numId w:val="33"/>
              </w:numPr>
              <w:spacing w:after="0" w:line="276" w:lineRule="auto"/>
              <w:jc w:val="both"/>
              <w:rPr>
                <w:rFonts w:cstheme="minorHAnsi"/>
                <w:bCs/>
                <w:iCs/>
              </w:rPr>
            </w:pPr>
            <w:r w:rsidRPr="0085295D">
              <w:rPr>
                <w:rFonts w:cstheme="minorHAnsi"/>
                <w:bCs/>
                <w:iCs/>
              </w:rPr>
              <w:t>Les entretiens avec les équipes du programme du PNUD (Pilier I et UPAQ) et des différentes sections de la Monusco (Justice Section Support, BCNUDH, Corrections, UNPOL, SSR), ainsi que d’autres agences sœurs (UNHCR)</w:t>
            </w:r>
          </w:p>
          <w:p w:rsidR="007E2889" w:rsidRPr="0085295D" w:rsidRDefault="007E2889" w:rsidP="007E2889">
            <w:pPr>
              <w:pStyle w:val="Corpsdetexte"/>
              <w:numPr>
                <w:ilvl w:val="0"/>
                <w:numId w:val="33"/>
              </w:numPr>
              <w:spacing w:after="0" w:line="276" w:lineRule="auto"/>
              <w:jc w:val="both"/>
              <w:rPr>
                <w:rFonts w:cstheme="minorHAnsi"/>
                <w:bCs/>
                <w:iCs/>
              </w:rPr>
            </w:pPr>
            <w:r w:rsidRPr="0085295D">
              <w:rPr>
                <w:rFonts w:cstheme="minorHAnsi"/>
                <w:bCs/>
                <w:iCs/>
              </w:rPr>
              <w:t>Les rapports des différents projets justice mis en œuvre par le PNUD, la Monusco et les agences sœurs, ainsi que les recommandations des différentes missions d’évaluations des projets et programme</w:t>
            </w:r>
          </w:p>
          <w:p w:rsidR="007E2889" w:rsidRPr="0085295D" w:rsidRDefault="007E2889" w:rsidP="007E2889">
            <w:pPr>
              <w:pStyle w:val="Corpsdetexte"/>
              <w:numPr>
                <w:ilvl w:val="0"/>
                <w:numId w:val="33"/>
              </w:numPr>
              <w:spacing w:after="0" w:line="276" w:lineRule="auto"/>
              <w:jc w:val="both"/>
              <w:rPr>
                <w:rFonts w:cstheme="minorHAnsi"/>
                <w:bCs/>
                <w:iCs/>
              </w:rPr>
            </w:pPr>
            <w:r w:rsidRPr="0085295D">
              <w:rPr>
                <w:rFonts w:cstheme="minorHAnsi"/>
                <w:bCs/>
                <w:iCs/>
              </w:rPr>
              <w:t xml:space="preserve">L’organisation d’ateliers sectoriels visant à la définition de la théorie du changement du programme conjoint. </w:t>
            </w:r>
          </w:p>
          <w:bookmarkEnd w:id="4"/>
          <w:p w:rsidR="00AE0E6F" w:rsidRPr="0085295D" w:rsidRDefault="00AE0E6F" w:rsidP="007E2889">
            <w:pPr>
              <w:jc w:val="both"/>
              <w:rPr>
                <w:rFonts w:cstheme="minorHAnsi"/>
                <w:b/>
              </w:rPr>
            </w:pPr>
          </w:p>
        </w:tc>
      </w:tr>
    </w:tbl>
    <w:p w:rsidR="00AE0E6F" w:rsidRPr="0085295D" w:rsidRDefault="00AE0E6F" w:rsidP="00A24134">
      <w:pPr>
        <w:rPr>
          <w:rFonts w:cstheme="minorHAnsi"/>
          <w:b/>
        </w:rPr>
      </w:pPr>
    </w:p>
    <w:p w:rsidR="00B7117E" w:rsidRPr="0085295D" w:rsidRDefault="007E2889" w:rsidP="007E2889">
      <w:pPr>
        <w:spacing w:after="0"/>
        <w:jc w:val="both"/>
        <w:rPr>
          <w:rFonts w:cstheme="minorHAnsi"/>
          <w:b/>
        </w:rPr>
      </w:pPr>
      <w:r w:rsidRPr="0085295D">
        <w:rPr>
          <w:rFonts w:cstheme="minorHAnsi"/>
          <w:b/>
        </w:rPr>
        <w:t xml:space="preserve">6. </w:t>
      </w:r>
      <w:bookmarkStart w:id="5" w:name="_Hlk29478076"/>
      <w:r w:rsidRPr="0085295D">
        <w:rPr>
          <w:rFonts w:cstheme="minorHAnsi"/>
          <w:b/>
        </w:rPr>
        <w:t>Documents de référence</w:t>
      </w:r>
      <w:bookmarkEnd w:id="5"/>
    </w:p>
    <w:p w:rsidR="007E2889" w:rsidRPr="0085295D" w:rsidRDefault="007E2889" w:rsidP="007E2889">
      <w:pPr>
        <w:spacing w:after="0"/>
        <w:jc w:val="both"/>
        <w:rPr>
          <w:rFonts w:cstheme="minorHAnsi"/>
          <w:b/>
        </w:rPr>
      </w:pPr>
    </w:p>
    <w:tbl>
      <w:tblPr>
        <w:tblStyle w:val="Grilledutableau"/>
        <w:tblW w:w="0" w:type="auto"/>
        <w:tblLook w:val="04A0"/>
      </w:tblPr>
      <w:tblGrid>
        <w:gridCol w:w="9350"/>
      </w:tblGrid>
      <w:tr w:rsidR="007E2889" w:rsidRPr="0085295D" w:rsidTr="007E2889">
        <w:tc>
          <w:tcPr>
            <w:tcW w:w="9350" w:type="dxa"/>
          </w:tcPr>
          <w:p w:rsidR="007E2889" w:rsidRPr="0085295D" w:rsidRDefault="007E2889" w:rsidP="007E2889">
            <w:pPr>
              <w:pStyle w:val="Paragraphedeliste"/>
              <w:numPr>
                <w:ilvl w:val="0"/>
                <w:numId w:val="34"/>
              </w:numPr>
              <w:spacing w:line="276" w:lineRule="auto"/>
              <w:jc w:val="both"/>
              <w:rPr>
                <w:rFonts w:cstheme="minorHAnsi"/>
              </w:rPr>
            </w:pPr>
            <w:bookmarkStart w:id="6" w:name="_Hlk29478090"/>
            <w:r w:rsidRPr="0085295D">
              <w:rPr>
                <w:rFonts w:cstheme="minorHAnsi"/>
              </w:rPr>
              <w:t xml:space="preserve">Prodoc initial du </w:t>
            </w:r>
            <w:r w:rsidRPr="0085295D">
              <w:rPr>
                <w:rFonts w:cstheme="minorHAnsi"/>
                <w:bCs/>
                <w:iCs/>
              </w:rPr>
              <w:t>projet CAP</w:t>
            </w:r>
          </w:p>
          <w:p w:rsidR="007E2889" w:rsidRPr="0085295D" w:rsidRDefault="007E2889" w:rsidP="007E2889">
            <w:pPr>
              <w:pStyle w:val="Paragraphedeliste"/>
              <w:numPr>
                <w:ilvl w:val="0"/>
                <w:numId w:val="34"/>
              </w:numPr>
              <w:spacing w:line="276" w:lineRule="auto"/>
              <w:jc w:val="both"/>
              <w:rPr>
                <w:rFonts w:cstheme="minorHAnsi"/>
              </w:rPr>
            </w:pPr>
            <w:r w:rsidRPr="0085295D">
              <w:rPr>
                <w:rFonts w:cstheme="minorHAnsi"/>
                <w:bCs/>
                <w:iCs/>
              </w:rPr>
              <w:t>Prodoc du Programme Pluriannuel d’Appui à la Justice (PPAJ)</w:t>
            </w:r>
          </w:p>
          <w:p w:rsidR="007E2889" w:rsidRPr="0085295D" w:rsidRDefault="007E2889" w:rsidP="007E2889">
            <w:pPr>
              <w:pStyle w:val="Paragraphedeliste"/>
              <w:numPr>
                <w:ilvl w:val="0"/>
                <w:numId w:val="34"/>
              </w:numPr>
              <w:spacing w:line="276" w:lineRule="auto"/>
              <w:jc w:val="both"/>
              <w:rPr>
                <w:rFonts w:cstheme="minorHAnsi"/>
              </w:rPr>
            </w:pPr>
            <w:r w:rsidRPr="0085295D">
              <w:rPr>
                <w:rFonts w:cstheme="minorHAnsi"/>
                <w:bCs/>
                <w:iCs/>
              </w:rPr>
              <w:t>Prodoc Projet Police de proximité et PDP</w:t>
            </w:r>
          </w:p>
          <w:p w:rsidR="007E2889" w:rsidRPr="0085295D" w:rsidRDefault="007E2889" w:rsidP="007E2889">
            <w:pPr>
              <w:pStyle w:val="Paragraphedeliste"/>
              <w:numPr>
                <w:ilvl w:val="0"/>
                <w:numId w:val="34"/>
              </w:numPr>
              <w:spacing w:line="276" w:lineRule="auto"/>
              <w:jc w:val="both"/>
              <w:rPr>
                <w:rFonts w:cstheme="minorHAnsi"/>
              </w:rPr>
            </w:pPr>
            <w:r w:rsidRPr="0085295D">
              <w:rPr>
                <w:rFonts w:cstheme="minorHAnsi"/>
                <w:bCs/>
                <w:iCs/>
              </w:rPr>
              <w:t>Prodoc Projet PAJURR</w:t>
            </w:r>
          </w:p>
          <w:p w:rsidR="007E2889" w:rsidRPr="0085295D" w:rsidRDefault="007E2889" w:rsidP="007E2889">
            <w:pPr>
              <w:pStyle w:val="Paragraphedeliste"/>
              <w:numPr>
                <w:ilvl w:val="0"/>
                <w:numId w:val="34"/>
              </w:numPr>
              <w:spacing w:line="276" w:lineRule="auto"/>
              <w:jc w:val="both"/>
              <w:rPr>
                <w:rFonts w:cstheme="minorHAnsi"/>
              </w:rPr>
            </w:pPr>
            <w:r w:rsidRPr="0085295D">
              <w:rPr>
                <w:rFonts w:cstheme="minorHAnsi"/>
                <w:bCs/>
                <w:iCs/>
              </w:rPr>
              <w:t>Note stratégique RoL</w:t>
            </w:r>
          </w:p>
          <w:p w:rsidR="007E2889" w:rsidRPr="0085295D" w:rsidRDefault="007E2889" w:rsidP="007E2889">
            <w:pPr>
              <w:pStyle w:val="Paragraphedeliste"/>
              <w:numPr>
                <w:ilvl w:val="0"/>
                <w:numId w:val="34"/>
              </w:numPr>
              <w:spacing w:line="276" w:lineRule="auto"/>
              <w:jc w:val="both"/>
              <w:rPr>
                <w:rFonts w:cstheme="minorHAnsi"/>
              </w:rPr>
            </w:pPr>
            <w:r w:rsidRPr="0085295D">
              <w:rPr>
                <w:rFonts w:cstheme="minorHAnsi"/>
                <w:bCs/>
                <w:iCs/>
              </w:rPr>
              <w:t xml:space="preserve">Cadre de résultats des différents projets (CAP, PAJURR, Police de proximité) </w:t>
            </w:r>
          </w:p>
          <w:p w:rsidR="007E2889" w:rsidRPr="0085295D" w:rsidRDefault="007E2889" w:rsidP="007E2889">
            <w:pPr>
              <w:pStyle w:val="Paragraphedeliste"/>
              <w:numPr>
                <w:ilvl w:val="0"/>
                <w:numId w:val="34"/>
              </w:numPr>
              <w:spacing w:line="276" w:lineRule="auto"/>
              <w:jc w:val="both"/>
              <w:rPr>
                <w:rFonts w:cstheme="minorHAnsi"/>
              </w:rPr>
            </w:pPr>
            <w:r w:rsidRPr="0085295D">
              <w:rPr>
                <w:rFonts w:cstheme="minorHAnsi"/>
                <w:bCs/>
                <w:iCs/>
              </w:rPr>
              <w:lastRenderedPageBreak/>
              <w:t>Rapports annuels et trimestriels des projets (CAP, PPAJ, PAJURR, Police de proximité)</w:t>
            </w:r>
          </w:p>
          <w:p w:rsidR="00CA000E" w:rsidRPr="0085295D" w:rsidRDefault="007E2889" w:rsidP="0085295D">
            <w:pPr>
              <w:pStyle w:val="Paragraphedeliste"/>
              <w:numPr>
                <w:ilvl w:val="0"/>
                <w:numId w:val="34"/>
              </w:numPr>
              <w:spacing w:line="276" w:lineRule="auto"/>
              <w:jc w:val="both"/>
              <w:rPr>
                <w:rFonts w:cstheme="minorHAnsi"/>
              </w:rPr>
            </w:pPr>
            <w:r w:rsidRPr="0085295D">
              <w:rPr>
                <w:rFonts w:cstheme="minorHAnsi"/>
                <w:bCs/>
                <w:iCs/>
              </w:rPr>
              <w:t>CPD 2020-2023</w:t>
            </w:r>
          </w:p>
        </w:tc>
      </w:tr>
      <w:bookmarkEnd w:id="6"/>
    </w:tbl>
    <w:p w:rsidR="00CA000E" w:rsidRPr="0085295D" w:rsidRDefault="00CA000E" w:rsidP="00B7117E">
      <w:pPr>
        <w:spacing w:after="0"/>
        <w:jc w:val="both"/>
        <w:rPr>
          <w:rFonts w:cstheme="minorHAnsi"/>
          <w:b/>
        </w:rPr>
      </w:pPr>
    </w:p>
    <w:p w:rsidR="00B7117E" w:rsidRPr="0085295D" w:rsidRDefault="007E2889" w:rsidP="00B7117E">
      <w:pPr>
        <w:spacing w:after="0"/>
        <w:jc w:val="both"/>
        <w:rPr>
          <w:rFonts w:cstheme="minorHAnsi"/>
        </w:rPr>
      </w:pPr>
      <w:r w:rsidRPr="0085295D">
        <w:rPr>
          <w:rFonts w:cstheme="minorHAnsi"/>
          <w:b/>
        </w:rPr>
        <w:t>7</w:t>
      </w:r>
      <w:r w:rsidR="00B7117E" w:rsidRPr="0085295D">
        <w:rPr>
          <w:rFonts w:cstheme="minorHAnsi"/>
          <w:b/>
        </w:rPr>
        <w:t xml:space="preserve">. </w:t>
      </w:r>
      <w:r w:rsidR="00B7117E" w:rsidRPr="0085295D">
        <w:rPr>
          <w:rFonts w:cstheme="minorHAnsi"/>
          <w:b/>
          <w:bCs/>
        </w:rPr>
        <w:t>Qualifications requises</w:t>
      </w:r>
    </w:p>
    <w:p w:rsidR="00B7117E" w:rsidRPr="0085295D" w:rsidRDefault="00B7117E" w:rsidP="00B7117E">
      <w:pPr>
        <w:pStyle w:val="Paragraphedeliste"/>
        <w:spacing w:after="0"/>
        <w:jc w:val="both"/>
        <w:rPr>
          <w:rFonts w:cstheme="minorHAnsi"/>
        </w:rPr>
      </w:pPr>
    </w:p>
    <w:tbl>
      <w:tblPr>
        <w:tblW w:w="946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shd w:val="clear" w:color="auto" w:fill="E0E0E0"/>
        <w:tblLook w:val="04A0"/>
      </w:tblPr>
      <w:tblGrid>
        <w:gridCol w:w="1908"/>
        <w:gridCol w:w="7560"/>
      </w:tblGrid>
      <w:tr w:rsidR="00284681" w:rsidRPr="0085295D" w:rsidTr="007E2889">
        <w:trPr>
          <w:trHeight w:val="230"/>
        </w:trPr>
        <w:tc>
          <w:tcPr>
            <w:tcW w:w="1908" w:type="dxa"/>
            <w:tcBorders>
              <w:top w:val="single" w:sz="4" w:space="0" w:color="000080"/>
              <w:left w:val="single" w:sz="4" w:space="0" w:color="000080"/>
              <w:bottom w:val="single" w:sz="4" w:space="0" w:color="000080"/>
              <w:right w:val="single" w:sz="4" w:space="0" w:color="000080"/>
            </w:tcBorders>
            <w:shd w:val="clear" w:color="auto" w:fill="auto"/>
            <w:vAlign w:val="center"/>
            <w:hideMark/>
          </w:tcPr>
          <w:p w:rsidR="007E2889" w:rsidRPr="0085295D" w:rsidRDefault="007E2889">
            <w:pPr>
              <w:spacing w:after="0"/>
              <w:rPr>
                <w:rFonts w:cstheme="minorHAnsi"/>
              </w:rPr>
            </w:pPr>
            <w:bookmarkStart w:id="7" w:name="_Hlk29477674"/>
            <w:r w:rsidRPr="0085295D">
              <w:rPr>
                <w:rFonts w:cstheme="minorHAnsi"/>
              </w:rPr>
              <w:t>Education :</w:t>
            </w:r>
          </w:p>
        </w:tc>
        <w:tc>
          <w:tcPr>
            <w:tcW w:w="7560" w:type="dxa"/>
            <w:tcBorders>
              <w:top w:val="single" w:sz="4" w:space="0" w:color="000080"/>
              <w:left w:val="single" w:sz="4" w:space="0" w:color="000080"/>
              <w:bottom w:val="single" w:sz="4" w:space="0" w:color="000080"/>
              <w:right w:val="single" w:sz="4" w:space="0" w:color="000080"/>
            </w:tcBorders>
            <w:shd w:val="clear" w:color="auto" w:fill="auto"/>
            <w:vAlign w:val="center"/>
            <w:hideMark/>
          </w:tcPr>
          <w:p w:rsidR="007E2889" w:rsidRPr="009810D5" w:rsidRDefault="007E2889">
            <w:pPr>
              <w:pStyle w:val="Paragraphedeliste"/>
              <w:spacing w:after="0"/>
              <w:ind w:left="0"/>
              <w:rPr>
                <w:rFonts w:cstheme="minorHAnsi"/>
              </w:rPr>
            </w:pPr>
            <w:r w:rsidRPr="009810D5">
              <w:rPr>
                <w:rFonts w:cstheme="minorHAnsi"/>
              </w:rPr>
              <w:t>Diplôme universitaire en Sciences politiques, droit ou toute autre discipline similaire</w:t>
            </w:r>
          </w:p>
        </w:tc>
      </w:tr>
      <w:tr w:rsidR="00284681" w:rsidRPr="0085295D" w:rsidTr="007E2889">
        <w:trPr>
          <w:trHeight w:val="230"/>
        </w:trPr>
        <w:tc>
          <w:tcPr>
            <w:tcW w:w="1908" w:type="dxa"/>
            <w:tcBorders>
              <w:top w:val="single" w:sz="4" w:space="0" w:color="000080"/>
              <w:left w:val="single" w:sz="4" w:space="0" w:color="000080"/>
              <w:bottom w:val="single" w:sz="4" w:space="0" w:color="000080"/>
              <w:right w:val="single" w:sz="4" w:space="0" w:color="000080"/>
            </w:tcBorders>
            <w:shd w:val="clear" w:color="auto" w:fill="auto"/>
          </w:tcPr>
          <w:p w:rsidR="007E2889" w:rsidRPr="0085295D" w:rsidRDefault="007E2889">
            <w:pPr>
              <w:rPr>
                <w:rFonts w:cstheme="minorHAnsi"/>
              </w:rPr>
            </w:pPr>
          </w:p>
          <w:p w:rsidR="007E2889" w:rsidRPr="0085295D" w:rsidRDefault="007E2889">
            <w:pPr>
              <w:rPr>
                <w:rFonts w:cstheme="minorHAnsi"/>
              </w:rPr>
            </w:pPr>
          </w:p>
          <w:p w:rsidR="007E2889" w:rsidRPr="0085295D" w:rsidRDefault="007E2889">
            <w:pPr>
              <w:rPr>
                <w:rFonts w:cstheme="minorHAnsi"/>
              </w:rPr>
            </w:pPr>
            <w:r w:rsidRPr="0085295D">
              <w:rPr>
                <w:rFonts w:cstheme="minorHAnsi"/>
              </w:rPr>
              <w:t>Expérience :</w:t>
            </w:r>
          </w:p>
        </w:tc>
        <w:tc>
          <w:tcPr>
            <w:tcW w:w="7560" w:type="dxa"/>
            <w:tcBorders>
              <w:top w:val="single" w:sz="4" w:space="0" w:color="000080"/>
              <w:left w:val="single" w:sz="4" w:space="0" w:color="000080"/>
              <w:bottom w:val="single" w:sz="4" w:space="0" w:color="000080"/>
              <w:right w:val="single" w:sz="4" w:space="0" w:color="000080"/>
            </w:tcBorders>
            <w:shd w:val="clear" w:color="auto" w:fill="auto"/>
            <w:hideMark/>
          </w:tcPr>
          <w:p w:rsidR="006374D7" w:rsidRPr="009810D5" w:rsidRDefault="007E2889" w:rsidP="00C54400">
            <w:pPr>
              <w:pStyle w:val="Paragraphedeliste"/>
              <w:numPr>
                <w:ilvl w:val="0"/>
                <w:numId w:val="35"/>
              </w:numPr>
              <w:spacing w:after="0"/>
              <w:ind w:left="724" w:hanging="647"/>
              <w:jc w:val="both"/>
              <w:rPr>
                <w:lang w:eastAsia="ko-KR"/>
              </w:rPr>
            </w:pPr>
            <w:r w:rsidRPr="009810D5">
              <w:rPr>
                <w:rFonts w:cstheme="minorHAnsi"/>
              </w:rPr>
              <w:t>Expérience d’au moins 7 ans dans la mise en œuvre des programmes/projets de développement</w:t>
            </w:r>
            <w:r w:rsidR="00A21C55" w:rsidRPr="009810D5">
              <w:rPr>
                <w:rFonts w:cstheme="minorHAnsi"/>
              </w:rPr>
              <w:t xml:space="preserve"> dans plusieurs </w:t>
            </w:r>
            <w:r w:rsidR="00822FE9" w:rsidRPr="009810D5">
              <w:rPr>
                <w:rFonts w:cstheme="minorHAnsi"/>
              </w:rPr>
              <w:t>pays</w:t>
            </w:r>
            <w:r w:rsidR="00A21C55" w:rsidRPr="009810D5">
              <w:rPr>
                <w:rFonts w:cstheme="minorHAnsi"/>
              </w:rPr>
              <w:t> </w:t>
            </w:r>
            <w:r w:rsidR="00DD67CE" w:rsidRPr="009810D5">
              <w:rPr>
                <w:rFonts w:cstheme="minorHAnsi"/>
              </w:rPr>
              <w:t>y compris la R</w:t>
            </w:r>
            <w:r w:rsidR="006374D7" w:rsidRPr="009810D5">
              <w:rPr>
                <w:rFonts w:cstheme="minorHAnsi"/>
              </w:rPr>
              <w:t>DC</w:t>
            </w:r>
            <w:r w:rsidR="00A21C55" w:rsidRPr="009810D5">
              <w:rPr>
                <w:rFonts w:cstheme="minorHAnsi"/>
              </w:rPr>
              <w:t>;</w:t>
            </w:r>
          </w:p>
          <w:p w:rsidR="007E2889" w:rsidRPr="009810D5" w:rsidRDefault="007E2889" w:rsidP="006374D7">
            <w:pPr>
              <w:pStyle w:val="Paragraphedeliste"/>
              <w:numPr>
                <w:ilvl w:val="0"/>
                <w:numId w:val="35"/>
              </w:numPr>
              <w:spacing w:after="0"/>
              <w:ind w:left="724" w:hanging="647"/>
              <w:jc w:val="both"/>
              <w:rPr>
                <w:lang w:eastAsia="ko-KR"/>
              </w:rPr>
            </w:pPr>
            <w:r w:rsidRPr="009810D5">
              <w:rPr>
                <w:rFonts w:cstheme="minorHAnsi"/>
              </w:rPr>
              <w:t>Expérience dans la formulation des programmes et projets dans le domaine de l’Etat de droit, la justice, la sécurité</w:t>
            </w:r>
            <w:r w:rsidR="00822FE9" w:rsidRPr="009810D5">
              <w:rPr>
                <w:rFonts w:cstheme="minorHAnsi"/>
              </w:rPr>
              <w:t xml:space="preserve"> dans plusieurs contextes</w:t>
            </w:r>
            <w:r w:rsidR="006374D7" w:rsidRPr="009810D5">
              <w:rPr>
                <w:rFonts w:cstheme="minorHAnsi"/>
              </w:rPr>
              <w:t xml:space="preserve"> y compris la RDC</w:t>
            </w:r>
            <w:r w:rsidRPr="009810D5">
              <w:rPr>
                <w:rFonts w:cstheme="minorHAnsi"/>
              </w:rPr>
              <w:t>...</w:t>
            </w:r>
          </w:p>
          <w:p w:rsidR="007E2889" w:rsidRPr="009810D5" w:rsidRDefault="007E2889" w:rsidP="007E2889">
            <w:pPr>
              <w:pStyle w:val="Paragraphedeliste"/>
              <w:numPr>
                <w:ilvl w:val="0"/>
                <w:numId w:val="35"/>
              </w:numPr>
              <w:spacing w:after="0"/>
              <w:ind w:left="724" w:hanging="647"/>
              <w:jc w:val="both"/>
              <w:rPr>
                <w:rFonts w:cstheme="minorHAnsi"/>
              </w:rPr>
            </w:pPr>
            <w:r w:rsidRPr="009810D5">
              <w:rPr>
                <w:rFonts w:cstheme="minorHAnsi"/>
              </w:rPr>
              <w:t>Bonne connaissance des programmes post-conflit</w:t>
            </w:r>
            <w:r w:rsidR="003576C8" w:rsidRPr="009810D5">
              <w:rPr>
                <w:rFonts w:cstheme="minorHAnsi"/>
              </w:rPr>
              <w:t xml:space="preserve"> ; </w:t>
            </w:r>
          </w:p>
          <w:p w:rsidR="007E2889" w:rsidRPr="009810D5" w:rsidRDefault="007E2889" w:rsidP="007E2889">
            <w:pPr>
              <w:pStyle w:val="Paragraphedeliste"/>
              <w:numPr>
                <w:ilvl w:val="0"/>
                <w:numId w:val="35"/>
              </w:numPr>
              <w:spacing w:after="0"/>
              <w:ind w:left="724" w:hanging="647"/>
              <w:jc w:val="both"/>
              <w:rPr>
                <w:rFonts w:cstheme="minorHAnsi"/>
              </w:rPr>
            </w:pPr>
            <w:r w:rsidRPr="009810D5">
              <w:rPr>
                <w:rFonts w:cstheme="minorHAnsi"/>
              </w:rPr>
              <w:t>Connaissance avérée dans le domaine de Rule of Law (Justice et sécurité)</w:t>
            </w:r>
            <w:r w:rsidR="00216EC9" w:rsidRPr="009810D5">
              <w:rPr>
                <w:rFonts w:cstheme="minorHAnsi"/>
              </w:rPr>
              <w:t>;</w:t>
            </w:r>
          </w:p>
          <w:p w:rsidR="00A21C55" w:rsidRPr="009810D5" w:rsidRDefault="00A21C55" w:rsidP="007E2889">
            <w:pPr>
              <w:pStyle w:val="Paragraphedeliste"/>
              <w:numPr>
                <w:ilvl w:val="0"/>
                <w:numId w:val="35"/>
              </w:numPr>
              <w:spacing w:after="0"/>
              <w:ind w:left="724" w:hanging="647"/>
              <w:jc w:val="both"/>
              <w:rPr>
                <w:rFonts w:cstheme="minorHAnsi"/>
              </w:rPr>
            </w:pPr>
            <w:r w:rsidRPr="009810D5">
              <w:rPr>
                <w:rFonts w:cstheme="minorHAnsi"/>
              </w:rPr>
              <w:t xml:space="preserve">Bonnes capacités rédactionnelles ; </w:t>
            </w:r>
          </w:p>
          <w:p w:rsidR="007E2889" w:rsidRPr="009810D5" w:rsidRDefault="007E2889" w:rsidP="007E2889">
            <w:pPr>
              <w:pStyle w:val="Paragraphedeliste"/>
              <w:numPr>
                <w:ilvl w:val="0"/>
                <w:numId w:val="35"/>
              </w:numPr>
              <w:spacing w:after="0"/>
              <w:ind w:left="724" w:hanging="647"/>
              <w:jc w:val="both"/>
              <w:rPr>
                <w:rFonts w:cstheme="minorHAnsi"/>
              </w:rPr>
            </w:pPr>
            <w:r w:rsidRPr="009810D5">
              <w:rPr>
                <w:rFonts w:cstheme="minorHAnsi"/>
              </w:rPr>
              <w:t>Bonne capacité de synthèse</w:t>
            </w:r>
          </w:p>
          <w:p w:rsidR="007E2889" w:rsidRPr="009810D5" w:rsidRDefault="007E2889" w:rsidP="007E2889">
            <w:pPr>
              <w:pStyle w:val="Paragraphedeliste"/>
              <w:numPr>
                <w:ilvl w:val="0"/>
                <w:numId w:val="35"/>
              </w:numPr>
              <w:spacing w:after="0"/>
              <w:ind w:left="724" w:hanging="647"/>
              <w:jc w:val="both"/>
              <w:rPr>
                <w:rFonts w:cstheme="minorHAnsi"/>
              </w:rPr>
            </w:pPr>
            <w:r w:rsidRPr="009810D5">
              <w:rPr>
                <w:rFonts w:cstheme="minorHAnsi"/>
              </w:rPr>
              <w:t>Excellente connaissance des bailleurs de fond et de leurs priorités et modalités</w:t>
            </w:r>
          </w:p>
          <w:p w:rsidR="0085295D" w:rsidRPr="009810D5" w:rsidRDefault="007E2889" w:rsidP="0085295D">
            <w:pPr>
              <w:pStyle w:val="Paragraphedeliste"/>
              <w:numPr>
                <w:ilvl w:val="0"/>
                <w:numId w:val="35"/>
              </w:numPr>
              <w:spacing w:after="0"/>
              <w:ind w:left="724" w:hanging="647"/>
              <w:jc w:val="both"/>
              <w:rPr>
                <w:rFonts w:cstheme="minorHAnsi"/>
              </w:rPr>
            </w:pPr>
            <w:r w:rsidRPr="009810D5">
              <w:rPr>
                <w:rFonts w:cstheme="minorHAnsi"/>
              </w:rPr>
              <w:t>Une bonne connaissance du SNU et de ses procédures serait un atout</w:t>
            </w:r>
          </w:p>
          <w:p w:rsidR="007E2889" w:rsidRPr="009810D5" w:rsidRDefault="0085295D" w:rsidP="0085295D">
            <w:pPr>
              <w:pStyle w:val="Paragraphedeliste"/>
              <w:numPr>
                <w:ilvl w:val="0"/>
                <w:numId w:val="35"/>
              </w:numPr>
              <w:spacing w:after="0"/>
              <w:ind w:left="724" w:hanging="647"/>
              <w:jc w:val="both"/>
              <w:rPr>
                <w:rFonts w:cstheme="minorHAnsi"/>
              </w:rPr>
            </w:pPr>
            <w:r w:rsidRPr="009810D5">
              <w:rPr>
                <w:rFonts w:cstheme="minorHAnsi"/>
              </w:rPr>
              <w:t>Usage aisé de l’outil informatique</w:t>
            </w:r>
          </w:p>
        </w:tc>
      </w:tr>
      <w:tr w:rsidR="007E2889" w:rsidRPr="0085295D" w:rsidTr="007E2889">
        <w:trPr>
          <w:trHeight w:val="230"/>
        </w:trPr>
        <w:tc>
          <w:tcPr>
            <w:tcW w:w="1908" w:type="dxa"/>
            <w:tcBorders>
              <w:top w:val="single" w:sz="4" w:space="0" w:color="000080"/>
              <w:left w:val="single" w:sz="4" w:space="0" w:color="000080"/>
              <w:bottom w:val="single" w:sz="4" w:space="0" w:color="000080"/>
              <w:right w:val="single" w:sz="4" w:space="0" w:color="000080"/>
            </w:tcBorders>
            <w:shd w:val="clear" w:color="auto" w:fill="auto"/>
            <w:hideMark/>
          </w:tcPr>
          <w:p w:rsidR="007E2889" w:rsidRPr="0085295D" w:rsidRDefault="007E2889">
            <w:pPr>
              <w:spacing w:after="0"/>
              <w:rPr>
                <w:rFonts w:cstheme="minorHAnsi"/>
              </w:rPr>
            </w:pPr>
            <w:r w:rsidRPr="0085295D">
              <w:rPr>
                <w:rFonts w:cstheme="minorHAnsi"/>
              </w:rPr>
              <w:t>Langues requises :</w:t>
            </w:r>
          </w:p>
        </w:tc>
        <w:tc>
          <w:tcPr>
            <w:tcW w:w="7560" w:type="dxa"/>
            <w:tcBorders>
              <w:top w:val="single" w:sz="4" w:space="0" w:color="000080"/>
              <w:left w:val="single" w:sz="4" w:space="0" w:color="000080"/>
              <w:bottom w:val="single" w:sz="4" w:space="0" w:color="000080"/>
              <w:right w:val="single" w:sz="4" w:space="0" w:color="000080"/>
            </w:tcBorders>
            <w:shd w:val="clear" w:color="auto" w:fill="auto"/>
            <w:hideMark/>
          </w:tcPr>
          <w:p w:rsidR="007E2889" w:rsidRPr="0085295D" w:rsidRDefault="007E2889">
            <w:pPr>
              <w:spacing w:after="0"/>
              <w:jc w:val="both"/>
              <w:rPr>
                <w:rFonts w:cstheme="minorHAnsi"/>
              </w:rPr>
            </w:pPr>
            <w:r w:rsidRPr="0085295D">
              <w:rPr>
                <w:rFonts w:cstheme="minorHAnsi"/>
              </w:rPr>
              <w:t>Une excellente maîtrise de la langue française. Maitrise de l’anglais est exigée</w:t>
            </w:r>
          </w:p>
        </w:tc>
      </w:tr>
      <w:bookmarkEnd w:id="7"/>
    </w:tbl>
    <w:p w:rsidR="00B7117E" w:rsidRPr="0085295D" w:rsidRDefault="00B7117E" w:rsidP="00B7117E">
      <w:pPr>
        <w:spacing w:after="0"/>
        <w:jc w:val="both"/>
        <w:rPr>
          <w:rFonts w:cstheme="minorHAnsi"/>
          <w:lang w:val="fr-CD"/>
        </w:rPr>
      </w:pPr>
    </w:p>
    <w:p w:rsidR="0002060B" w:rsidRPr="0085295D" w:rsidRDefault="0002060B" w:rsidP="0002060B">
      <w:pPr>
        <w:rPr>
          <w:rFonts w:cstheme="minorHAnsi"/>
          <w:b/>
        </w:rPr>
      </w:pPr>
      <w:bookmarkStart w:id="8" w:name="_Hlk29215072"/>
      <w:r w:rsidRPr="003445D9">
        <w:rPr>
          <w:rFonts w:cstheme="minorHAnsi"/>
          <w:b/>
        </w:rPr>
        <w:t xml:space="preserve">8. </w:t>
      </w:r>
      <w:bookmarkStart w:id="9" w:name="_Hlk29478113"/>
      <w:r w:rsidRPr="003445D9">
        <w:rPr>
          <w:rFonts w:eastAsia="Calibri" w:cstheme="minorHAnsi"/>
          <w:b/>
        </w:rPr>
        <w:t>Documents constitutifs de l’offre</w:t>
      </w:r>
      <w:bookmarkEnd w:id="9"/>
    </w:p>
    <w:tbl>
      <w:tblPr>
        <w:tblStyle w:val="Grilledutableau"/>
        <w:tblW w:w="5000" w:type="pct"/>
        <w:tblLook w:val="04A0"/>
      </w:tblPr>
      <w:tblGrid>
        <w:gridCol w:w="9576"/>
      </w:tblGrid>
      <w:tr w:rsidR="00284681" w:rsidRPr="0085295D" w:rsidTr="00284681">
        <w:trPr>
          <w:trHeight w:val="755"/>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60B" w:rsidRPr="0085295D" w:rsidRDefault="0002060B">
            <w:pPr>
              <w:rPr>
                <w:rFonts w:cstheme="minorHAnsi"/>
              </w:rPr>
            </w:pPr>
            <w:bookmarkStart w:id="10" w:name="_Hlk29478131"/>
            <w:r w:rsidRPr="0085295D">
              <w:rPr>
                <w:rFonts w:cstheme="minorHAnsi"/>
              </w:rPr>
              <w:t>Les consultants intéressés doivent inclure dans leurs offres les documents/informations ci-dessous :</w:t>
            </w:r>
          </w:p>
          <w:p w:rsidR="0002060B" w:rsidRPr="0085295D" w:rsidRDefault="0002060B">
            <w:pPr>
              <w:rPr>
                <w:rFonts w:cstheme="minorHAnsi"/>
              </w:rPr>
            </w:pPr>
          </w:p>
          <w:p w:rsidR="0002060B" w:rsidRPr="0085295D" w:rsidRDefault="0002060B">
            <w:pPr>
              <w:rPr>
                <w:rFonts w:cstheme="minorHAnsi"/>
                <w:b/>
              </w:rPr>
            </w:pPr>
            <w:r w:rsidRPr="0085295D">
              <w:rPr>
                <w:rFonts w:cstheme="minorHAnsi"/>
                <w:b/>
              </w:rPr>
              <w:t>1. Proposition technique :</w:t>
            </w:r>
          </w:p>
          <w:p w:rsidR="0002060B" w:rsidRPr="0085295D" w:rsidRDefault="0002060B">
            <w:pPr>
              <w:rPr>
                <w:rFonts w:cstheme="minorHAnsi"/>
              </w:rPr>
            </w:pPr>
          </w:p>
          <w:p w:rsidR="0002060B" w:rsidRPr="0085295D" w:rsidRDefault="0002060B" w:rsidP="0002060B">
            <w:pPr>
              <w:pStyle w:val="Paragraphedeliste"/>
              <w:numPr>
                <w:ilvl w:val="0"/>
                <w:numId w:val="36"/>
              </w:numPr>
              <w:rPr>
                <w:rFonts w:cstheme="minorHAnsi"/>
              </w:rPr>
            </w:pPr>
            <w:r w:rsidRPr="0085295D">
              <w:rPr>
                <w:rFonts w:cstheme="minorHAnsi"/>
              </w:rPr>
              <w:t>Une note explicative sur la compréhension des termes de référence et les raisons de la candidature ;</w:t>
            </w:r>
          </w:p>
          <w:p w:rsidR="0002060B" w:rsidRPr="0085295D" w:rsidRDefault="0002060B" w:rsidP="0002060B">
            <w:pPr>
              <w:pStyle w:val="Paragraphedeliste"/>
              <w:numPr>
                <w:ilvl w:val="0"/>
                <w:numId w:val="36"/>
              </w:numPr>
              <w:rPr>
                <w:rFonts w:cstheme="minorHAnsi"/>
              </w:rPr>
            </w:pPr>
            <w:r w:rsidRPr="0085295D">
              <w:rPr>
                <w:rFonts w:cstheme="minorHAnsi"/>
              </w:rPr>
              <w:t xml:space="preserve">Une brève présentation de l’approche méthodologique et de l’organisation envisagée de la mission (chronogramme et plan de travail) ; </w:t>
            </w:r>
          </w:p>
          <w:p w:rsidR="0002060B" w:rsidRPr="0085295D" w:rsidRDefault="0002060B" w:rsidP="0002060B">
            <w:pPr>
              <w:pStyle w:val="Paragraphedeliste"/>
              <w:numPr>
                <w:ilvl w:val="0"/>
                <w:numId w:val="36"/>
              </w:numPr>
              <w:rPr>
                <w:rFonts w:cstheme="minorHAnsi"/>
              </w:rPr>
            </w:pPr>
            <w:r w:rsidRPr="0085295D">
              <w:rPr>
                <w:rFonts w:cstheme="minorHAnsi"/>
              </w:rPr>
              <w:t xml:space="preserve">CV incluant notamment les expériences acquises dans les projets, domaines similaires ou connexes et 3 références. </w:t>
            </w:r>
          </w:p>
          <w:p w:rsidR="0002060B" w:rsidRPr="0085295D" w:rsidRDefault="0002060B">
            <w:pPr>
              <w:pStyle w:val="Paragraphedeliste"/>
              <w:rPr>
                <w:rFonts w:cstheme="minorHAnsi"/>
              </w:rPr>
            </w:pPr>
          </w:p>
          <w:p w:rsidR="0002060B" w:rsidRPr="0085295D" w:rsidRDefault="0002060B">
            <w:pPr>
              <w:rPr>
                <w:rFonts w:cstheme="minorHAnsi"/>
                <w:b/>
              </w:rPr>
            </w:pPr>
            <w:r w:rsidRPr="0085295D">
              <w:rPr>
                <w:rFonts w:cstheme="minorHAnsi"/>
                <w:b/>
              </w:rPr>
              <w:t xml:space="preserve">2. Lettre d´offre avec une proposition financière – </w:t>
            </w:r>
            <w:r w:rsidRPr="0085295D">
              <w:rPr>
                <w:rFonts w:cstheme="minorHAnsi"/>
                <w:b/>
                <w:i/>
              </w:rPr>
              <w:t>Lettre de soumission au PNUD confirmant l´intérêt et la disponibilité du prestataire individuel (IC) pour la mission</w:t>
            </w:r>
            <w:r w:rsidRPr="0085295D">
              <w:rPr>
                <w:rFonts w:cstheme="minorHAnsi"/>
                <w:b/>
              </w:rPr>
              <w:t xml:space="preserve"> – Annexe 2</w:t>
            </w:r>
          </w:p>
          <w:p w:rsidR="0002060B" w:rsidRPr="0085295D" w:rsidRDefault="0002060B">
            <w:pPr>
              <w:rPr>
                <w:rFonts w:cstheme="minorHAnsi"/>
              </w:rPr>
            </w:pPr>
          </w:p>
          <w:p w:rsidR="0002060B" w:rsidRPr="0085295D" w:rsidRDefault="0002060B" w:rsidP="0002060B">
            <w:pPr>
              <w:pStyle w:val="Paragraphedeliste"/>
              <w:numPr>
                <w:ilvl w:val="0"/>
                <w:numId w:val="37"/>
              </w:numPr>
              <w:rPr>
                <w:rFonts w:cstheme="minorHAnsi"/>
              </w:rPr>
            </w:pPr>
            <w:r w:rsidRPr="0085295D">
              <w:rPr>
                <w:rFonts w:cstheme="minorHAnsi"/>
              </w:rPr>
              <w:t xml:space="preserve">Le/la Consultant(e) doit remplir et signer la </w:t>
            </w:r>
            <w:r w:rsidRPr="0085295D">
              <w:rPr>
                <w:rFonts w:cstheme="minorHAnsi"/>
                <w:i/>
              </w:rPr>
              <w:t xml:space="preserve">Lettre de soumission au PNUD confirmant l´intérêt et </w:t>
            </w:r>
            <w:r w:rsidRPr="0085295D">
              <w:rPr>
                <w:rFonts w:cstheme="minorHAnsi"/>
                <w:i/>
              </w:rPr>
              <w:lastRenderedPageBreak/>
              <w:t xml:space="preserve">la disponibilité du prestataire individuel (IC) pour la mission </w:t>
            </w:r>
            <w:r w:rsidRPr="0085295D">
              <w:rPr>
                <w:rFonts w:cstheme="minorHAnsi"/>
              </w:rPr>
              <w:t>– Annexe 2.</w:t>
            </w:r>
          </w:p>
          <w:p w:rsidR="0002060B" w:rsidRPr="0085295D" w:rsidRDefault="0002060B" w:rsidP="0002060B">
            <w:pPr>
              <w:pStyle w:val="Paragraphedeliste"/>
              <w:numPr>
                <w:ilvl w:val="0"/>
                <w:numId w:val="37"/>
              </w:numPr>
              <w:rPr>
                <w:rFonts w:cstheme="minorHAnsi"/>
              </w:rPr>
            </w:pPr>
            <w:r w:rsidRPr="0085295D">
              <w:rPr>
                <w:rFonts w:cstheme="minorHAnsi"/>
              </w:rPr>
              <w:t>Le/la Consultant(e) doit proposer un montant forfaitaire et présenter dans le Tableau des coûts la ventilation de ce montant forfaitaire (le modèle du tableau des couts est joint à la Lettre de soumission – pages 4-5).</w:t>
            </w:r>
          </w:p>
          <w:bookmarkEnd w:id="10"/>
          <w:p w:rsidR="0002060B" w:rsidRPr="0085295D" w:rsidRDefault="0002060B">
            <w:pPr>
              <w:rPr>
                <w:rFonts w:cstheme="minorHAnsi"/>
              </w:rPr>
            </w:pPr>
          </w:p>
        </w:tc>
      </w:tr>
    </w:tbl>
    <w:p w:rsidR="0002060B" w:rsidRPr="0085295D" w:rsidRDefault="0002060B" w:rsidP="0002060B">
      <w:pPr>
        <w:rPr>
          <w:rFonts w:cstheme="minorHAnsi"/>
          <w:b/>
        </w:rPr>
      </w:pPr>
    </w:p>
    <w:p w:rsidR="0002060B" w:rsidRPr="0085295D" w:rsidRDefault="0002060B" w:rsidP="0002060B">
      <w:pPr>
        <w:rPr>
          <w:rFonts w:cstheme="minorHAnsi"/>
          <w:b/>
        </w:rPr>
      </w:pPr>
      <w:r w:rsidRPr="0085295D">
        <w:rPr>
          <w:rFonts w:cstheme="minorHAnsi"/>
          <w:b/>
        </w:rPr>
        <w:t xml:space="preserve">9. </w:t>
      </w:r>
      <w:bookmarkStart w:id="11" w:name="_Hlk29478152"/>
      <w:r w:rsidRPr="0085295D">
        <w:rPr>
          <w:rFonts w:cstheme="minorHAnsi"/>
          <w:b/>
        </w:rPr>
        <w:t xml:space="preserve">Evaluation </w:t>
      </w:r>
      <w:bookmarkEnd w:id="11"/>
    </w:p>
    <w:tbl>
      <w:tblPr>
        <w:tblStyle w:val="Grilledutableau"/>
        <w:tblW w:w="0" w:type="auto"/>
        <w:tblLook w:val="04A0"/>
      </w:tblPr>
      <w:tblGrid>
        <w:gridCol w:w="9576"/>
      </w:tblGrid>
      <w:tr w:rsidR="00284681" w:rsidRPr="0085295D" w:rsidTr="0002060B">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60B" w:rsidRPr="009810D5" w:rsidRDefault="0002060B">
            <w:pPr>
              <w:jc w:val="both"/>
              <w:rPr>
                <w:rFonts w:eastAsia="Times New Roman" w:cstheme="minorHAnsi"/>
                <w:b/>
                <w:u w:val="single"/>
                <w:lang w:eastAsia="rw-RW"/>
              </w:rPr>
            </w:pPr>
          </w:p>
          <w:p w:rsidR="0002060B" w:rsidRPr="009810D5" w:rsidRDefault="0002060B">
            <w:pPr>
              <w:rPr>
                <w:rFonts w:cstheme="minorHAnsi"/>
              </w:rPr>
            </w:pPr>
            <w:bookmarkStart w:id="12" w:name="_Hlk29478174"/>
            <w:r w:rsidRPr="009810D5">
              <w:rPr>
                <w:rFonts w:cstheme="minorHAnsi"/>
              </w:rPr>
              <w:t xml:space="preserve">Le/la consultant/e individuel sera évalué sur la base de la méthodologie de </w:t>
            </w:r>
            <w:r w:rsidRPr="009810D5">
              <w:rPr>
                <w:rFonts w:cstheme="minorHAnsi"/>
                <w:b/>
              </w:rPr>
              <w:t>Notation combinée.</w:t>
            </w:r>
            <w:r w:rsidRPr="009810D5">
              <w:rPr>
                <w:rFonts w:cstheme="minorHAnsi"/>
              </w:rPr>
              <w:t xml:space="preserve"> Lorsque cette méthode d’évaluation est utilisée, le contrat est attribué au consultant individuel dont l’offre a été évaluée et jugée :</w:t>
            </w:r>
          </w:p>
          <w:p w:rsidR="0002060B" w:rsidRPr="009810D5" w:rsidRDefault="0002060B">
            <w:pPr>
              <w:rPr>
                <w:rFonts w:cstheme="minorHAnsi"/>
              </w:rPr>
            </w:pPr>
          </w:p>
          <w:p w:rsidR="0002060B" w:rsidRPr="009810D5" w:rsidRDefault="0002060B" w:rsidP="0002060B">
            <w:pPr>
              <w:pStyle w:val="Paragraphedeliste"/>
              <w:numPr>
                <w:ilvl w:val="0"/>
                <w:numId w:val="38"/>
              </w:numPr>
              <w:rPr>
                <w:rFonts w:cstheme="minorHAnsi"/>
              </w:rPr>
            </w:pPr>
            <w:r w:rsidRPr="009810D5">
              <w:rPr>
                <w:rFonts w:cstheme="minorHAnsi"/>
              </w:rPr>
              <w:t>Répondante/conforme/ acceptable et,</w:t>
            </w:r>
          </w:p>
          <w:p w:rsidR="0002060B" w:rsidRPr="009810D5" w:rsidRDefault="0002060B" w:rsidP="0002060B">
            <w:pPr>
              <w:pStyle w:val="Paragraphedeliste"/>
              <w:numPr>
                <w:ilvl w:val="0"/>
                <w:numId w:val="38"/>
              </w:numPr>
              <w:rPr>
                <w:rFonts w:cstheme="minorHAnsi"/>
              </w:rPr>
            </w:pPr>
            <w:r w:rsidRPr="009810D5">
              <w:rPr>
                <w:rFonts w:cstheme="minorHAnsi"/>
              </w:rPr>
              <w:t>Ayant reçue la note globale pondérée la plus élevée sur la base des critères technique et financier spécifiés</w:t>
            </w:r>
          </w:p>
          <w:p w:rsidR="0002060B" w:rsidRPr="009810D5" w:rsidRDefault="0002060B">
            <w:pPr>
              <w:pStyle w:val="Paragraphedeliste"/>
              <w:rPr>
                <w:rFonts w:cstheme="minorHAnsi"/>
              </w:rPr>
            </w:pPr>
          </w:p>
          <w:p w:rsidR="0002060B" w:rsidRPr="009810D5" w:rsidRDefault="0002060B">
            <w:pPr>
              <w:rPr>
                <w:rFonts w:cstheme="minorHAnsi"/>
              </w:rPr>
            </w:pPr>
            <w:r w:rsidRPr="009810D5">
              <w:rPr>
                <w:rFonts w:cstheme="minorHAnsi"/>
              </w:rPr>
              <w:t>*</w:t>
            </w:r>
            <w:r w:rsidRPr="009810D5">
              <w:rPr>
                <w:rFonts w:cstheme="minorHAnsi"/>
                <w:u w:val="single"/>
              </w:rPr>
              <w:t xml:space="preserve">Pondération de l’évaluation technique : 70 % </w:t>
            </w:r>
          </w:p>
          <w:p w:rsidR="0002060B" w:rsidRPr="009810D5" w:rsidRDefault="0002060B">
            <w:pPr>
              <w:rPr>
                <w:rFonts w:cstheme="minorHAnsi"/>
              </w:rPr>
            </w:pPr>
            <w:r w:rsidRPr="009810D5">
              <w:rPr>
                <w:rFonts w:cstheme="minorHAnsi"/>
              </w:rPr>
              <w:t>*</w:t>
            </w:r>
            <w:r w:rsidRPr="009810D5">
              <w:rPr>
                <w:rFonts w:cstheme="minorHAnsi"/>
                <w:u w:val="single"/>
              </w:rPr>
              <w:t>Pondération de l’évaluation financière : 30 %</w:t>
            </w:r>
          </w:p>
          <w:p w:rsidR="0002060B" w:rsidRPr="009810D5" w:rsidRDefault="0002060B">
            <w:pPr>
              <w:jc w:val="both"/>
              <w:rPr>
                <w:rFonts w:eastAsia="Times New Roman" w:cstheme="minorHAnsi"/>
                <w:bCs/>
                <w:lang w:eastAsia="rw-RW"/>
              </w:rPr>
            </w:pPr>
          </w:p>
          <w:p w:rsidR="0002060B" w:rsidRPr="009810D5" w:rsidRDefault="0002060B">
            <w:pPr>
              <w:jc w:val="both"/>
              <w:rPr>
                <w:rFonts w:eastAsia="Times New Roman" w:cstheme="minorHAnsi"/>
                <w:bCs/>
                <w:lang w:eastAsia="rw-RW"/>
              </w:rPr>
            </w:pPr>
            <w:r w:rsidRPr="009810D5">
              <w:rPr>
                <w:rFonts w:eastAsia="Times New Roman" w:cstheme="minorHAnsi"/>
                <w:bCs/>
                <w:lang w:eastAsia="rw-RW"/>
              </w:rPr>
              <w:t>L’évaluation des offres se déroule en deux temps. L’évaluation des propositions techniques est achevée avant l’ouverture et la comparaison des propositions financières.</w:t>
            </w:r>
          </w:p>
          <w:p w:rsidR="0002060B" w:rsidRPr="009810D5" w:rsidRDefault="0002060B">
            <w:pPr>
              <w:jc w:val="both"/>
              <w:rPr>
                <w:rFonts w:eastAsia="Times New Roman" w:cstheme="minorHAnsi"/>
                <w:bCs/>
                <w:lang w:eastAsia="rw-RW"/>
              </w:rPr>
            </w:pPr>
          </w:p>
          <w:p w:rsidR="0002060B" w:rsidRPr="009810D5" w:rsidRDefault="0002060B">
            <w:pPr>
              <w:jc w:val="both"/>
              <w:rPr>
                <w:rFonts w:eastAsia="Times New Roman" w:cstheme="minorHAnsi"/>
                <w:bCs/>
                <w:lang w:eastAsia="rw-RW"/>
              </w:rPr>
            </w:pPr>
            <w:r w:rsidRPr="009810D5">
              <w:rPr>
                <w:rFonts w:eastAsia="Times New Roman" w:cstheme="minorHAnsi"/>
                <w:bCs/>
                <w:lang w:eastAsia="rw-RW"/>
              </w:rPr>
              <w:t>Le marché sera attribué au/à la Consultant(e) ayant présenté le meilleur score combiné (rapport qualité/prix, évaluation cumulative).</w:t>
            </w:r>
          </w:p>
          <w:p w:rsidR="0002060B" w:rsidRPr="009810D5" w:rsidRDefault="0002060B">
            <w:pPr>
              <w:jc w:val="both"/>
              <w:rPr>
                <w:rFonts w:eastAsia="Times New Roman" w:cstheme="minorHAnsi"/>
                <w:bCs/>
                <w:lang w:eastAsia="rw-RW"/>
              </w:rPr>
            </w:pPr>
          </w:p>
          <w:p w:rsidR="0002060B" w:rsidRPr="009810D5" w:rsidRDefault="0002060B" w:rsidP="0002060B">
            <w:pPr>
              <w:numPr>
                <w:ilvl w:val="0"/>
                <w:numId w:val="39"/>
              </w:numPr>
              <w:jc w:val="both"/>
              <w:rPr>
                <w:rFonts w:eastAsia="Times New Roman" w:cstheme="minorHAnsi"/>
                <w:bCs/>
                <w:i/>
                <w:u w:val="single"/>
                <w:lang w:val="en-US" w:eastAsia="rw-RW"/>
              </w:rPr>
            </w:pPr>
            <w:r w:rsidRPr="009810D5">
              <w:rPr>
                <w:rFonts w:eastAsia="Times New Roman" w:cstheme="minorHAnsi"/>
                <w:bCs/>
                <w:i/>
                <w:u w:val="single"/>
                <w:lang w:eastAsia="rw-RW"/>
              </w:rPr>
              <w:t>Les propositions techniques</w:t>
            </w:r>
          </w:p>
          <w:p w:rsidR="0002060B" w:rsidRPr="009810D5" w:rsidRDefault="0002060B">
            <w:pPr>
              <w:jc w:val="both"/>
              <w:rPr>
                <w:rFonts w:eastAsia="Times New Roman" w:cstheme="minorHAnsi"/>
                <w:bCs/>
                <w:i/>
                <w:u w:val="single"/>
                <w:lang w:eastAsia="rw-RW"/>
              </w:rPr>
            </w:pPr>
          </w:p>
          <w:p w:rsidR="0002060B" w:rsidRPr="009810D5" w:rsidRDefault="0002060B">
            <w:pPr>
              <w:jc w:val="both"/>
              <w:rPr>
                <w:rFonts w:cstheme="minorHAnsi"/>
              </w:rPr>
            </w:pPr>
            <w:r w:rsidRPr="009810D5">
              <w:rPr>
                <w:rFonts w:cstheme="minorHAnsi"/>
              </w:rPr>
              <w:t>Les propositions techniques seront évaluées sur leur degré de réponse par rapport aux termes de référence et sur la base des critères suivants :</w:t>
            </w:r>
          </w:p>
          <w:bookmarkEnd w:id="12"/>
          <w:p w:rsidR="0002060B" w:rsidRPr="009810D5" w:rsidRDefault="0002060B">
            <w:pPr>
              <w:jc w:val="both"/>
              <w:rPr>
                <w:rFonts w:cstheme="minorHAnsi"/>
              </w:rPr>
            </w:pPr>
          </w:p>
          <w:tbl>
            <w:tblPr>
              <w:tblW w:w="0" w:type="auto"/>
              <w:shd w:val="clear" w:color="auto" w:fill="FFFF00"/>
              <w:tblCellMar>
                <w:left w:w="0" w:type="dxa"/>
                <w:right w:w="0" w:type="dxa"/>
              </w:tblCellMar>
              <w:tblLook w:val="04A0"/>
            </w:tblPr>
            <w:tblGrid>
              <w:gridCol w:w="6958"/>
              <w:gridCol w:w="2156"/>
            </w:tblGrid>
            <w:tr w:rsidR="00284681" w:rsidRPr="009810D5" w:rsidTr="00284681">
              <w:trPr>
                <w:trHeight w:val="286"/>
              </w:trPr>
              <w:tc>
                <w:tcPr>
                  <w:tcW w:w="695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2060B" w:rsidRPr="009810D5" w:rsidRDefault="0002060B">
                  <w:pPr>
                    <w:jc w:val="both"/>
                    <w:rPr>
                      <w:rFonts w:cstheme="minorHAnsi"/>
                      <w:b/>
                      <w:bCs/>
                      <w:snapToGrid w:val="0"/>
                      <w:lang w:val="en-US" w:eastAsia="fr-FR"/>
                    </w:rPr>
                  </w:pPr>
                  <w:bookmarkStart w:id="13" w:name="_Hlk29480989"/>
                  <w:r w:rsidRPr="009810D5">
                    <w:rPr>
                      <w:rFonts w:cstheme="minorHAnsi"/>
                      <w:b/>
                      <w:bCs/>
                      <w:snapToGrid w:val="0"/>
                    </w:rPr>
                    <w:t xml:space="preserve">Critères d´évaluation </w:t>
                  </w:r>
                  <w:bookmarkEnd w:id="13"/>
                </w:p>
              </w:tc>
              <w:tc>
                <w:tcPr>
                  <w:tcW w:w="21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2060B" w:rsidRPr="009810D5" w:rsidRDefault="0002060B">
                  <w:pPr>
                    <w:jc w:val="both"/>
                    <w:rPr>
                      <w:rFonts w:cstheme="minorHAnsi"/>
                      <w:b/>
                      <w:bCs/>
                    </w:rPr>
                  </w:pPr>
                  <w:r w:rsidRPr="009810D5">
                    <w:rPr>
                      <w:rFonts w:cstheme="minorHAnsi"/>
                      <w:b/>
                      <w:bCs/>
                    </w:rPr>
                    <w:t>Points</w:t>
                  </w:r>
                </w:p>
              </w:tc>
            </w:tr>
            <w:tr w:rsidR="00284681" w:rsidRPr="009810D5" w:rsidTr="00284681">
              <w:tc>
                <w:tcPr>
                  <w:tcW w:w="6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4681" w:rsidRPr="009810D5" w:rsidRDefault="0002060B">
                  <w:pPr>
                    <w:spacing w:after="0" w:line="240" w:lineRule="auto"/>
                    <w:contextualSpacing/>
                    <w:jc w:val="both"/>
                    <w:rPr>
                      <w:rFonts w:eastAsia="Calibri" w:cstheme="minorHAnsi"/>
                    </w:rPr>
                  </w:pPr>
                  <w:bookmarkStart w:id="14" w:name="_Hlk29481008"/>
                  <w:r w:rsidRPr="009810D5">
                    <w:rPr>
                      <w:rFonts w:cstheme="minorHAnsi"/>
                      <w:snapToGrid w:val="0"/>
                    </w:rPr>
                    <w:t>Le/la soumissionnaire a-t-il/elle</w:t>
                  </w:r>
                  <w:r w:rsidR="00C37897" w:rsidRPr="009810D5">
                    <w:rPr>
                      <w:rFonts w:cstheme="minorHAnsi"/>
                      <w:snapToGrid w:val="0"/>
                    </w:rPr>
                    <w:t xml:space="preserve"> un </w:t>
                  </w:r>
                  <w:r w:rsidRPr="009810D5">
                    <w:rPr>
                      <w:rFonts w:cstheme="minorHAnsi"/>
                      <w:bCs/>
                    </w:rPr>
                    <w:t>diplôme</w:t>
                  </w:r>
                  <w:r w:rsidR="00284681" w:rsidRPr="009810D5">
                    <w:rPr>
                      <w:rFonts w:cstheme="minorHAnsi"/>
                      <w:bCs/>
                    </w:rPr>
                    <w:t xml:space="preserve">universitaire en science politique, droit ou toute autre discipline similaire ? </w:t>
                  </w:r>
                  <w:r w:rsidRPr="009810D5">
                    <w:rPr>
                      <w:rFonts w:cstheme="minorHAnsi"/>
                      <w:bCs/>
                    </w:rPr>
                    <w:t>ou expérience équivalente ?</w:t>
                  </w:r>
                </w:p>
                <w:bookmarkEnd w:id="14"/>
                <w:p w:rsidR="00284681" w:rsidRPr="009810D5" w:rsidRDefault="00284681">
                  <w:pPr>
                    <w:spacing w:after="0" w:line="240" w:lineRule="auto"/>
                    <w:contextualSpacing/>
                    <w:jc w:val="both"/>
                    <w:rPr>
                      <w:rFonts w:eastAsia="Calibri" w:cstheme="minorHAnsi"/>
                    </w:rPr>
                  </w:pPr>
                </w:p>
              </w:tc>
              <w:tc>
                <w:tcPr>
                  <w:tcW w:w="2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2060B" w:rsidRPr="009810D5" w:rsidRDefault="0002060B" w:rsidP="00284681">
                  <w:pPr>
                    <w:jc w:val="center"/>
                    <w:rPr>
                      <w:rFonts w:cstheme="minorHAnsi"/>
                      <w:lang w:val="en-US"/>
                    </w:rPr>
                  </w:pPr>
                  <w:r w:rsidRPr="009810D5">
                    <w:rPr>
                      <w:rFonts w:cstheme="minorHAnsi"/>
                    </w:rPr>
                    <w:t>10</w:t>
                  </w:r>
                </w:p>
              </w:tc>
            </w:tr>
            <w:tr w:rsidR="00284681" w:rsidRPr="009810D5" w:rsidTr="00284681">
              <w:tc>
                <w:tcPr>
                  <w:tcW w:w="6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77739" w:rsidRPr="009810D5" w:rsidRDefault="0002060B" w:rsidP="00477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heme="minorHAnsi"/>
                      <w:bCs/>
                    </w:rPr>
                  </w:pPr>
                  <w:bookmarkStart w:id="15" w:name="_Hlk29481144"/>
                  <w:r w:rsidRPr="009810D5">
                    <w:rPr>
                      <w:rFonts w:cstheme="minorHAnsi"/>
                      <w:snapToGrid w:val="0"/>
                    </w:rPr>
                    <w:t>Le/la soumissionnaire a-t-il/elle</w:t>
                  </w:r>
                  <w:r w:rsidR="00477739" w:rsidRPr="009810D5">
                    <w:rPr>
                      <w:rFonts w:cstheme="minorHAnsi"/>
                      <w:bCs/>
                    </w:rPr>
                    <w:t> :</w:t>
                  </w:r>
                </w:p>
                <w:p w:rsidR="00477739" w:rsidRPr="009810D5" w:rsidRDefault="00477739" w:rsidP="0044436C">
                  <w:pPr>
                    <w:pStyle w:val="Paragraphedeliste"/>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b/>
                      <w:lang w:eastAsia="fr-FR"/>
                    </w:rPr>
                  </w:pPr>
                  <w:r w:rsidRPr="009810D5">
                    <w:rPr>
                      <w:rFonts w:cstheme="minorHAnsi"/>
                    </w:rPr>
                    <w:t>Au moins 7 ans expérience dans la mise en œuvre des programmes/projets de développement</w:t>
                  </w:r>
                  <w:r w:rsidR="00822FE9" w:rsidRPr="009810D5">
                    <w:rPr>
                      <w:rFonts w:cstheme="minorHAnsi"/>
                    </w:rPr>
                    <w:t xml:space="preserve"> dans plusieurs pay</w:t>
                  </w:r>
                  <w:r w:rsidR="00B61A69" w:rsidRPr="009810D5">
                    <w:rPr>
                      <w:rFonts w:cstheme="minorHAnsi"/>
                    </w:rPr>
                    <w:t xml:space="preserve">s y compris la RDC </w:t>
                  </w:r>
                  <w:r w:rsidRPr="009810D5">
                    <w:rPr>
                      <w:rFonts w:cstheme="minorHAnsi"/>
                    </w:rPr>
                    <w:t>(</w:t>
                  </w:r>
                  <w:r w:rsidR="0085295D" w:rsidRPr="009810D5">
                    <w:rPr>
                      <w:rFonts w:cstheme="minorHAnsi"/>
                    </w:rPr>
                    <w:t>10</w:t>
                  </w:r>
                  <w:r w:rsidRPr="009810D5">
                    <w:rPr>
                      <w:rFonts w:cstheme="minorHAnsi"/>
                    </w:rPr>
                    <w:t xml:space="preserve"> points)</w:t>
                  </w:r>
                </w:p>
                <w:p w:rsidR="00477739" w:rsidRPr="009810D5" w:rsidRDefault="00477739" w:rsidP="0044436C">
                  <w:pPr>
                    <w:pStyle w:val="Paragraphedeliste"/>
                    <w:numPr>
                      <w:ilvl w:val="0"/>
                      <w:numId w:val="44"/>
                    </w:numPr>
                    <w:spacing w:after="0"/>
                    <w:jc w:val="both"/>
                    <w:rPr>
                      <w:rFonts w:cstheme="minorHAnsi"/>
                    </w:rPr>
                  </w:pPr>
                  <w:r w:rsidRPr="009810D5">
                    <w:rPr>
                      <w:rFonts w:cstheme="minorHAnsi"/>
                    </w:rPr>
                    <w:t xml:space="preserve">Expérience dans la formulation des programmes et projets dans le </w:t>
                  </w:r>
                  <w:r w:rsidRPr="009810D5">
                    <w:rPr>
                      <w:rFonts w:cstheme="minorHAnsi"/>
                    </w:rPr>
                    <w:lastRenderedPageBreak/>
                    <w:t>domaine de l’Etat de droit, la justice, la sécurité... (</w:t>
                  </w:r>
                  <w:r w:rsidR="0085295D" w:rsidRPr="009810D5">
                    <w:rPr>
                      <w:rFonts w:cstheme="minorHAnsi"/>
                    </w:rPr>
                    <w:t>10</w:t>
                  </w:r>
                  <w:r w:rsidRPr="009810D5">
                    <w:rPr>
                      <w:rFonts w:cstheme="minorHAnsi"/>
                    </w:rPr>
                    <w:t xml:space="preserve"> points)</w:t>
                  </w:r>
                </w:p>
                <w:p w:rsidR="00477739" w:rsidRPr="009810D5" w:rsidRDefault="00477739" w:rsidP="0044436C">
                  <w:pPr>
                    <w:pStyle w:val="Paragraphedeliste"/>
                    <w:numPr>
                      <w:ilvl w:val="0"/>
                      <w:numId w:val="44"/>
                    </w:numPr>
                    <w:spacing w:after="0"/>
                    <w:jc w:val="both"/>
                    <w:rPr>
                      <w:rFonts w:cstheme="minorHAnsi"/>
                    </w:rPr>
                  </w:pPr>
                  <w:r w:rsidRPr="009810D5">
                    <w:rPr>
                      <w:rFonts w:cstheme="minorHAnsi"/>
                    </w:rPr>
                    <w:t>Bonne connaissance des programmes post-conflit</w:t>
                  </w:r>
                  <w:r w:rsidR="00284681" w:rsidRPr="009810D5">
                    <w:rPr>
                      <w:rFonts w:cstheme="minorHAnsi"/>
                    </w:rPr>
                    <w:t xml:space="preserve"> (</w:t>
                  </w:r>
                  <w:r w:rsidR="00822FE9" w:rsidRPr="009810D5">
                    <w:rPr>
                      <w:rFonts w:cstheme="minorHAnsi"/>
                    </w:rPr>
                    <w:t>10</w:t>
                  </w:r>
                  <w:r w:rsidR="00284681" w:rsidRPr="009810D5">
                    <w:rPr>
                      <w:rFonts w:cstheme="minorHAnsi"/>
                    </w:rPr>
                    <w:t xml:space="preserve"> points)</w:t>
                  </w:r>
                </w:p>
                <w:p w:rsidR="00477739" w:rsidRPr="009810D5" w:rsidRDefault="00477739" w:rsidP="0044436C">
                  <w:pPr>
                    <w:pStyle w:val="Paragraphedeliste"/>
                    <w:numPr>
                      <w:ilvl w:val="0"/>
                      <w:numId w:val="44"/>
                    </w:numPr>
                    <w:spacing w:after="0"/>
                    <w:jc w:val="both"/>
                    <w:rPr>
                      <w:rFonts w:cstheme="minorHAnsi"/>
                    </w:rPr>
                  </w:pPr>
                  <w:r w:rsidRPr="009810D5">
                    <w:rPr>
                      <w:rFonts w:cstheme="minorHAnsi"/>
                    </w:rPr>
                    <w:t>Connaissance avérée dans le domaine de Rule of Law (Justice et sécurité)</w:t>
                  </w:r>
                  <w:r w:rsidR="00284681" w:rsidRPr="009810D5">
                    <w:rPr>
                      <w:rFonts w:cstheme="minorHAnsi"/>
                    </w:rPr>
                    <w:t xml:space="preserve"> (</w:t>
                  </w:r>
                  <w:r w:rsidR="00822FE9" w:rsidRPr="009810D5">
                    <w:rPr>
                      <w:rFonts w:cstheme="minorHAnsi"/>
                    </w:rPr>
                    <w:t>10</w:t>
                  </w:r>
                  <w:r w:rsidR="00284681" w:rsidRPr="009810D5">
                    <w:rPr>
                      <w:rFonts w:cstheme="minorHAnsi"/>
                    </w:rPr>
                    <w:t xml:space="preserve"> points)</w:t>
                  </w:r>
                </w:p>
                <w:p w:rsidR="00477739" w:rsidRPr="009810D5" w:rsidRDefault="00477739" w:rsidP="0044436C">
                  <w:pPr>
                    <w:pStyle w:val="Paragraphedeliste"/>
                    <w:numPr>
                      <w:ilvl w:val="0"/>
                      <w:numId w:val="44"/>
                    </w:numPr>
                    <w:spacing w:after="0"/>
                    <w:jc w:val="both"/>
                    <w:rPr>
                      <w:rFonts w:cstheme="minorHAnsi"/>
                    </w:rPr>
                  </w:pPr>
                  <w:r w:rsidRPr="009810D5">
                    <w:rPr>
                      <w:rFonts w:cstheme="minorHAnsi"/>
                    </w:rPr>
                    <w:t>Excellente connaissance des bailleurs de fond et de leurs priorités et modalités</w:t>
                  </w:r>
                  <w:r w:rsidR="00284681" w:rsidRPr="009810D5">
                    <w:rPr>
                      <w:rFonts w:cstheme="minorHAnsi"/>
                    </w:rPr>
                    <w:t xml:space="preserve"> (</w:t>
                  </w:r>
                  <w:r w:rsidR="006121B9" w:rsidRPr="009810D5">
                    <w:rPr>
                      <w:rFonts w:cstheme="minorHAnsi"/>
                    </w:rPr>
                    <w:t>5</w:t>
                  </w:r>
                  <w:r w:rsidR="00284681" w:rsidRPr="009810D5">
                    <w:rPr>
                      <w:rFonts w:cstheme="minorHAnsi"/>
                    </w:rPr>
                    <w:t xml:space="preserve"> points)</w:t>
                  </w:r>
                </w:p>
                <w:p w:rsidR="00477739" w:rsidRPr="009810D5" w:rsidRDefault="00477739" w:rsidP="0044436C">
                  <w:pPr>
                    <w:pStyle w:val="Paragraphedeliste"/>
                    <w:numPr>
                      <w:ilvl w:val="0"/>
                      <w:numId w:val="44"/>
                    </w:numPr>
                    <w:spacing w:after="0" w:line="254" w:lineRule="auto"/>
                    <w:jc w:val="both"/>
                    <w:rPr>
                      <w:rFonts w:cstheme="minorHAnsi"/>
                    </w:rPr>
                  </w:pPr>
                  <w:r w:rsidRPr="009810D5">
                    <w:rPr>
                      <w:rFonts w:cstheme="minorHAnsi"/>
                    </w:rPr>
                    <w:t>Une bonne connaissance du SNU et de ses procédures serait un atout</w:t>
                  </w:r>
                  <w:r w:rsidR="00284681" w:rsidRPr="009810D5">
                    <w:rPr>
                      <w:rFonts w:cstheme="minorHAnsi"/>
                    </w:rPr>
                    <w:t xml:space="preserve"> (</w:t>
                  </w:r>
                  <w:r w:rsidR="006121B9" w:rsidRPr="009810D5">
                    <w:rPr>
                      <w:rFonts w:cstheme="minorHAnsi"/>
                    </w:rPr>
                    <w:t>5</w:t>
                  </w:r>
                  <w:r w:rsidR="00284681" w:rsidRPr="009810D5">
                    <w:rPr>
                      <w:rFonts w:cstheme="minorHAnsi"/>
                    </w:rPr>
                    <w:t xml:space="preserve"> points)</w:t>
                  </w:r>
                </w:p>
                <w:p w:rsidR="0002060B" w:rsidRPr="009810D5" w:rsidRDefault="0002060B" w:rsidP="00477739">
                  <w:pPr>
                    <w:spacing w:after="0" w:line="240" w:lineRule="auto"/>
                    <w:ind w:left="720"/>
                    <w:contextualSpacing/>
                    <w:jc w:val="both"/>
                    <w:rPr>
                      <w:rFonts w:cstheme="minorHAnsi"/>
                      <w:bCs/>
                    </w:rPr>
                  </w:pPr>
                </w:p>
              </w:tc>
              <w:tc>
                <w:tcPr>
                  <w:tcW w:w="2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2060B" w:rsidRPr="009810D5" w:rsidRDefault="0085295D" w:rsidP="00284681">
                  <w:pPr>
                    <w:jc w:val="center"/>
                    <w:rPr>
                      <w:rFonts w:cstheme="minorHAnsi"/>
                    </w:rPr>
                  </w:pPr>
                  <w:r w:rsidRPr="009810D5">
                    <w:rPr>
                      <w:rFonts w:cstheme="minorHAnsi"/>
                    </w:rPr>
                    <w:lastRenderedPageBreak/>
                    <w:t>5</w:t>
                  </w:r>
                  <w:r w:rsidR="0002060B" w:rsidRPr="009810D5">
                    <w:rPr>
                      <w:rFonts w:cstheme="minorHAnsi"/>
                    </w:rPr>
                    <w:t>0</w:t>
                  </w:r>
                </w:p>
              </w:tc>
            </w:tr>
            <w:tr w:rsidR="00284681" w:rsidRPr="009810D5" w:rsidTr="00284681">
              <w:tc>
                <w:tcPr>
                  <w:tcW w:w="6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2060B" w:rsidRPr="009810D5" w:rsidRDefault="0002060B">
                  <w:pPr>
                    <w:spacing w:line="240" w:lineRule="auto"/>
                    <w:jc w:val="both"/>
                    <w:rPr>
                      <w:rFonts w:cstheme="minorHAnsi"/>
                      <w:snapToGrid w:val="0"/>
                    </w:rPr>
                  </w:pPr>
                  <w:bookmarkStart w:id="16" w:name="_Hlk29481207"/>
                  <w:bookmarkEnd w:id="15"/>
                  <w:r w:rsidRPr="009810D5">
                    <w:rPr>
                      <w:rFonts w:cstheme="minorHAnsi"/>
                      <w:snapToGrid w:val="0"/>
                    </w:rPr>
                    <w:lastRenderedPageBreak/>
                    <w:t xml:space="preserve">L´approche méthodologique proposé est-elle claire et appropriée aux produits décrits/attendus dans les termes de référence ?  </w:t>
                  </w:r>
                </w:p>
              </w:tc>
              <w:tc>
                <w:tcPr>
                  <w:tcW w:w="2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2060B" w:rsidRPr="009810D5" w:rsidRDefault="0002060B" w:rsidP="00284681">
                  <w:pPr>
                    <w:jc w:val="center"/>
                    <w:rPr>
                      <w:rFonts w:cstheme="minorHAnsi"/>
                      <w:lang w:val="en-US"/>
                    </w:rPr>
                  </w:pPr>
                  <w:r w:rsidRPr="009810D5">
                    <w:rPr>
                      <w:rFonts w:cstheme="minorHAnsi"/>
                    </w:rPr>
                    <w:t>30</w:t>
                  </w:r>
                </w:p>
              </w:tc>
            </w:tr>
            <w:tr w:rsidR="00284681" w:rsidRPr="009810D5" w:rsidTr="00284681">
              <w:tc>
                <w:tcPr>
                  <w:tcW w:w="6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2060B" w:rsidRPr="009810D5" w:rsidRDefault="0002060B">
                  <w:pPr>
                    <w:spacing w:line="240" w:lineRule="auto"/>
                    <w:jc w:val="both"/>
                    <w:rPr>
                      <w:rFonts w:cstheme="minorHAnsi"/>
                      <w:snapToGrid w:val="0"/>
                    </w:rPr>
                  </w:pPr>
                  <w:r w:rsidRPr="009810D5">
                    <w:rPr>
                      <w:rFonts w:cstheme="minorHAnsi"/>
                      <w:snapToGrid w:val="0"/>
                    </w:rPr>
                    <w:t>Le chronogramme/plan de travail proposé est-il cohérent et réaliste pour garantir la réalisation effective des principaux livrables attendus de la mission comme explicité dans les TDR ?</w:t>
                  </w:r>
                </w:p>
              </w:tc>
              <w:tc>
                <w:tcPr>
                  <w:tcW w:w="2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2060B" w:rsidRPr="009810D5" w:rsidRDefault="0085295D" w:rsidP="00284681">
                  <w:pPr>
                    <w:jc w:val="center"/>
                    <w:rPr>
                      <w:rFonts w:cstheme="minorHAnsi"/>
                    </w:rPr>
                  </w:pPr>
                  <w:r w:rsidRPr="009810D5">
                    <w:rPr>
                      <w:rFonts w:cstheme="minorHAnsi"/>
                    </w:rPr>
                    <w:t>1</w:t>
                  </w:r>
                  <w:r w:rsidR="0002060B" w:rsidRPr="009810D5">
                    <w:rPr>
                      <w:rFonts w:cstheme="minorHAnsi"/>
                    </w:rPr>
                    <w:t>0</w:t>
                  </w:r>
                </w:p>
              </w:tc>
            </w:tr>
            <w:bookmarkEnd w:id="16"/>
            <w:tr w:rsidR="00284681" w:rsidRPr="009810D5" w:rsidTr="00284681">
              <w:trPr>
                <w:trHeight w:val="241"/>
              </w:trPr>
              <w:tc>
                <w:tcPr>
                  <w:tcW w:w="695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2060B" w:rsidRPr="009810D5" w:rsidRDefault="0002060B">
                  <w:pPr>
                    <w:jc w:val="both"/>
                    <w:rPr>
                      <w:rFonts w:cstheme="minorHAnsi"/>
                      <w:b/>
                      <w:bCs/>
                      <w:snapToGrid w:val="0"/>
                    </w:rPr>
                  </w:pPr>
                  <w:r w:rsidRPr="009810D5">
                    <w:rPr>
                      <w:rFonts w:cstheme="minorHAnsi"/>
                      <w:b/>
                      <w:bCs/>
                      <w:snapToGrid w:val="0"/>
                    </w:rPr>
                    <w:t xml:space="preserve">Total note proposition technique </w:t>
                  </w:r>
                </w:p>
              </w:tc>
              <w:tc>
                <w:tcPr>
                  <w:tcW w:w="2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2060B" w:rsidRPr="009810D5" w:rsidRDefault="0002060B" w:rsidP="00284681">
                  <w:pPr>
                    <w:jc w:val="center"/>
                    <w:rPr>
                      <w:rFonts w:cstheme="minorHAnsi"/>
                      <w:b/>
                      <w:bCs/>
                    </w:rPr>
                  </w:pPr>
                  <w:r w:rsidRPr="009810D5">
                    <w:rPr>
                      <w:rFonts w:cstheme="minorHAnsi"/>
                      <w:b/>
                      <w:bCs/>
                    </w:rPr>
                    <w:t>100</w:t>
                  </w:r>
                </w:p>
              </w:tc>
            </w:tr>
          </w:tbl>
          <w:p w:rsidR="0002060B" w:rsidRPr="009810D5" w:rsidRDefault="0002060B">
            <w:pPr>
              <w:jc w:val="both"/>
              <w:rPr>
                <w:rFonts w:eastAsia="Times New Roman" w:cstheme="minorHAnsi"/>
                <w:bCs/>
                <w:lang w:eastAsia="rw-RW"/>
              </w:rPr>
            </w:pPr>
          </w:p>
          <w:p w:rsidR="0002060B" w:rsidRPr="009810D5" w:rsidRDefault="0002060B">
            <w:pPr>
              <w:jc w:val="both"/>
              <w:rPr>
                <w:rFonts w:cstheme="minorHAnsi"/>
                <w:b/>
              </w:rPr>
            </w:pPr>
            <w:bookmarkStart w:id="17" w:name="_Hlk29481235"/>
            <w:r w:rsidRPr="009810D5">
              <w:rPr>
                <w:rFonts w:cstheme="minorHAnsi"/>
                <w:b/>
              </w:rPr>
              <w:t>Seront jugées qualifiées, les propositions techniques qui obtiendront 70% de la note maximale de 100 points ; cette note technique sera pondérée a 70%.</w:t>
            </w:r>
          </w:p>
          <w:p w:rsidR="0002060B" w:rsidRPr="009810D5" w:rsidRDefault="0002060B">
            <w:pPr>
              <w:jc w:val="both"/>
              <w:rPr>
                <w:rFonts w:cstheme="minorHAnsi"/>
                <w:b/>
                <w:i/>
              </w:rPr>
            </w:pPr>
          </w:p>
          <w:p w:rsidR="0002060B" w:rsidRPr="009810D5" w:rsidRDefault="0002060B">
            <w:pPr>
              <w:jc w:val="both"/>
              <w:rPr>
                <w:rFonts w:cstheme="minorHAnsi"/>
                <w:b/>
                <w:i/>
              </w:rPr>
            </w:pPr>
            <w:r w:rsidRPr="009810D5">
              <w:rPr>
                <w:rFonts w:cstheme="minorHAnsi"/>
                <w:b/>
                <w:i/>
              </w:rPr>
              <w:t>Seulement les candidats ayant obtenu la note minimale de 70/100 à l´évaluation technique seront considérés pour l’évaluation financière.</w:t>
            </w:r>
            <w:bookmarkStart w:id="18" w:name="_GoBack"/>
            <w:bookmarkEnd w:id="18"/>
          </w:p>
          <w:p w:rsidR="0002060B" w:rsidRPr="009810D5" w:rsidRDefault="0002060B">
            <w:pPr>
              <w:jc w:val="both"/>
              <w:rPr>
                <w:rFonts w:cstheme="minorHAnsi"/>
                <w:b/>
                <w:i/>
              </w:rPr>
            </w:pPr>
          </w:p>
          <w:p w:rsidR="0002060B" w:rsidRPr="009810D5" w:rsidRDefault="0002060B" w:rsidP="0002060B">
            <w:pPr>
              <w:numPr>
                <w:ilvl w:val="0"/>
                <w:numId w:val="39"/>
              </w:numPr>
              <w:contextualSpacing/>
              <w:jc w:val="both"/>
              <w:rPr>
                <w:rFonts w:eastAsia="Times New Roman" w:cstheme="minorHAnsi"/>
                <w:i/>
                <w:u w:val="single"/>
                <w:lang w:val="en-US" w:eastAsia="rw-RW"/>
              </w:rPr>
            </w:pPr>
            <w:r w:rsidRPr="009810D5">
              <w:rPr>
                <w:rFonts w:eastAsia="Times New Roman" w:cstheme="minorHAnsi"/>
                <w:i/>
                <w:u w:val="single"/>
                <w:lang w:eastAsia="rw-RW"/>
              </w:rPr>
              <w:t>Les propositions financières</w:t>
            </w:r>
          </w:p>
          <w:p w:rsidR="0002060B" w:rsidRPr="009810D5" w:rsidRDefault="0002060B">
            <w:pPr>
              <w:jc w:val="both"/>
              <w:rPr>
                <w:rFonts w:eastAsia="Times New Roman" w:cstheme="minorHAnsi"/>
                <w:bCs/>
                <w:lang w:eastAsia="rw-RW"/>
              </w:rPr>
            </w:pPr>
          </w:p>
          <w:p w:rsidR="0002060B" w:rsidRPr="009810D5" w:rsidRDefault="0002060B">
            <w:pPr>
              <w:jc w:val="both"/>
              <w:rPr>
                <w:rFonts w:eastAsia="Times New Roman" w:cstheme="minorHAnsi"/>
                <w:lang w:eastAsia="rw-RW"/>
              </w:rPr>
            </w:pPr>
            <w:r w:rsidRPr="009810D5">
              <w:rPr>
                <w:rFonts w:eastAsia="Times New Roman" w:cstheme="minorHAnsi"/>
                <w:lang w:eastAsia="rw-RW"/>
              </w:rPr>
              <w:t>Dans une deuxième étape du processus d’évaluation, les enveloppes financières seront ouvertes et les offres financières comparées ; une note financière sera calculée pour chaque proposition sur la base de la formule :</w:t>
            </w:r>
          </w:p>
          <w:p w:rsidR="0002060B" w:rsidRPr="009810D5" w:rsidRDefault="0002060B">
            <w:pPr>
              <w:jc w:val="both"/>
              <w:rPr>
                <w:rFonts w:eastAsia="Times New Roman" w:cstheme="minorHAnsi"/>
                <w:lang w:eastAsia="rw-RW"/>
              </w:rPr>
            </w:pPr>
          </w:p>
          <w:p w:rsidR="0002060B" w:rsidRPr="009810D5" w:rsidRDefault="0002060B" w:rsidP="0002060B">
            <w:pPr>
              <w:pStyle w:val="Paragraphedeliste"/>
              <w:numPr>
                <w:ilvl w:val="0"/>
                <w:numId w:val="41"/>
              </w:numPr>
              <w:jc w:val="both"/>
              <w:rPr>
                <w:rFonts w:eastAsia="Times New Roman" w:cstheme="minorHAnsi"/>
                <w:b/>
                <w:i/>
                <w:lang w:eastAsia="rw-RW"/>
              </w:rPr>
            </w:pPr>
            <w:r w:rsidRPr="009810D5">
              <w:rPr>
                <w:rFonts w:eastAsia="Times New Roman" w:cstheme="minorHAnsi"/>
                <w:b/>
                <w:i/>
                <w:lang w:eastAsia="rw-RW"/>
              </w:rPr>
              <w:t>Note financière A = [(Offre financière la moins disante)/Offre financière de A] x 30</w:t>
            </w:r>
          </w:p>
          <w:p w:rsidR="0002060B" w:rsidRPr="009810D5" w:rsidRDefault="0002060B">
            <w:pPr>
              <w:jc w:val="both"/>
              <w:rPr>
                <w:rFonts w:eastAsia="Times New Roman" w:cstheme="minorHAnsi"/>
                <w:b/>
                <w:i/>
                <w:u w:val="single"/>
                <w:lang w:eastAsia="rw-RW"/>
              </w:rPr>
            </w:pPr>
          </w:p>
          <w:p w:rsidR="0002060B" w:rsidRPr="009810D5" w:rsidRDefault="0002060B">
            <w:pPr>
              <w:jc w:val="both"/>
              <w:rPr>
                <w:rFonts w:eastAsia="Times New Roman" w:cstheme="minorHAnsi"/>
                <w:b/>
                <w:lang w:eastAsia="rw-RW"/>
              </w:rPr>
            </w:pPr>
            <w:r w:rsidRPr="009810D5">
              <w:rPr>
                <w:rFonts w:eastAsia="Times New Roman" w:cstheme="minorHAnsi"/>
                <w:b/>
                <w:lang w:eastAsia="rw-RW"/>
              </w:rPr>
              <w:t>Le/la Consultant (e) avec le cumul de notes (Technique + Financière) le plus élevé sera retenu pour le contrat.</w:t>
            </w:r>
          </w:p>
          <w:p w:rsidR="0002060B" w:rsidRPr="009810D5" w:rsidRDefault="0002060B">
            <w:pPr>
              <w:jc w:val="both"/>
              <w:rPr>
                <w:rFonts w:cstheme="minorHAnsi"/>
                <w:b/>
                <w:i/>
              </w:rPr>
            </w:pPr>
          </w:p>
          <w:p w:rsidR="0002060B" w:rsidRPr="009810D5" w:rsidRDefault="0002060B">
            <w:pPr>
              <w:jc w:val="both"/>
              <w:rPr>
                <w:rFonts w:eastAsia="Times New Roman" w:cstheme="minorHAnsi"/>
                <w:bCs/>
                <w:lang w:eastAsia="rw-RW"/>
              </w:rPr>
            </w:pPr>
            <w:r w:rsidRPr="009810D5">
              <w:rPr>
                <w:rFonts w:eastAsia="Times New Roman" w:cstheme="minorHAnsi"/>
                <w:bCs/>
                <w:lang w:eastAsia="rw-RW"/>
              </w:rPr>
              <w:t>Le/la Consultant(e) fait sa proposition financière suivant le Tableau des coûts dans l´Annexe II (Lettre de soumission au PNUD). Il doit proposer un montant forfaitaire et présenter, dans le Tableau des coûts, la ventilation de ce montant forfaitaire.</w:t>
            </w:r>
          </w:p>
          <w:bookmarkEnd w:id="17"/>
          <w:p w:rsidR="0002060B" w:rsidRPr="009810D5" w:rsidRDefault="0002060B">
            <w:pPr>
              <w:jc w:val="both"/>
              <w:rPr>
                <w:rFonts w:eastAsia="Times New Roman" w:cstheme="minorHAnsi"/>
                <w:bCs/>
                <w:lang w:eastAsia="rw-RW"/>
              </w:rPr>
            </w:pPr>
          </w:p>
          <w:p w:rsidR="0002060B" w:rsidRPr="009810D5" w:rsidRDefault="0002060B">
            <w:pPr>
              <w:jc w:val="both"/>
              <w:rPr>
                <w:rFonts w:eastAsia="Times New Roman" w:cstheme="minorHAnsi"/>
                <w:bCs/>
                <w:lang w:eastAsia="rw-RW"/>
              </w:rPr>
            </w:pPr>
            <w:bookmarkStart w:id="19" w:name="_Hlk29481254"/>
            <w:r w:rsidRPr="009810D5">
              <w:rPr>
                <w:rFonts w:eastAsia="Times New Roman" w:cstheme="minorHAnsi"/>
                <w:bCs/>
                <w:lang w:eastAsia="rw-RW"/>
              </w:rPr>
              <w:t>Le/la consultant/e devra inclure tous les frais lui permettant d’exécuter la mission suivant la durée prévue. Les paiements seront effectués sur la base de la production des livrables tels que mentionné dans la Section 3 – Livrables et Tranches de Paiement.</w:t>
            </w:r>
            <w:bookmarkEnd w:id="19"/>
          </w:p>
        </w:tc>
      </w:tr>
    </w:tbl>
    <w:p w:rsidR="0002060B" w:rsidRPr="0085295D" w:rsidRDefault="0002060B" w:rsidP="0002060B">
      <w:pPr>
        <w:rPr>
          <w:rFonts w:cstheme="minorHAnsi"/>
          <w:b/>
        </w:rPr>
      </w:pPr>
    </w:p>
    <w:p w:rsidR="0002060B" w:rsidRPr="0085295D" w:rsidRDefault="0002060B" w:rsidP="0002060B">
      <w:pPr>
        <w:rPr>
          <w:rFonts w:cstheme="minorHAnsi"/>
          <w:b/>
        </w:rPr>
      </w:pPr>
      <w:bookmarkStart w:id="20" w:name="_Hlk29481274"/>
      <w:r w:rsidRPr="0085295D">
        <w:rPr>
          <w:rFonts w:cstheme="minorHAnsi"/>
          <w:b/>
        </w:rPr>
        <w:t xml:space="preserve">10. </w:t>
      </w:r>
      <w:r w:rsidRPr="0085295D">
        <w:rPr>
          <w:rFonts w:eastAsia="Calibri" w:cstheme="minorHAnsi"/>
          <w:b/>
        </w:rPr>
        <w:t>Autres informations pertinentes</w:t>
      </w:r>
    </w:p>
    <w:tbl>
      <w:tblPr>
        <w:tblStyle w:val="Grilledutableau"/>
        <w:tblW w:w="0" w:type="auto"/>
        <w:tblLook w:val="04A0"/>
      </w:tblPr>
      <w:tblGrid>
        <w:gridCol w:w="9576"/>
      </w:tblGrid>
      <w:tr w:rsidR="00284681" w:rsidRPr="0085295D" w:rsidTr="0002060B">
        <w:trPr>
          <w:trHeight w:val="2415"/>
        </w:trPr>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060B" w:rsidRPr="0085295D" w:rsidRDefault="0002060B" w:rsidP="0002060B">
            <w:pPr>
              <w:pStyle w:val="Paragraphedeliste"/>
              <w:numPr>
                <w:ilvl w:val="0"/>
                <w:numId w:val="41"/>
              </w:numPr>
              <w:rPr>
                <w:rFonts w:cstheme="minorHAnsi"/>
              </w:rPr>
            </w:pPr>
            <w:r w:rsidRPr="0085295D">
              <w:rPr>
                <w:rFonts w:cstheme="minorHAnsi"/>
              </w:rPr>
              <w:t xml:space="preserve">Le soumissionnaire retenu de 65 ans ou plus sera appelé à présenter un certificat médical complet ainsi qu´un certificat d’aptitude physique à travailler et à voyager. Les frais des examens seront à sa charge et le rapport médical devra être approuvé par un médecin approuvé par les Nations Unis. </w:t>
            </w:r>
          </w:p>
          <w:p w:rsidR="0002060B" w:rsidRPr="0085295D" w:rsidRDefault="0002060B">
            <w:pPr>
              <w:rPr>
                <w:rFonts w:cstheme="minorHAnsi"/>
              </w:rPr>
            </w:pPr>
          </w:p>
          <w:p w:rsidR="0002060B" w:rsidRPr="0085295D" w:rsidRDefault="0002060B" w:rsidP="0002060B">
            <w:pPr>
              <w:pStyle w:val="Paragraphedeliste"/>
              <w:numPr>
                <w:ilvl w:val="0"/>
                <w:numId w:val="41"/>
              </w:numPr>
              <w:rPr>
                <w:rFonts w:cstheme="minorHAnsi"/>
              </w:rPr>
            </w:pPr>
            <w:r w:rsidRPr="0085295D">
              <w:rPr>
                <w:rFonts w:cstheme="minorHAnsi"/>
              </w:rPr>
              <w:t xml:space="preserve">Le consultant retenu devra prendre toutes les dispositions nécessaires pour faire les </w:t>
            </w:r>
            <w:r w:rsidRPr="0085295D">
              <w:rPr>
                <w:rFonts w:cstheme="minorHAnsi"/>
                <w:b/>
              </w:rPr>
              <w:t xml:space="preserve">formations sécuritaires requises </w:t>
            </w:r>
            <w:r w:rsidRPr="0085295D">
              <w:rPr>
                <w:rFonts w:cstheme="minorHAnsi"/>
              </w:rPr>
              <w:t>avant tout démarrage de mission (ces certificats sont obtenus en ligne, le PNUD fournira tous les détails au consultant retenu au moment de l´attribution du contrat).</w:t>
            </w:r>
          </w:p>
        </w:tc>
      </w:tr>
      <w:bookmarkEnd w:id="8"/>
      <w:bookmarkEnd w:id="20"/>
    </w:tbl>
    <w:p w:rsidR="00AE0E6F" w:rsidRDefault="00AE0E6F" w:rsidP="00A24134">
      <w:pPr>
        <w:rPr>
          <w:rFonts w:cstheme="minorHAnsi"/>
          <w:b/>
          <w:lang w:val="fr-CD"/>
        </w:rPr>
      </w:pPr>
    </w:p>
    <w:p w:rsidR="00976370" w:rsidRDefault="00976370" w:rsidP="00976370">
      <w:r>
        <w:rPr>
          <w:rStyle w:val="lev"/>
          <w:rFonts w:ascii="Arial" w:hAnsi="Arial" w:cs="Arial"/>
          <w:color w:val="2F5597"/>
          <w:sz w:val="20"/>
          <w:szCs w:val="20"/>
          <w:bdr w:val="none" w:sz="0" w:space="0" w:color="auto" w:frame="1"/>
        </w:rPr>
        <w:t xml:space="preserve">La Notice de Sélection, y compris les annexes, sont publiées sur le site UNDP Procurement Notices :  </w:t>
      </w:r>
      <w:hyperlink r:id="rId14" w:history="1">
        <w:r w:rsidRPr="00B70D01">
          <w:rPr>
            <w:rStyle w:val="Lienhypertexte"/>
          </w:rPr>
          <w:t>http://procurement-notices.undp.org/view_notice.cfm?notice_id=62491</w:t>
        </w:r>
      </w:hyperlink>
    </w:p>
    <w:p w:rsidR="00976370" w:rsidRDefault="00976370" w:rsidP="00976370">
      <w:pPr>
        <w:pStyle w:val="NormalWeb"/>
        <w:spacing w:before="0" w:beforeAutospacing="0" w:after="0" w:afterAutospacing="0" w:line="293" w:lineRule="atLeast"/>
        <w:textAlignment w:val="baseline"/>
        <w:rPr>
          <w:rFonts w:ascii="Calibri" w:hAnsi="Calibri" w:cs="Calibri"/>
          <w:sz w:val="22"/>
          <w:szCs w:val="22"/>
        </w:rPr>
      </w:pPr>
    </w:p>
    <w:p w:rsidR="00976370" w:rsidRDefault="00976370" w:rsidP="00976370">
      <w:pPr>
        <w:pStyle w:val="NormalWeb"/>
        <w:spacing w:before="0" w:beforeAutospacing="0" w:after="0" w:afterAutospacing="0" w:line="293" w:lineRule="atLeast"/>
        <w:textAlignment w:val="baseline"/>
        <w:rPr>
          <w:rFonts w:ascii="Arial" w:hAnsi="Arial" w:cs="Arial"/>
          <w:color w:val="2F5597"/>
          <w:sz w:val="20"/>
          <w:szCs w:val="20"/>
        </w:rPr>
      </w:pPr>
      <w:r>
        <w:rPr>
          <w:rStyle w:val="lev"/>
          <w:rFonts w:ascii="Arial" w:hAnsi="Arial" w:cs="Arial"/>
          <w:color w:val="2F5597"/>
          <w:sz w:val="20"/>
          <w:szCs w:val="20"/>
          <w:bdr w:val="none" w:sz="0" w:space="0" w:color="auto" w:frame="1"/>
        </w:rPr>
        <w:t>Veuillez suivre ce lien pour télécharger la Notice de Sélection complète et les annexes.</w:t>
      </w:r>
      <w:r>
        <w:rPr>
          <w:rFonts w:ascii="Arial" w:hAnsi="Arial" w:cs="Arial"/>
          <w:color w:val="2F5597"/>
          <w:sz w:val="20"/>
          <w:szCs w:val="20"/>
        </w:rPr>
        <w:t> </w:t>
      </w:r>
    </w:p>
    <w:p w:rsidR="00976370" w:rsidRDefault="00976370" w:rsidP="00976370">
      <w:pPr>
        <w:pStyle w:val="NormalWeb"/>
        <w:spacing w:before="0" w:beforeAutospacing="0" w:after="0" w:afterAutospacing="0" w:line="293" w:lineRule="atLeast"/>
        <w:textAlignment w:val="baseline"/>
        <w:rPr>
          <w:rFonts w:ascii="Arial" w:hAnsi="Arial" w:cs="Arial"/>
          <w:color w:val="2F5597"/>
          <w:sz w:val="20"/>
          <w:szCs w:val="20"/>
        </w:rPr>
      </w:pPr>
      <w:r>
        <w:rPr>
          <w:rFonts w:ascii="Arial" w:hAnsi="Arial" w:cs="Arial"/>
          <w:color w:val="2F5597"/>
          <w:sz w:val="20"/>
          <w:szCs w:val="20"/>
        </w:rPr>
        <w:t>Également, prière de suivre les instructions indiquées dans la Notice de Sélection pour la soumission de votre offre. Vos propositions (propositions technique et financière) dûment signées doivent être envoyées à l’adresse e-mail </w:t>
      </w:r>
      <w:hyperlink r:id="rId15" w:history="1">
        <w:r>
          <w:rPr>
            <w:rStyle w:val="Lienhypertexte"/>
            <w:rFonts w:ascii="Arial" w:hAnsi="Arial" w:cs="Arial"/>
            <w:sz w:val="20"/>
            <w:szCs w:val="20"/>
            <w:bdr w:val="none" w:sz="0" w:space="0" w:color="auto" w:frame="1"/>
          </w:rPr>
          <w:t>ic.soumission.cd@undp.org</w:t>
        </w:r>
      </w:hyperlink>
      <w:r>
        <w:rPr>
          <w:rStyle w:val="lev"/>
          <w:rFonts w:ascii="Arial" w:hAnsi="Arial" w:cs="Arial"/>
          <w:color w:val="2F5597"/>
          <w:sz w:val="20"/>
          <w:szCs w:val="20"/>
          <w:bdr w:val="none" w:sz="0" w:space="0" w:color="auto" w:frame="1"/>
        </w:rPr>
        <w:t> </w:t>
      </w:r>
      <w:r>
        <w:rPr>
          <w:rFonts w:ascii="Arial" w:hAnsi="Arial" w:cs="Arial"/>
          <w:color w:val="2F5597"/>
          <w:sz w:val="20"/>
          <w:szCs w:val="20"/>
        </w:rPr>
        <w:t>avec mention de la référence et intitulé du dossier (</w:t>
      </w:r>
      <w:r>
        <w:rPr>
          <w:rStyle w:val="lev"/>
          <w:rFonts w:ascii="Verdana" w:hAnsi="Verdana"/>
          <w:color w:val="333333"/>
          <w:sz w:val="17"/>
          <w:szCs w:val="17"/>
        </w:rPr>
        <w:t>001/IC-INT/CPRD/2020 - Recrutement d´un(e) consultant(e) d´expertise international (e) chargé d’élaborer le programme conjoint Rule of Law</w:t>
      </w:r>
      <w:r>
        <w:rPr>
          <w:rFonts w:ascii="Arial" w:hAnsi="Arial" w:cs="Arial"/>
          <w:color w:val="2F5597"/>
          <w:sz w:val="20"/>
          <w:szCs w:val="20"/>
        </w:rPr>
        <w:t>).</w:t>
      </w:r>
    </w:p>
    <w:p w:rsidR="00976370" w:rsidRDefault="00976370" w:rsidP="00976370">
      <w:pPr>
        <w:pStyle w:val="NormalWeb"/>
        <w:spacing w:before="0" w:beforeAutospacing="0" w:after="0" w:afterAutospacing="0" w:line="293" w:lineRule="atLeast"/>
        <w:textAlignment w:val="baseline"/>
        <w:rPr>
          <w:rFonts w:ascii="Arial" w:hAnsi="Arial" w:cs="Arial"/>
          <w:color w:val="2F5597"/>
          <w:sz w:val="20"/>
          <w:szCs w:val="20"/>
        </w:rPr>
      </w:pPr>
    </w:p>
    <w:p w:rsidR="00976370" w:rsidRDefault="00976370" w:rsidP="00976370">
      <w:pPr>
        <w:pStyle w:val="NormalWeb"/>
        <w:spacing w:before="0" w:beforeAutospacing="0" w:after="0" w:afterAutospacing="0" w:line="293" w:lineRule="atLeast"/>
        <w:textAlignment w:val="baseline"/>
        <w:rPr>
          <w:rStyle w:val="lev"/>
          <w:rFonts w:ascii="Arial" w:hAnsi="Arial" w:cs="Arial"/>
          <w:color w:val="2F5597"/>
          <w:sz w:val="20"/>
          <w:szCs w:val="20"/>
          <w:bdr w:val="none" w:sz="0" w:space="0" w:color="auto" w:frame="1"/>
        </w:rPr>
      </w:pPr>
      <w:r w:rsidRPr="00B12F01">
        <w:rPr>
          <w:rStyle w:val="lev"/>
          <w:rFonts w:ascii="Arial" w:hAnsi="Arial" w:cs="Arial"/>
          <w:color w:val="2F5597"/>
          <w:sz w:val="20"/>
          <w:szCs w:val="20"/>
          <w:bdr w:val="none" w:sz="0" w:space="0" w:color="auto" w:frame="1"/>
        </w:rPr>
        <w:t xml:space="preserve">Votre proposition devra être reçue au plus tard le jeudi 23 </w:t>
      </w:r>
      <w:r w:rsidR="00166889">
        <w:rPr>
          <w:rStyle w:val="lev"/>
          <w:rFonts w:ascii="Arial" w:hAnsi="Arial" w:cs="Arial"/>
          <w:color w:val="2F5597"/>
          <w:sz w:val="20"/>
          <w:szCs w:val="20"/>
          <w:bdr w:val="none" w:sz="0" w:space="0" w:color="auto" w:frame="1"/>
        </w:rPr>
        <w:t>janvier</w:t>
      </w:r>
      <w:r w:rsidRPr="00B12F01">
        <w:rPr>
          <w:rStyle w:val="lev"/>
          <w:rFonts w:ascii="Arial" w:hAnsi="Arial" w:cs="Arial"/>
          <w:color w:val="2F5597"/>
          <w:sz w:val="20"/>
          <w:szCs w:val="20"/>
          <w:bdr w:val="none" w:sz="0" w:space="0" w:color="auto" w:frame="1"/>
        </w:rPr>
        <w:t xml:space="preserve"> 2020 à 16 heures de Kinshasa. </w:t>
      </w:r>
    </w:p>
    <w:p w:rsidR="00976370" w:rsidRDefault="00976370" w:rsidP="00976370">
      <w:pPr>
        <w:pStyle w:val="NormalWeb"/>
        <w:spacing w:before="0" w:beforeAutospacing="0" w:after="0" w:afterAutospacing="0" w:line="293" w:lineRule="atLeast"/>
        <w:textAlignment w:val="baseline"/>
        <w:rPr>
          <w:rFonts w:ascii="Arial" w:hAnsi="Arial" w:cs="Arial"/>
          <w:color w:val="2F5597"/>
          <w:sz w:val="20"/>
          <w:szCs w:val="20"/>
        </w:rPr>
      </w:pPr>
      <w:r w:rsidRPr="00B12F01">
        <w:rPr>
          <w:rFonts w:ascii="Arial" w:hAnsi="Arial" w:cs="Arial"/>
          <w:color w:val="2F5597"/>
          <w:sz w:val="20"/>
          <w:szCs w:val="20"/>
        </w:rPr>
        <w:t>Toute offre soumise après ce délai sera automatiquement rejetée.</w:t>
      </w:r>
    </w:p>
    <w:p w:rsidR="00976370" w:rsidRDefault="00976370" w:rsidP="00976370">
      <w:pPr>
        <w:pStyle w:val="NormalWeb"/>
        <w:spacing w:before="0" w:beforeAutospacing="0" w:after="0" w:afterAutospacing="0" w:line="293" w:lineRule="atLeast"/>
        <w:textAlignment w:val="baseline"/>
        <w:rPr>
          <w:rFonts w:ascii="Arial" w:hAnsi="Arial" w:cs="Arial"/>
          <w:color w:val="2F5597"/>
          <w:sz w:val="20"/>
          <w:szCs w:val="20"/>
        </w:rPr>
      </w:pPr>
    </w:p>
    <w:p w:rsidR="00976370" w:rsidRDefault="00976370" w:rsidP="00976370">
      <w:pPr>
        <w:pStyle w:val="NormalWeb"/>
        <w:spacing w:before="0" w:beforeAutospacing="0" w:after="0" w:afterAutospacing="0" w:line="293" w:lineRule="atLeast"/>
        <w:textAlignment w:val="baseline"/>
        <w:rPr>
          <w:rFonts w:ascii="Arial" w:hAnsi="Arial" w:cs="Arial"/>
          <w:color w:val="2F5597"/>
          <w:sz w:val="20"/>
          <w:szCs w:val="20"/>
        </w:rPr>
      </w:pPr>
      <w:r>
        <w:rPr>
          <w:rFonts w:ascii="Arial" w:hAnsi="Arial" w:cs="Arial"/>
          <w:color w:val="2F5597"/>
          <w:sz w:val="20"/>
          <w:szCs w:val="20"/>
        </w:rPr>
        <w:t>N’hésitez pas à écrire à l’adresse </w:t>
      </w:r>
      <w:hyperlink r:id="rId16" w:history="1">
        <w:r>
          <w:rPr>
            <w:rStyle w:val="Lienhypertexte"/>
            <w:rFonts w:ascii="Arial" w:hAnsi="Arial" w:cs="Arial"/>
            <w:color w:val="2F5597"/>
            <w:sz w:val="20"/>
            <w:szCs w:val="20"/>
            <w:bdr w:val="none" w:sz="0" w:space="0" w:color="auto" w:frame="1"/>
          </w:rPr>
          <w:t>soumission.info@undp.org</w:t>
        </w:r>
      </w:hyperlink>
      <w:r>
        <w:rPr>
          <w:rFonts w:ascii="Arial" w:hAnsi="Arial" w:cs="Arial"/>
          <w:color w:val="2F5597"/>
          <w:sz w:val="20"/>
          <w:szCs w:val="20"/>
        </w:rPr>
        <w:t xml:space="preserve"> pour toute information complémentaire avant la date limite de dépôt des offres. </w:t>
      </w:r>
    </w:p>
    <w:p w:rsidR="00976370" w:rsidRDefault="00976370" w:rsidP="00976370">
      <w:pPr>
        <w:pStyle w:val="NormalWeb"/>
        <w:spacing w:before="0" w:beforeAutospacing="0" w:after="0" w:afterAutospacing="0" w:line="293" w:lineRule="atLeast"/>
        <w:textAlignment w:val="baseline"/>
        <w:rPr>
          <w:rFonts w:ascii="Arial" w:hAnsi="Arial" w:cs="Arial"/>
          <w:color w:val="2F5597"/>
          <w:sz w:val="20"/>
          <w:szCs w:val="20"/>
        </w:rPr>
      </w:pPr>
    </w:p>
    <w:p w:rsidR="00976370" w:rsidRDefault="00976370" w:rsidP="00976370">
      <w:pPr>
        <w:pStyle w:val="NormalWeb"/>
        <w:spacing w:before="0" w:beforeAutospacing="0" w:after="0" w:afterAutospacing="0" w:line="293" w:lineRule="atLeast"/>
        <w:textAlignment w:val="baseline"/>
        <w:rPr>
          <w:rFonts w:ascii="Arial" w:hAnsi="Arial" w:cs="Arial"/>
          <w:color w:val="2F5597"/>
          <w:sz w:val="20"/>
          <w:szCs w:val="20"/>
          <w:u w:val="single"/>
        </w:rPr>
      </w:pPr>
      <w:r>
        <w:rPr>
          <w:rFonts w:ascii="Arial" w:hAnsi="Arial" w:cs="Arial"/>
          <w:color w:val="2F5597"/>
          <w:sz w:val="20"/>
          <w:szCs w:val="20"/>
          <w:u w:val="single"/>
        </w:rPr>
        <w:t xml:space="preserve">NB : cette consultance est publiée sur le site UNDP Jobs pour faire une large diffusion, mais il est mandataire de présenter les candidatures par email, tel qu´indiqué dans la Notice de Sélection. Les candidatures envoyées à travers ce site (UNDP Jobs) ne seront pas considérées. </w:t>
      </w:r>
    </w:p>
    <w:p w:rsidR="00976370" w:rsidRDefault="00976370" w:rsidP="00A24134">
      <w:pPr>
        <w:rPr>
          <w:rFonts w:cstheme="minorHAnsi"/>
          <w:b/>
        </w:rPr>
      </w:pPr>
    </w:p>
    <w:p w:rsidR="00976370" w:rsidRPr="00976370" w:rsidRDefault="00976370" w:rsidP="00A24134">
      <w:pPr>
        <w:rPr>
          <w:rFonts w:cstheme="minorHAnsi"/>
          <w:b/>
        </w:rPr>
      </w:pPr>
    </w:p>
    <w:p w:rsidR="00EA50D0" w:rsidRPr="0085295D" w:rsidRDefault="002A1486" w:rsidP="00A24134">
      <w:pPr>
        <w:rPr>
          <w:rFonts w:cstheme="minorHAnsi"/>
          <w:b/>
          <w:u w:val="single"/>
        </w:rPr>
      </w:pPr>
      <w:r w:rsidRPr="0085295D">
        <w:rPr>
          <w:rFonts w:cstheme="minorHAnsi"/>
          <w:b/>
          <w:u w:val="single"/>
        </w:rPr>
        <w:t>ANNEX</w:t>
      </w:r>
      <w:r w:rsidR="00852471" w:rsidRPr="0085295D">
        <w:rPr>
          <w:rFonts w:cstheme="minorHAnsi"/>
          <w:b/>
          <w:u w:val="single"/>
        </w:rPr>
        <w:t>ES</w:t>
      </w:r>
    </w:p>
    <w:p w:rsidR="00103276" w:rsidRPr="0085295D" w:rsidRDefault="0082245E" w:rsidP="00A24134">
      <w:pPr>
        <w:rPr>
          <w:rFonts w:cstheme="minorHAnsi"/>
          <w:b/>
        </w:rPr>
      </w:pPr>
      <w:r w:rsidRPr="0085295D">
        <w:rPr>
          <w:rFonts w:cstheme="minorHAnsi"/>
          <w:b/>
        </w:rPr>
        <w:t>ANNEX 1</w:t>
      </w:r>
      <w:r w:rsidR="00167362" w:rsidRPr="0085295D">
        <w:rPr>
          <w:rFonts w:cstheme="minorHAnsi"/>
          <w:b/>
        </w:rPr>
        <w:t xml:space="preserve"> – Termes et Conditions des contrats IC (IndividualContracts)</w:t>
      </w:r>
    </w:p>
    <w:bookmarkStart w:id="21" w:name="_MON_1440321617"/>
    <w:bookmarkEnd w:id="21"/>
    <w:p w:rsidR="004B1614" w:rsidRPr="0085295D" w:rsidRDefault="00A24A6D" w:rsidP="00A24134">
      <w:pPr>
        <w:rPr>
          <w:rFonts w:cstheme="minorHAnsi"/>
          <w:b/>
        </w:rPr>
      </w:pPr>
      <w:r w:rsidRPr="0085295D">
        <w:rPr>
          <w:rFonts w:eastAsia="Times New Roman" w:cstheme="minorHAnsi"/>
          <w:b/>
          <w:noProof/>
          <w:lang w:eastAsia="rw-RW"/>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3pt;height:49.3pt;mso-width-percent:0;mso-height-percent:0;mso-width-percent:0;mso-height-percent:0" o:ole="">
            <v:imagedata r:id="rId17" o:title=""/>
          </v:shape>
          <o:OLEObject Type="Embed" ProgID="Word.Document.12" ShapeID="_x0000_i1025" DrawAspect="Icon" ObjectID="_1640152005" r:id="rId18">
            <o:FieldCodes>\s</o:FieldCodes>
          </o:OLEObject>
        </w:object>
      </w:r>
    </w:p>
    <w:p w:rsidR="00852471" w:rsidRPr="0085295D" w:rsidRDefault="00852471" w:rsidP="00A24134">
      <w:pPr>
        <w:rPr>
          <w:rFonts w:cstheme="minorHAnsi"/>
          <w:b/>
        </w:rPr>
      </w:pPr>
      <w:r w:rsidRPr="0085295D">
        <w:rPr>
          <w:rFonts w:cstheme="minorHAnsi"/>
          <w:b/>
        </w:rPr>
        <w:t xml:space="preserve">ANNEX 2 – </w:t>
      </w:r>
      <w:r w:rsidR="00BB6AA4" w:rsidRPr="0085295D">
        <w:rPr>
          <w:rFonts w:cstheme="minorHAnsi"/>
          <w:b/>
        </w:rPr>
        <w:t xml:space="preserve">Lettre de soumission au PNUD confirmant l´intérêt et la disponibilité du prestataire individuel (IC) pour la mission </w:t>
      </w:r>
      <w:r w:rsidRPr="0085295D">
        <w:rPr>
          <w:rFonts w:cstheme="minorHAnsi"/>
          <w:b/>
        </w:rPr>
        <w:t>(</w:t>
      </w:r>
      <w:r w:rsidR="00BB6AA4" w:rsidRPr="0085295D">
        <w:rPr>
          <w:rFonts w:cstheme="minorHAnsi"/>
          <w:b/>
        </w:rPr>
        <w:t>y compris le tableau des couts</w:t>
      </w:r>
      <w:r w:rsidRPr="0085295D">
        <w:rPr>
          <w:rFonts w:cstheme="minorHAnsi"/>
          <w:b/>
        </w:rPr>
        <w:t>)</w:t>
      </w:r>
    </w:p>
    <w:bookmarkStart w:id="22" w:name="_MON_1620108486"/>
    <w:bookmarkEnd w:id="22"/>
    <w:p w:rsidR="00240981" w:rsidRPr="0085295D" w:rsidRDefault="00BB6AA4" w:rsidP="00C3053C">
      <w:pPr>
        <w:rPr>
          <w:rFonts w:cstheme="minorHAnsi"/>
          <w:b/>
        </w:rPr>
      </w:pPr>
      <w:r w:rsidRPr="0085295D">
        <w:rPr>
          <w:rFonts w:cstheme="minorHAnsi"/>
          <w:b/>
          <w:noProof/>
        </w:rPr>
        <w:object w:dxaOrig="1478" w:dyaOrig="973">
          <v:shape id="_x0000_i1026" type="#_x0000_t75" style="width:73.7pt;height:48pt" o:ole="">
            <v:imagedata r:id="rId19" o:title=""/>
          </v:shape>
          <o:OLEObject Type="Embed" ProgID="Word.Document.12" ShapeID="_x0000_i1026" DrawAspect="Icon" ObjectID="_1640152006" r:id="rId20">
            <o:FieldCodes>\s</o:FieldCodes>
          </o:OLEObject>
        </w:object>
      </w:r>
    </w:p>
    <w:sectPr w:rsidR="00240981" w:rsidRPr="0085295D" w:rsidSect="008429D1">
      <w:headerReference w:type="default" r:id="rId21"/>
      <w:footerReference w:type="default" r:id="rId22"/>
      <w:pgSz w:w="12240" w:h="15840"/>
      <w:pgMar w:top="1440" w:right="1440" w:bottom="99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2DF" w:rsidRDefault="00E002DF" w:rsidP="00A24134">
      <w:pPr>
        <w:spacing w:after="0" w:line="240" w:lineRule="auto"/>
      </w:pPr>
      <w:r>
        <w:separator/>
      </w:r>
    </w:p>
  </w:endnote>
  <w:endnote w:type="continuationSeparator" w:id="1">
    <w:p w:rsidR="00E002DF" w:rsidRDefault="00E002DF" w:rsidP="00A241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Nyala">
    <w:panose1 w:val="02000504070300020003"/>
    <w:charset w:val="00"/>
    <w:family w:val="auto"/>
    <w:pitch w:val="variable"/>
    <w:sig w:usb0="A000006F" w:usb1="00000000" w:usb2="000008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0AD" w:rsidRPr="005810AD" w:rsidRDefault="0085295D" w:rsidP="00581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heme="minorHAnsi"/>
        <w:i/>
        <w:sz w:val="20"/>
        <w:szCs w:val="20"/>
        <w:lang w:eastAsia="fr-FR"/>
      </w:rPr>
    </w:pPr>
    <w:r>
      <w:rPr>
        <w:rFonts w:eastAsia="Times New Roman" w:cstheme="minorHAnsi"/>
        <w:i/>
        <w:sz w:val="18"/>
        <w:szCs w:val="18"/>
        <w:lang w:eastAsia="rw-RW"/>
      </w:rPr>
      <w:t>001</w:t>
    </w:r>
    <w:r w:rsidR="00E4293F" w:rsidRPr="00E4293F">
      <w:rPr>
        <w:rFonts w:eastAsia="Times New Roman" w:cstheme="minorHAnsi"/>
        <w:i/>
        <w:sz w:val="18"/>
        <w:szCs w:val="18"/>
        <w:lang w:eastAsia="rw-RW"/>
      </w:rPr>
      <w:t>/</w:t>
    </w:r>
    <w:r w:rsidR="005810AD">
      <w:rPr>
        <w:rFonts w:eastAsia="Times New Roman" w:cstheme="minorHAnsi"/>
        <w:i/>
        <w:sz w:val="18"/>
        <w:szCs w:val="18"/>
        <w:lang w:eastAsia="rw-RW"/>
      </w:rPr>
      <w:t>IC-</w:t>
    </w:r>
    <w:r w:rsidR="00CA000E">
      <w:rPr>
        <w:rFonts w:eastAsia="Times New Roman" w:cstheme="minorHAnsi"/>
        <w:i/>
        <w:sz w:val="18"/>
        <w:szCs w:val="18"/>
        <w:lang w:eastAsia="rw-RW"/>
      </w:rPr>
      <w:t>INT</w:t>
    </w:r>
    <w:r w:rsidR="00E4293F" w:rsidRPr="00E4293F">
      <w:rPr>
        <w:rFonts w:eastAsia="Times New Roman" w:cstheme="minorHAnsi"/>
        <w:i/>
        <w:sz w:val="18"/>
        <w:szCs w:val="18"/>
        <w:lang w:eastAsia="rw-RW"/>
      </w:rPr>
      <w:t>/</w:t>
    </w:r>
    <w:r w:rsidR="005810AD">
      <w:rPr>
        <w:rFonts w:eastAsia="Times New Roman" w:cstheme="minorHAnsi"/>
        <w:i/>
        <w:sz w:val="18"/>
        <w:szCs w:val="18"/>
        <w:lang w:eastAsia="rw-RW"/>
      </w:rPr>
      <w:t>CPRD</w:t>
    </w:r>
    <w:r w:rsidR="00E4293F" w:rsidRPr="00E4293F">
      <w:rPr>
        <w:rFonts w:eastAsia="Times New Roman" w:cstheme="minorHAnsi"/>
        <w:i/>
        <w:sz w:val="18"/>
        <w:szCs w:val="18"/>
        <w:lang w:eastAsia="rw-RW"/>
      </w:rPr>
      <w:t>/20</w:t>
    </w:r>
    <w:r>
      <w:rPr>
        <w:rFonts w:eastAsia="Times New Roman" w:cstheme="minorHAnsi"/>
        <w:i/>
        <w:sz w:val="18"/>
        <w:szCs w:val="18"/>
        <w:lang w:eastAsia="rw-RW"/>
      </w:rPr>
      <w:t>20</w:t>
    </w:r>
    <w:r w:rsidR="005810AD">
      <w:rPr>
        <w:rFonts w:eastAsia="Times New Roman" w:cstheme="minorHAnsi"/>
        <w:i/>
        <w:sz w:val="18"/>
        <w:szCs w:val="18"/>
        <w:lang w:eastAsia="rw-RW"/>
      </w:rPr>
      <w:t xml:space="preserve"> : </w:t>
    </w:r>
    <w:r w:rsidR="00E4293F">
      <w:rPr>
        <w:rFonts w:eastAsia="Times New Roman" w:cstheme="minorHAnsi"/>
        <w:i/>
        <w:sz w:val="20"/>
        <w:szCs w:val="20"/>
        <w:lang w:eastAsia="rw-RW"/>
      </w:rPr>
      <w:t> </w:t>
    </w:r>
    <w:r w:rsidR="005810AD" w:rsidRPr="005810AD">
      <w:rPr>
        <w:rFonts w:eastAsia="Times New Roman" w:cstheme="minorHAnsi"/>
        <w:bCs/>
        <w:i/>
        <w:sz w:val="20"/>
        <w:szCs w:val="20"/>
      </w:rPr>
      <w:t>Recrutement d´un(e) consultant(e) d´expertise national (e)</w:t>
    </w:r>
    <w:r w:rsidR="005810AD" w:rsidRPr="005810AD">
      <w:rPr>
        <w:rFonts w:eastAsia="Times New Roman" w:cstheme="minorHAnsi"/>
        <w:i/>
        <w:sz w:val="20"/>
        <w:szCs w:val="20"/>
        <w:lang w:eastAsia="fr-FR"/>
      </w:rPr>
      <w:t>chargé d’élaborer le programmeconjoint Rule of Law</w:t>
    </w:r>
  </w:p>
  <w:p w:rsidR="003343CB" w:rsidRPr="005810AD" w:rsidRDefault="003343CB" w:rsidP="00E4293F">
    <w:pPr>
      <w:pStyle w:val="Pieddepage"/>
      <w:rPr>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2DF" w:rsidRDefault="00E002DF" w:rsidP="00A24134">
      <w:pPr>
        <w:spacing w:after="0" w:line="240" w:lineRule="auto"/>
      </w:pPr>
      <w:r>
        <w:separator/>
      </w:r>
    </w:p>
  </w:footnote>
  <w:footnote w:type="continuationSeparator" w:id="1">
    <w:p w:rsidR="00E002DF" w:rsidRDefault="00E002DF" w:rsidP="00A24134">
      <w:pPr>
        <w:spacing w:after="0" w:line="240" w:lineRule="auto"/>
      </w:pPr>
      <w:r>
        <w:continuationSeparator/>
      </w:r>
    </w:p>
  </w:footnote>
  <w:footnote w:id="2">
    <w:p w:rsidR="000939DA" w:rsidRDefault="000939DA" w:rsidP="000939DA">
      <w:pPr>
        <w:pStyle w:val="Notedebasdepage"/>
        <w:rPr>
          <w:rFonts w:ascii="Times New Roman" w:hAnsi="Times New Roman"/>
          <w:sz w:val="18"/>
          <w:szCs w:val="18"/>
          <w:lang w:val="fr-CD" w:eastAsia="fr-FR"/>
        </w:rPr>
      </w:pPr>
      <w:r>
        <w:rPr>
          <w:rStyle w:val="Appelnotedebasdep"/>
          <w:rFonts w:ascii="Times New Roman" w:hAnsi="Times New Roman"/>
          <w:szCs w:val="18"/>
        </w:rPr>
        <w:footnoteRef/>
      </w:r>
      <w:r>
        <w:rPr>
          <w:rFonts w:ascii="Times New Roman" w:eastAsiaTheme="minorEastAsia" w:hAnsi="Times New Roman"/>
          <w:sz w:val="18"/>
          <w:szCs w:val="18"/>
          <w:lang w:val="fr-CH"/>
        </w:rPr>
        <w:t xml:space="preserve"> Situation politique instable et plusieurs territoires insécurisés.</w:t>
      </w:r>
    </w:p>
  </w:footnote>
  <w:footnote w:id="3">
    <w:p w:rsidR="000939DA" w:rsidRDefault="000939DA" w:rsidP="000939DA">
      <w:pPr>
        <w:pStyle w:val="Notedebasdepage"/>
        <w:rPr>
          <w:rFonts w:ascii="Times New Roman" w:hAnsi="Times New Roman"/>
          <w:sz w:val="18"/>
          <w:szCs w:val="18"/>
          <w:lang w:val="fr-CD"/>
        </w:rPr>
      </w:pPr>
      <w:r>
        <w:rPr>
          <w:rStyle w:val="Appelnotedebasdep"/>
          <w:rFonts w:ascii="Times New Roman" w:hAnsi="Times New Roman"/>
          <w:szCs w:val="18"/>
        </w:rPr>
        <w:footnoteRef/>
      </w:r>
      <w:r>
        <w:rPr>
          <w:rFonts w:ascii="Times New Roman" w:hAnsi="Times New Roman"/>
          <w:sz w:val="18"/>
          <w:szCs w:val="18"/>
          <w:lang w:val="fr-CD"/>
        </w:rPr>
        <w:t xml:space="preserve"> Article 1, </w:t>
      </w:r>
      <w:r>
        <w:rPr>
          <w:rFonts w:ascii="Times New Roman" w:hAnsi="Times New Roman"/>
          <w:sz w:val="18"/>
          <w:szCs w:val="18"/>
          <w:vertAlign w:val="superscript"/>
          <w:lang w:val="fr-CD"/>
        </w:rPr>
        <w:t>alinéa</w:t>
      </w:r>
      <w:r>
        <w:rPr>
          <w:rFonts w:ascii="Times New Roman" w:hAnsi="Times New Roman"/>
          <w:sz w:val="18"/>
          <w:szCs w:val="18"/>
          <w:lang w:val="fr-CD"/>
        </w:rPr>
        <w:t xml:space="preserve"> 1de la Constitution </w:t>
      </w:r>
    </w:p>
  </w:footnote>
  <w:footnote w:id="4">
    <w:p w:rsidR="000939DA" w:rsidRDefault="000939DA" w:rsidP="000939DA">
      <w:pPr>
        <w:pStyle w:val="Notedebasdepage"/>
        <w:rPr>
          <w:rFonts w:ascii="Times New Roman" w:hAnsi="Times New Roman"/>
          <w:sz w:val="18"/>
          <w:szCs w:val="18"/>
          <w:lang w:val="fr-CD"/>
        </w:rPr>
      </w:pPr>
      <w:r>
        <w:rPr>
          <w:rStyle w:val="Appelnotedebasdep"/>
          <w:rFonts w:ascii="Times New Roman" w:hAnsi="Times New Roman"/>
          <w:szCs w:val="18"/>
        </w:rPr>
        <w:footnoteRef/>
      </w:r>
      <w:r>
        <w:rPr>
          <w:rFonts w:ascii="Times New Roman" w:hAnsi="Times New Roman"/>
          <w:sz w:val="18"/>
          <w:szCs w:val="18"/>
          <w:lang w:val="fr-CD"/>
        </w:rPr>
        <w:t xml:space="preserve"> Consacrés spécialement au titre II de la Constitution comprenant les articles 11 à 67. </w:t>
      </w:r>
    </w:p>
  </w:footnote>
  <w:footnote w:id="5">
    <w:p w:rsidR="000939DA" w:rsidRDefault="000939DA" w:rsidP="000939DA">
      <w:pPr>
        <w:pStyle w:val="Notedebasdepage"/>
        <w:rPr>
          <w:rFonts w:ascii="Courier" w:hAnsi="Courier"/>
          <w:sz w:val="18"/>
          <w:szCs w:val="18"/>
          <w:lang w:val="fr-CD"/>
        </w:rPr>
      </w:pPr>
      <w:r>
        <w:rPr>
          <w:rStyle w:val="Appelnotedebasdep"/>
          <w:szCs w:val="18"/>
        </w:rPr>
        <w:footnoteRef/>
      </w:r>
      <w:r>
        <w:rPr>
          <w:sz w:val="18"/>
          <w:szCs w:val="18"/>
          <w:lang w:val="fr-CD"/>
        </w:rPr>
        <w:t xml:space="preserve"> Résolution 2409 (2018), Adoptée par le Conseil de sécurité à sa 8216e séance, le 27 mars 2018, </w:t>
      </w:r>
      <w:hyperlink r:id="rId1" w:history="1">
        <w:r>
          <w:rPr>
            <w:rStyle w:val="Lienhypertexte"/>
            <w:sz w:val="18"/>
            <w:szCs w:val="18"/>
            <w:lang w:val="fr-CD"/>
          </w:rPr>
          <w:t>http://undocs.org/fr/S/RES/2409(2018)</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263" w:rsidRDefault="00BF6263" w:rsidP="00D56C11">
    <w:pPr>
      <w:pStyle w:val="En-tte"/>
      <w:jc w:val="right"/>
    </w:pPr>
    <w:r w:rsidRPr="001C0978">
      <w:rPr>
        <w:rFonts w:ascii="Times New Roman" w:hAnsi="Times New Roman"/>
        <w:b/>
        <w:noProof/>
        <w:sz w:val="28"/>
        <w:szCs w:val="28"/>
        <w:lang w:eastAsia="fr-FR"/>
      </w:rPr>
      <w:drawing>
        <wp:inline distT="0" distB="0" distL="0" distR="0">
          <wp:extent cx="409569" cy="1057523"/>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3531" cy="10935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3093"/>
    <w:multiLevelType w:val="hybridMultilevel"/>
    <w:tmpl w:val="718A19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9B80206"/>
    <w:multiLevelType w:val="hybridMultilevel"/>
    <w:tmpl w:val="1C08D1B2"/>
    <w:lvl w:ilvl="0" w:tplc="7034E46E">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C576D0"/>
    <w:multiLevelType w:val="hybridMultilevel"/>
    <w:tmpl w:val="1102C3D6"/>
    <w:lvl w:ilvl="0" w:tplc="240C0017">
      <w:start w:val="1"/>
      <w:numFmt w:val="lowerLetter"/>
      <w:lvlText w:val="%1)"/>
      <w:lvlJc w:val="left"/>
      <w:pPr>
        <w:ind w:left="720" w:hanging="36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3">
    <w:nsid w:val="0EFA3D8B"/>
    <w:multiLevelType w:val="hybridMultilevel"/>
    <w:tmpl w:val="5D7CC75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11535E57"/>
    <w:multiLevelType w:val="hybridMultilevel"/>
    <w:tmpl w:val="E9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BA71C0"/>
    <w:multiLevelType w:val="hybridMultilevel"/>
    <w:tmpl w:val="3ED4C3EE"/>
    <w:lvl w:ilvl="0" w:tplc="1EE47C9E">
      <w:start w:val="300"/>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5F638BD"/>
    <w:multiLevelType w:val="multilevel"/>
    <w:tmpl w:val="DE6A07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1F6A5B68"/>
    <w:multiLevelType w:val="hybridMultilevel"/>
    <w:tmpl w:val="11E625AA"/>
    <w:lvl w:ilvl="0" w:tplc="C35639C2">
      <w:numFmt w:val="bullet"/>
      <w:lvlText w:val=""/>
      <w:lvlJc w:val="left"/>
      <w:pPr>
        <w:ind w:left="786" w:hanging="360"/>
      </w:pPr>
      <w:rPr>
        <w:rFonts w:ascii="Symbol" w:eastAsiaTheme="minorHAnsi" w:hAnsi="Symbol" w:cs="Times New Roman" w:hint="default"/>
      </w:rPr>
    </w:lvl>
    <w:lvl w:ilvl="1" w:tplc="240C0003">
      <w:start w:val="1"/>
      <w:numFmt w:val="bullet"/>
      <w:lvlText w:val="o"/>
      <w:lvlJc w:val="left"/>
      <w:pPr>
        <w:ind w:left="1506" w:hanging="360"/>
      </w:pPr>
      <w:rPr>
        <w:rFonts w:ascii="Courier New" w:hAnsi="Courier New" w:cs="Courier New" w:hint="default"/>
      </w:rPr>
    </w:lvl>
    <w:lvl w:ilvl="2" w:tplc="240C0005">
      <w:start w:val="1"/>
      <w:numFmt w:val="bullet"/>
      <w:lvlText w:val=""/>
      <w:lvlJc w:val="left"/>
      <w:pPr>
        <w:ind w:left="2226" w:hanging="360"/>
      </w:pPr>
      <w:rPr>
        <w:rFonts w:ascii="Wingdings" w:hAnsi="Wingdings" w:hint="default"/>
      </w:rPr>
    </w:lvl>
    <w:lvl w:ilvl="3" w:tplc="240C0001">
      <w:start w:val="1"/>
      <w:numFmt w:val="bullet"/>
      <w:lvlText w:val=""/>
      <w:lvlJc w:val="left"/>
      <w:pPr>
        <w:ind w:left="2946" w:hanging="360"/>
      </w:pPr>
      <w:rPr>
        <w:rFonts w:ascii="Symbol" w:hAnsi="Symbol" w:hint="default"/>
      </w:rPr>
    </w:lvl>
    <w:lvl w:ilvl="4" w:tplc="240C0003">
      <w:start w:val="1"/>
      <w:numFmt w:val="bullet"/>
      <w:lvlText w:val="o"/>
      <w:lvlJc w:val="left"/>
      <w:pPr>
        <w:ind w:left="3666" w:hanging="360"/>
      </w:pPr>
      <w:rPr>
        <w:rFonts w:ascii="Courier New" w:hAnsi="Courier New" w:cs="Courier New" w:hint="default"/>
      </w:rPr>
    </w:lvl>
    <w:lvl w:ilvl="5" w:tplc="240C0005">
      <w:start w:val="1"/>
      <w:numFmt w:val="bullet"/>
      <w:lvlText w:val=""/>
      <w:lvlJc w:val="left"/>
      <w:pPr>
        <w:ind w:left="4386" w:hanging="360"/>
      </w:pPr>
      <w:rPr>
        <w:rFonts w:ascii="Wingdings" w:hAnsi="Wingdings" w:hint="default"/>
      </w:rPr>
    </w:lvl>
    <w:lvl w:ilvl="6" w:tplc="240C0001">
      <w:start w:val="1"/>
      <w:numFmt w:val="bullet"/>
      <w:lvlText w:val=""/>
      <w:lvlJc w:val="left"/>
      <w:pPr>
        <w:ind w:left="5106" w:hanging="360"/>
      </w:pPr>
      <w:rPr>
        <w:rFonts w:ascii="Symbol" w:hAnsi="Symbol" w:hint="default"/>
      </w:rPr>
    </w:lvl>
    <w:lvl w:ilvl="7" w:tplc="240C0003">
      <w:start w:val="1"/>
      <w:numFmt w:val="bullet"/>
      <w:lvlText w:val="o"/>
      <w:lvlJc w:val="left"/>
      <w:pPr>
        <w:ind w:left="5826" w:hanging="360"/>
      </w:pPr>
      <w:rPr>
        <w:rFonts w:ascii="Courier New" w:hAnsi="Courier New" w:cs="Courier New" w:hint="default"/>
      </w:rPr>
    </w:lvl>
    <w:lvl w:ilvl="8" w:tplc="240C0005">
      <w:start w:val="1"/>
      <w:numFmt w:val="bullet"/>
      <w:lvlText w:val=""/>
      <w:lvlJc w:val="left"/>
      <w:pPr>
        <w:ind w:left="6546" w:hanging="360"/>
      </w:pPr>
      <w:rPr>
        <w:rFonts w:ascii="Wingdings" w:hAnsi="Wingdings" w:hint="default"/>
      </w:rPr>
    </w:lvl>
  </w:abstractNum>
  <w:abstractNum w:abstractNumId="8">
    <w:nsid w:val="22000248"/>
    <w:multiLevelType w:val="hybridMultilevel"/>
    <w:tmpl w:val="0E74C66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3B21B19"/>
    <w:multiLevelType w:val="hybridMultilevel"/>
    <w:tmpl w:val="719E5630"/>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0">
    <w:nsid w:val="2F882E57"/>
    <w:multiLevelType w:val="hybridMultilevel"/>
    <w:tmpl w:val="14C2B2AE"/>
    <w:lvl w:ilvl="0" w:tplc="EF2AE67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658" w:hanging="360"/>
      </w:pPr>
      <w:rPr>
        <w:rFonts w:ascii="Courier New" w:hAnsi="Courier New" w:cs="Courier New" w:hint="default"/>
      </w:rPr>
    </w:lvl>
    <w:lvl w:ilvl="2" w:tplc="040C0005">
      <w:start w:val="1"/>
      <w:numFmt w:val="bullet"/>
      <w:lvlText w:val=""/>
      <w:lvlJc w:val="left"/>
      <w:pPr>
        <w:ind w:left="2378" w:hanging="360"/>
      </w:pPr>
      <w:rPr>
        <w:rFonts w:ascii="Wingdings" w:hAnsi="Wingdings" w:hint="default"/>
      </w:rPr>
    </w:lvl>
    <w:lvl w:ilvl="3" w:tplc="040C0001">
      <w:start w:val="1"/>
      <w:numFmt w:val="bullet"/>
      <w:lvlText w:val=""/>
      <w:lvlJc w:val="left"/>
      <w:pPr>
        <w:ind w:left="3098" w:hanging="360"/>
      </w:pPr>
      <w:rPr>
        <w:rFonts w:ascii="Symbol" w:hAnsi="Symbol" w:hint="default"/>
      </w:rPr>
    </w:lvl>
    <w:lvl w:ilvl="4" w:tplc="040C0003">
      <w:start w:val="1"/>
      <w:numFmt w:val="bullet"/>
      <w:lvlText w:val="o"/>
      <w:lvlJc w:val="left"/>
      <w:pPr>
        <w:ind w:left="3818" w:hanging="360"/>
      </w:pPr>
      <w:rPr>
        <w:rFonts w:ascii="Courier New" w:hAnsi="Courier New" w:cs="Courier New" w:hint="default"/>
      </w:rPr>
    </w:lvl>
    <w:lvl w:ilvl="5" w:tplc="040C0005">
      <w:start w:val="1"/>
      <w:numFmt w:val="bullet"/>
      <w:lvlText w:val=""/>
      <w:lvlJc w:val="left"/>
      <w:pPr>
        <w:ind w:left="4538" w:hanging="360"/>
      </w:pPr>
      <w:rPr>
        <w:rFonts w:ascii="Wingdings" w:hAnsi="Wingdings" w:hint="default"/>
      </w:rPr>
    </w:lvl>
    <w:lvl w:ilvl="6" w:tplc="040C0001">
      <w:start w:val="1"/>
      <w:numFmt w:val="bullet"/>
      <w:lvlText w:val=""/>
      <w:lvlJc w:val="left"/>
      <w:pPr>
        <w:ind w:left="5258" w:hanging="360"/>
      </w:pPr>
      <w:rPr>
        <w:rFonts w:ascii="Symbol" w:hAnsi="Symbol" w:hint="default"/>
      </w:rPr>
    </w:lvl>
    <w:lvl w:ilvl="7" w:tplc="040C0003">
      <w:start w:val="1"/>
      <w:numFmt w:val="bullet"/>
      <w:lvlText w:val="o"/>
      <w:lvlJc w:val="left"/>
      <w:pPr>
        <w:ind w:left="5978" w:hanging="360"/>
      </w:pPr>
      <w:rPr>
        <w:rFonts w:ascii="Courier New" w:hAnsi="Courier New" w:cs="Courier New" w:hint="default"/>
      </w:rPr>
    </w:lvl>
    <w:lvl w:ilvl="8" w:tplc="040C0005">
      <w:start w:val="1"/>
      <w:numFmt w:val="bullet"/>
      <w:lvlText w:val=""/>
      <w:lvlJc w:val="left"/>
      <w:pPr>
        <w:ind w:left="6698" w:hanging="360"/>
      </w:pPr>
      <w:rPr>
        <w:rFonts w:ascii="Wingdings" w:hAnsi="Wingdings" w:hint="default"/>
      </w:rPr>
    </w:lvl>
  </w:abstractNum>
  <w:abstractNum w:abstractNumId="11">
    <w:nsid w:val="30085A04"/>
    <w:multiLevelType w:val="hybridMultilevel"/>
    <w:tmpl w:val="25F6CA76"/>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2">
    <w:nsid w:val="30EB5C94"/>
    <w:multiLevelType w:val="hybridMultilevel"/>
    <w:tmpl w:val="CACA36AC"/>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3">
    <w:nsid w:val="31A70F7A"/>
    <w:multiLevelType w:val="hybridMultilevel"/>
    <w:tmpl w:val="D414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B56F57"/>
    <w:multiLevelType w:val="hybridMultilevel"/>
    <w:tmpl w:val="58E82010"/>
    <w:lvl w:ilvl="0" w:tplc="9AF63C4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1C5C0E"/>
    <w:multiLevelType w:val="hybridMultilevel"/>
    <w:tmpl w:val="70BAE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6574DD"/>
    <w:multiLevelType w:val="hybridMultilevel"/>
    <w:tmpl w:val="19A40E4E"/>
    <w:lvl w:ilvl="0" w:tplc="240C000F">
      <w:start w:val="1"/>
      <w:numFmt w:val="decimal"/>
      <w:lvlText w:val="%1."/>
      <w:lvlJc w:val="left"/>
      <w:pPr>
        <w:ind w:left="720" w:hanging="360"/>
      </w:p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17">
    <w:nsid w:val="48AE0E22"/>
    <w:multiLevelType w:val="hybridMultilevel"/>
    <w:tmpl w:val="8C368ABE"/>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8">
    <w:nsid w:val="4BB76FAD"/>
    <w:multiLevelType w:val="hybridMultilevel"/>
    <w:tmpl w:val="39549E2A"/>
    <w:lvl w:ilvl="0" w:tplc="15F824E8">
      <w:start w:val="3"/>
      <w:numFmt w:val="bullet"/>
      <w:lvlText w:val="-"/>
      <w:lvlJc w:val="left"/>
      <w:pPr>
        <w:ind w:left="1060" w:hanging="700"/>
      </w:pPr>
      <w:rPr>
        <w:rFonts w:ascii="Candara" w:eastAsiaTheme="minorEastAsia" w:hAnsi="Candara"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9">
    <w:nsid w:val="4C4E00C3"/>
    <w:multiLevelType w:val="hybridMultilevel"/>
    <w:tmpl w:val="BF6ADCB2"/>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20">
    <w:nsid w:val="52792D06"/>
    <w:multiLevelType w:val="hybridMultilevel"/>
    <w:tmpl w:val="177EA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3AE72AA"/>
    <w:multiLevelType w:val="hybridMultilevel"/>
    <w:tmpl w:val="D6A2BB9E"/>
    <w:lvl w:ilvl="0" w:tplc="2E0CFD74">
      <w:start w:val="4"/>
      <w:numFmt w:val="bullet"/>
      <w:lvlText w:val="-"/>
      <w:lvlJc w:val="left"/>
      <w:pPr>
        <w:ind w:left="720" w:hanging="360"/>
      </w:pPr>
      <w:rPr>
        <w:rFonts w:ascii="Arial Narrow" w:eastAsia="Times New Roman" w:hAnsi="Arial Narrow" w:cs="Times New Roman"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22">
    <w:nsid w:val="55C10DB3"/>
    <w:multiLevelType w:val="hybridMultilevel"/>
    <w:tmpl w:val="78C0C8D4"/>
    <w:lvl w:ilvl="0" w:tplc="1EE47C9E">
      <w:start w:val="300"/>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575A522C"/>
    <w:multiLevelType w:val="multilevel"/>
    <w:tmpl w:val="615C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92771CD"/>
    <w:multiLevelType w:val="hybridMultilevel"/>
    <w:tmpl w:val="46708ADC"/>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5">
    <w:nsid w:val="59A671D6"/>
    <w:multiLevelType w:val="hybridMultilevel"/>
    <w:tmpl w:val="3B98AB7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DB81937"/>
    <w:multiLevelType w:val="hybridMultilevel"/>
    <w:tmpl w:val="2AAEB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8F792F"/>
    <w:multiLevelType w:val="hybridMultilevel"/>
    <w:tmpl w:val="22300CFE"/>
    <w:lvl w:ilvl="0" w:tplc="1EE47C9E">
      <w:start w:val="300"/>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748F6DFD"/>
    <w:multiLevelType w:val="hybridMultilevel"/>
    <w:tmpl w:val="9FEEF84C"/>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Times New Roman"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Times New Roman"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Times New Roman" w:hint="default"/>
      </w:rPr>
    </w:lvl>
    <w:lvl w:ilvl="8" w:tplc="040C0005">
      <w:start w:val="1"/>
      <w:numFmt w:val="bullet"/>
      <w:lvlText w:val=""/>
      <w:lvlJc w:val="left"/>
      <w:pPr>
        <w:ind w:left="7200" w:hanging="360"/>
      </w:pPr>
      <w:rPr>
        <w:rFonts w:ascii="Wingdings" w:hAnsi="Wingdings" w:hint="default"/>
      </w:rPr>
    </w:lvl>
  </w:abstractNum>
  <w:abstractNum w:abstractNumId="29">
    <w:nsid w:val="74BF03E7"/>
    <w:multiLevelType w:val="hybridMultilevel"/>
    <w:tmpl w:val="EDA6B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0E04AB"/>
    <w:multiLevelType w:val="hybridMultilevel"/>
    <w:tmpl w:val="2FD0C678"/>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31">
    <w:nsid w:val="7ECD4A28"/>
    <w:multiLevelType w:val="hybridMultilevel"/>
    <w:tmpl w:val="4596F7D8"/>
    <w:lvl w:ilvl="0" w:tplc="1EE47C9E">
      <w:start w:val="300"/>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2"/>
  </w:num>
  <w:num w:numId="4">
    <w:abstractNumId w:val="8"/>
  </w:num>
  <w:num w:numId="5">
    <w:abstractNumId w:val="21"/>
  </w:num>
  <w:num w:numId="6">
    <w:abstractNumId w:val="4"/>
  </w:num>
  <w:num w:numId="7">
    <w:abstractNumId w:val="29"/>
  </w:num>
  <w:num w:numId="8">
    <w:abstractNumId w:val="20"/>
  </w:num>
  <w:num w:numId="9">
    <w:abstractNumId w:val="26"/>
  </w:num>
  <w:num w:numId="10">
    <w:abstractNumId w:val="13"/>
  </w:num>
  <w:num w:numId="11">
    <w:abstractNumId w:val="14"/>
  </w:num>
  <w:num w:numId="12">
    <w:abstractNumId w:val="1"/>
  </w:num>
  <w:num w:numId="13">
    <w:abstractNumId w:val="15"/>
  </w:num>
  <w:num w:numId="14">
    <w:abstractNumId w:val="31"/>
  </w:num>
  <w:num w:numId="15">
    <w:abstractNumId w:val="27"/>
  </w:num>
  <w:num w:numId="16">
    <w:abstractNumId w:val="5"/>
  </w:num>
  <w:num w:numId="17">
    <w:abstractNumId w:val="22"/>
  </w:num>
  <w:num w:numId="18">
    <w:abstractNumId w:val="29"/>
  </w:num>
  <w:num w:numId="19">
    <w:abstractNumId w:val="7"/>
  </w:num>
  <w:num w:numId="20">
    <w:abstractNumId w:val="3"/>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8"/>
  </w:num>
  <w:num w:numId="24">
    <w:abstractNumId w:val="7"/>
  </w:num>
  <w:num w:numId="25">
    <w:abstractNumId w:val="1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2"/>
  </w:num>
  <w:num w:numId="29">
    <w:abstractNumId w:val="11"/>
  </w:num>
  <w:num w:numId="30">
    <w:abstractNumId w:val="10"/>
  </w:num>
  <w:num w:numId="31">
    <w:abstractNumId w:val="7"/>
  </w:num>
  <w:num w:numId="32">
    <w:abstractNumId w:val="30"/>
  </w:num>
  <w:num w:numId="33">
    <w:abstractNumId w:val="3"/>
  </w:num>
  <w:num w:numId="34">
    <w:abstractNumId w:val="18"/>
  </w:num>
  <w:num w:numId="35">
    <w:abstractNumId w:val="28"/>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5"/>
  </w:num>
  <w:num w:numId="42">
    <w:abstractNumId w:val="28"/>
  </w:num>
  <w:num w:numId="43">
    <w:abstractNumId w:val="9"/>
  </w:num>
  <w:num w:numId="44">
    <w:abstractNumId w:val="1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9E2B22"/>
    <w:rsid w:val="00003CF1"/>
    <w:rsid w:val="00005A87"/>
    <w:rsid w:val="0001012F"/>
    <w:rsid w:val="00010507"/>
    <w:rsid w:val="00010A6E"/>
    <w:rsid w:val="000121F0"/>
    <w:rsid w:val="0001469E"/>
    <w:rsid w:val="0002060B"/>
    <w:rsid w:val="00023420"/>
    <w:rsid w:val="000247EB"/>
    <w:rsid w:val="000440EC"/>
    <w:rsid w:val="00057DA8"/>
    <w:rsid w:val="00076BC5"/>
    <w:rsid w:val="0008283A"/>
    <w:rsid w:val="000853CD"/>
    <w:rsid w:val="00086485"/>
    <w:rsid w:val="00092DBB"/>
    <w:rsid w:val="000939DA"/>
    <w:rsid w:val="000964DE"/>
    <w:rsid w:val="00097CE8"/>
    <w:rsid w:val="000A6993"/>
    <w:rsid w:val="000B254C"/>
    <w:rsid w:val="000D2201"/>
    <w:rsid w:val="000D7BD3"/>
    <w:rsid w:val="000E1EB5"/>
    <w:rsid w:val="000E2C6B"/>
    <w:rsid w:val="000E45E5"/>
    <w:rsid w:val="000E6FDF"/>
    <w:rsid w:val="00103276"/>
    <w:rsid w:val="00121461"/>
    <w:rsid w:val="00123982"/>
    <w:rsid w:val="00134850"/>
    <w:rsid w:val="00134A66"/>
    <w:rsid w:val="0014257B"/>
    <w:rsid w:val="001446F6"/>
    <w:rsid w:val="00144DE7"/>
    <w:rsid w:val="001461D4"/>
    <w:rsid w:val="001473B3"/>
    <w:rsid w:val="00151CC7"/>
    <w:rsid w:val="00157D70"/>
    <w:rsid w:val="00164555"/>
    <w:rsid w:val="00166889"/>
    <w:rsid w:val="00167362"/>
    <w:rsid w:val="00170654"/>
    <w:rsid w:val="00170915"/>
    <w:rsid w:val="00173BB8"/>
    <w:rsid w:val="00174B83"/>
    <w:rsid w:val="00180DF8"/>
    <w:rsid w:val="0018325D"/>
    <w:rsid w:val="001922DD"/>
    <w:rsid w:val="001922FE"/>
    <w:rsid w:val="001A0DCE"/>
    <w:rsid w:val="001A7B70"/>
    <w:rsid w:val="001C10E0"/>
    <w:rsid w:val="001C2F5F"/>
    <w:rsid w:val="001C6F22"/>
    <w:rsid w:val="001C7567"/>
    <w:rsid w:val="001D5A49"/>
    <w:rsid w:val="001D6CD5"/>
    <w:rsid w:val="001E0176"/>
    <w:rsid w:val="001E22BC"/>
    <w:rsid w:val="001E30BA"/>
    <w:rsid w:val="001F42E7"/>
    <w:rsid w:val="00200AA0"/>
    <w:rsid w:val="00210248"/>
    <w:rsid w:val="0021101E"/>
    <w:rsid w:val="00213A46"/>
    <w:rsid w:val="00213D4A"/>
    <w:rsid w:val="00215236"/>
    <w:rsid w:val="00216EC9"/>
    <w:rsid w:val="00221BAA"/>
    <w:rsid w:val="002223E0"/>
    <w:rsid w:val="00240981"/>
    <w:rsid w:val="002526AF"/>
    <w:rsid w:val="0027027B"/>
    <w:rsid w:val="00270AEA"/>
    <w:rsid w:val="002778D9"/>
    <w:rsid w:val="00277E8A"/>
    <w:rsid w:val="00284681"/>
    <w:rsid w:val="00287F49"/>
    <w:rsid w:val="002A0E25"/>
    <w:rsid w:val="002A1486"/>
    <w:rsid w:val="002A40BE"/>
    <w:rsid w:val="002A57CC"/>
    <w:rsid w:val="002A5E51"/>
    <w:rsid w:val="002A6182"/>
    <w:rsid w:val="002A64C5"/>
    <w:rsid w:val="002A7413"/>
    <w:rsid w:val="002B0A5E"/>
    <w:rsid w:val="002B197A"/>
    <w:rsid w:val="002B21BD"/>
    <w:rsid w:val="002C2C8E"/>
    <w:rsid w:val="002C52C5"/>
    <w:rsid w:val="002C745A"/>
    <w:rsid w:val="002D4965"/>
    <w:rsid w:val="002D55CD"/>
    <w:rsid w:val="002E6AFF"/>
    <w:rsid w:val="002F799A"/>
    <w:rsid w:val="002F7B77"/>
    <w:rsid w:val="003033CA"/>
    <w:rsid w:val="00314F51"/>
    <w:rsid w:val="003230F4"/>
    <w:rsid w:val="003231AD"/>
    <w:rsid w:val="00325928"/>
    <w:rsid w:val="0033218C"/>
    <w:rsid w:val="003322B0"/>
    <w:rsid w:val="00332354"/>
    <w:rsid w:val="0033411B"/>
    <w:rsid w:val="003343CB"/>
    <w:rsid w:val="00336E59"/>
    <w:rsid w:val="00336EF8"/>
    <w:rsid w:val="00337558"/>
    <w:rsid w:val="00343717"/>
    <w:rsid w:val="00343852"/>
    <w:rsid w:val="00343A62"/>
    <w:rsid w:val="003445D9"/>
    <w:rsid w:val="0034697D"/>
    <w:rsid w:val="00352CF1"/>
    <w:rsid w:val="00354655"/>
    <w:rsid w:val="003576C8"/>
    <w:rsid w:val="00361BEE"/>
    <w:rsid w:val="00363D65"/>
    <w:rsid w:val="00374D57"/>
    <w:rsid w:val="003754C3"/>
    <w:rsid w:val="00377996"/>
    <w:rsid w:val="0038031A"/>
    <w:rsid w:val="003812A9"/>
    <w:rsid w:val="003836C0"/>
    <w:rsid w:val="00393024"/>
    <w:rsid w:val="00394B99"/>
    <w:rsid w:val="00394F82"/>
    <w:rsid w:val="003978BB"/>
    <w:rsid w:val="003A22D4"/>
    <w:rsid w:val="003B0C3C"/>
    <w:rsid w:val="003B189C"/>
    <w:rsid w:val="003C107F"/>
    <w:rsid w:val="003D061E"/>
    <w:rsid w:val="003E41C8"/>
    <w:rsid w:val="003E6FC9"/>
    <w:rsid w:val="003F0258"/>
    <w:rsid w:val="003F640F"/>
    <w:rsid w:val="00401D58"/>
    <w:rsid w:val="00414973"/>
    <w:rsid w:val="00414A81"/>
    <w:rsid w:val="00420FEA"/>
    <w:rsid w:val="004319ED"/>
    <w:rsid w:val="00431DC8"/>
    <w:rsid w:val="00431ED4"/>
    <w:rsid w:val="00432027"/>
    <w:rsid w:val="00440ECE"/>
    <w:rsid w:val="00443E94"/>
    <w:rsid w:val="0044436C"/>
    <w:rsid w:val="00445903"/>
    <w:rsid w:val="004550BE"/>
    <w:rsid w:val="00464661"/>
    <w:rsid w:val="004702AE"/>
    <w:rsid w:val="00473B49"/>
    <w:rsid w:val="004758AA"/>
    <w:rsid w:val="004762C8"/>
    <w:rsid w:val="00477739"/>
    <w:rsid w:val="0048306B"/>
    <w:rsid w:val="004830B9"/>
    <w:rsid w:val="00497F1C"/>
    <w:rsid w:val="004A2B79"/>
    <w:rsid w:val="004B1614"/>
    <w:rsid w:val="004B2066"/>
    <w:rsid w:val="004D3F24"/>
    <w:rsid w:val="004D4215"/>
    <w:rsid w:val="004E1860"/>
    <w:rsid w:val="004E6556"/>
    <w:rsid w:val="004F4F1B"/>
    <w:rsid w:val="004F50EA"/>
    <w:rsid w:val="00504B1D"/>
    <w:rsid w:val="005063F9"/>
    <w:rsid w:val="005131C5"/>
    <w:rsid w:val="00522104"/>
    <w:rsid w:val="00526069"/>
    <w:rsid w:val="005342F9"/>
    <w:rsid w:val="00540BD0"/>
    <w:rsid w:val="00550CF0"/>
    <w:rsid w:val="0055219C"/>
    <w:rsid w:val="00552801"/>
    <w:rsid w:val="00553F34"/>
    <w:rsid w:val="00557FCC"/>
    <w:rsid w:val="0056423A"/>
    <w:rsid w:val="00564A33"/>
    <w:rsid w:val="005810AD"/>
    <w:rsid w:val="0058251A"/>
    <w:rsid w:val="00593C86"/>
    <w:rsid w:val="005A26AB"/>
    <w:rsid w:val="005A4F55"/>
    <w:rsid w:val="005B00D9"/>
    <w:rsid w:val="005B038A"/>
    <w:rsid w:val="005B06EA"/>
    <w:rsid w:val="005B4F54"/>
    <w:rsid w:val="005C5B19"/>
    <w:rsid w:val="005D1434"/>
    <w:rsid w:val="005E7853"/>
    <w:rsid w:val="005F1B65"/>
    <w:rsid w:val="005F1C17"/>
    <w:rsid w:val="005F5DD8"/>
    <w:rsid w:val="005F64C1"/>
    <w:rsid w:val="006010EF"/>
    <w:rsid w:val="00601DFB"/>
    <w:rsid w:val="00605B7A"/>
    <w:rsid w:val="006060A5"/>
    <w:rsid w:val="006121B9"/>
    <w:rsid w:val="00615FB7"/>
    <w:rsid w:val="0061692B"/>
    <w:rsid w:val="00627043"/>
    <w:rsid w:val="00630D83"/>
    <w:rsid w:val="0063524A"/>
    <w:rsid w:val="006374D7"/>
    <w:rsid w:val="00637859"/>
    <w:rsid w:val="00642CC7"/>
    <w:rsid w:val="00653D95"/>
    <w:rsid w:val="0065681E"/>
    <w:rsid w:val="0065710B"/>
    <w:rsid w:val="0066198E"/>
    <w:rsid w:val="00662312"/>
    <w:rsid w:val="00666EED"/>
    <w:rsid w:val="00671528"/>
    <w:rsid w:val="00676AD5"/>
    <w:rsid w:val="006822FB"/>
    <w:rsid w:val="00684307"/>
    <w:rsid w:val="006C491D"/>
    <w:rsid w:val="006C5D0B"/>
    <w:rsid w:val="006E1090"/>
    <w:rsid w:val="006E4092"/>
    <w:rsid w:val="006E47D3"/>
    <w:rsid w:val="006E4DAC"/>
    <w:rsid w:val="006F32E7"/>
    <w:rsid w:val="006F4513"/>
    <w:rsid w:val="00711A47"/>
    <w:rsid w:val="00711F0F"/>
    <w:rsid w:val="00714D65"/>
    <w:rsid w:val="00717476"/>
    <w:rsid w:val="007222BB"/>
    <w:rsid w:val="00722D7A"/>
    <w:rsid w:val="00724AD6"/>
    <w:rsid w:val="00726A53"/>
    <w:rsid w:val="00733BAA"/>
    <w:rsid w:val="007354EA"/>
    <w:rsid w:val="00741FDD"/>
    <w:rsid w:val="007421CA"/>
    <w:rsid w:val="00760BB3"/>
    <w:rsid w:val="00763D8C"/>
    <w:rsid w:val="007650C2"/>
    <w:rsid w:val="007654A8"/>
    <w:rsid w:val="00765B08"/>
    <w:rsid w:val="00776FB1"/>
    <w:rsid w:val="00783991"/>
    <w:rsid w:val="007A00F5"/>
    <w:rsid w:val="007A7882"/>
    <w:rsid w:val="007B467A"/>
    <w:rsid w:val="007B4EEB"/>
    <w:rsid w:val="007B6AE2"/>
    <w:rsid w:val="007C4235"/>
    <w:rsid w:val="007C60BB"/>
    <w:rsid w:val="007D382E"/>
    <w:rsid w:val="007E2889"/>
    <w:rsid w:val="007E3539"/>
    <w:rsid w:val="007E4F76"/>
    <w:rsid w:val="007F0C6C"/>
    <w:rsid w:val="00806135"/>
    <w:rsid w:val="00810E0C"/>
    <w:rsid w:val="00810FC3"/>
    <w:rsid w:val="00816B78"/>
    <w:rsid w:val="008221DF"/>
    <w:rsid w:val="0082245E"/>
    <w:rsid w:val="00822FE9"/>
    <w:rsid w:val="00834D1A"/>
    <w:rsid w:val="0083711D"/>
    <w:rsid w:val="00837F09"/>
    <w:rsid w:val="008429D1"/>
    <w:rsid w:val="00845D5B"/>
    <w:rsid w:val="00852471"/>
    <w:rsid w:val="0085295D"/>
    <w:rsid w:val="00863179"/>
    <w:rsid w:val="008800F4"/>
    <w:rsid w:val="00881645"/>
    <w:rsid w:val="00882780"/>
    <w:rsid w:val="0088741C"/>
    <w:rsid w:val="008A0260"/>
    <w:rsid w:val="008A277A"/>
    <w:rsid w:val="008A4E69"/>
    <w:rsid w:val="008A6F73"/>
    <w:rsid w:val="008B33D2"/>
    <w:rsid w:val="008B4DB7"/>
    <w:rsid w:val="008B6321"/>
    <w:rsid w:val="008E128B"/>
    <w:rsid w:val="008E21EC"/>
    <w:rsid w:val="008E31C7"/>
    <w:rsid w:val="00903E19"/>
    <w:rsid w:val="00916940"/>
    <w:rsid w:val="009208E8"/>
    <w:rsid w:val="00922409"/>
    <w:rsid w:val="00922731"/>
    <w:rsid w:val="009230A8"/>
    <w:rsid w:val="00927218"/>
    <w:rsid w:val="00935DF2"/>
    <w:rsid w:val="00944F40"/>
    <w:rsid w:val="0094779C"/>
    <w:rsid w:val="00950C7B"/>
    <w:rsid w:val="00950F59"/>
    <w:rsid w:val="009546DB"/>
    <w:rsid w:val="0095565B"/>
    <w:rsid w:val="0096270F"/>
    <w:rsid w:val="009630B9"/>
    <w:rsid w:val="009723CE"/>
    <w:rsid w:val="00976370"/>
    <w:rsid w:val="00976D3C"/>
    <w:rsid w:val="00977742"/>
    <w:rsid w:val="009800C3"/>
    <w:rsid w:val="009810D5"/>
    <w:rsid w:val="009833B0"/>
    <w:rsid w:val="009912B9"/>
    <w:rsid w:val="00991F1B"/>
    <w:rsid w:val="00993E07"/>
    <w:rsid w:val="0099678D"/>
    <w:rsid w:val="009B45BD"/>
    <w:rsid w:val="009B61EA"/>
    <w:rsid w:val="009C27AA"/>
    <w:rsid w:val="009C347A"/>
    <w:rsid w:val="009C7263"/>
    <w:rsid w:val="009C7D23"/>
    <w:rsid w:val="009D4456"/>
    <w:rsid w:val="009E2B22"/>
    <w:rsid w:val="009E74E7"/>
    <w:rsid w:val="00A030A0"/>
    <w:rsid w:val="00A04F9B"/>
    <w:rsid w:val="00A0735A"/>
    <w:rsid w:val="00A21C55"/>
    <w:rsid w:val="00A24134"/>
    <w:rsid w:val="00A24A6D"/>
    <w:rsid w:val="00A35C84"/>
    <w:rsid w:val="00A4217E"/>
    <w:rsid w:val="00A4679A"/>
    <w:rsid w:val="00A521D1"/>
    <w:rsid w:val="00A525C2"/>
    <w:rsid w:val="00A538B9"/>
    <w:rsid w:val="00A62FDC"/>
    <w:rsid w:val="00A6756E"/>
    <w:rsid w:val="00A7215E"/>
    <w:rsid w:val="00A72775"/>
    <w:rsid w:val="00A766AD"/>
    <w:rsid w:val="00A83454"/>
    <w:rsid w:val="00A84AEE"/>
    <w:rsid w:val="00A90D06"/>
    <w:rsid w:val="00A91D81"/>
    <w:rsid w:val="00A932C0"/>
    <w:rsid w:val="00A9494D"/>
    <w:rsid w:val="00AA27D1"/>
    <w:rsid w:val="00AA449A"/>
    <w:rsid w:val="00AA4872"/>
    <w:rsid w:val="00AA5BAE"/>
    <w:rsid w:val="00AA76B6"/>
    <w:rsid w:val="00AB24DE"/>
    <w:rsid w:val="00AB3424"/>
    <w:rsid w:val="00AB6727"/>
    <w:rsid w:val="00AC3B2F"/>
    <w:rsid w:val="00AC6EA2"/>
    <w:rsid w:val="00AC6F4C"/>
    <w:rsid w:val="00AD129C"/>
    <w:rsid w:val="00AD5158"/>
    <w:rsid w:val="00AE0E6F"/>
    <w:rsid w:val="00AF28E5"/>
    <w:rsid w:val="00AF3A42"/>
    <w:rsid w:val="00AF3C0C"/>
    <w:rsid w:val="00AF5B97"/>
    <w:rsid w:val="00AF6929"/>
    <w:rsid w:val="00AF75C2"/>
    <w:rsid w:val="00B00EF2"/>
    <w:rsid w:val="00B1026C"/>
    <w:rsid w:val="00B2445F"/>
    <w:rsid w:val="00B24D48"/>
    <w:rsid w:val="00B27830"/>
    <w:rsid w:val="00B3038B"/>
    <w:rsid w:val="00B31E98"/>
    <w:rsid w:val="00B33B7F"/>
    <w:rsid w:val="00B376C7"/>
    <w:rsid w:val="00B42DD4"/>
    <w:rsid w:val="00B438A3"/>
    <w:rsid w:val="00B43A67"/>
    <w:rsid w:val="00B4412E"/>
    <w:rsid w:val="00B46029"/>
    <w:rsid w:val="00B460B2"/>
    <w:rsid w:val="00B47D9C"/>
    <w:rsid w:val="00B5352D"/>
    <w:rsid w:val="00B53585"/>
    <w:rsid w:val="00B60FD8"/>
    <w:rsid w:val="00B616BF"/>
    <w:rsid w:val="00B61A69"/>
    <w:rsid w:val="00B703AD"/>
    <w:rsid w:val="00B7117E"/>
    <w:rsid w:val="00B85129"/>
    <w:rsid w:val="00B871A7"/>
    <w:rsid w:val="00B879BD"/>
    <w:rsid w:val="00B918F6"/>
    <w:rsid w:val="00B97A9F"/>
    <w:rsid w:val="00BA7B18"/>
    <w:rsid w:val="00BB6AA4"/>
    <w:rsid w:val="00BB7A0C"/>
    <w:rsid w:val="00BC623E"/>
    <w:rsid w:val="00BD09E0"/>
    <w:rsid w:val="00BE03C8"/>
    <w:rsid w:val="00BE2C88"/>
    <w:rsid w:val="00BF32D9"/>
    <w:rsid w:val="00BF3F19"/>
    <w:rsid w:val="00BF6263"/>
    <w:rsid w:val="00C03793"/>
    <w:rsid w:val="00C13782"/>
    <w:rsid w:val="00C22E07"/>
    <w:rsid w:val="00C2355D"/>
    <w:rsid w:val="00C3053C"/>
    <w:rsid w:val="00C37897"/>
    <w:rsid w:val="00C40A19"/>
    <w:rsid w:val="00C40A32"/>
    <w:rsid w:val="00C5158D"/>
    <w:rsid w:val="00C564EB"/>
    <w:rsid w:val="00C615FD"/>
    <w:rsid w:val="00C62F49"/>
    <w:rsid w:val="00C63D7C"/>
    <w:rsid w:val="00C64099"/>
    <w:rsid w:val="00C641FE"/>
    <w:rsid w:val="00C650C0"/>
    <w:rsid w:val="00C73042"/>
    <w:rsid w:val="00C74855"/>
    <w:rsid w:val="00C75B64"/>
    <w:rsid w:val="00C82325"/>
    <w:rsid w:val="00C94C3F"/>
    <w:rsid w:val="00C95583"/>
    <w:rsid w:val="00C978E6"/>
    <w:rsid w:val="00CA000E"/>
    <w:rsid w:val="00CA2CE9"/>
    <w:rsid w:val="00CB0DEA"/>
    <w:rsid w:val="00CB68B7"/>
    <w:rsid w:val="00CC1E8E"/>
    <w:rsid w:val="00CD0B48"/>
    <w:rsid w:val="00CD14E5"/>
    <w:rsid w:val="00CD41C8"/>
    <w:rsid w:val="00CD4F12"/>
    <w:rsid w:val="00CE33B4"/>
    <w:rsid w:val="00CF522C"/>
    <w:rsid w:val="00D0095F"/>
    <w:rsid w:val="00D02344"/>
    <w:rsid w:val="00D125A8"/>
    <w:rsid w:val="00D1513C"/>
    <w:rsid w:val="00D17475"/>
    <w:rsid w:val="00D20044"/>
    <w:rsid w:val="00D2659A"/>
    <w:rsid w:val="00D50C2F"/>
    <w:rsid w:val="00D54A05"/>
    <w:rsid w:val="00D56C11"/>
    <w:rsid w:val="00D56C66"/>
    <w:rsid w:val="00D72CA7"/>
    <w:rsid w:val="00D758FB"/>
    <w:rsid w:val="00D76AC4"/>
    <w:rsid w:val="00D92FCE"/>
    <w:rsid w:val="00DA646F"/>
    <w:rsid w:val="00DA6EEB"/>
    <w:rsid w:val="00DB0EB6"/>
    <w:rsid w:val="00DB13D3"/>
    <w:rsid w:val="00DB4E3B"/>
    <w:rsid w:val="00DB77DD"/>
    <w:rsid w:val="00DB7F57"/>
    <w:rsid w:val="00DC2CB2"/>
    <w:rsid w:val="00DD1F8D"/>
    <w:rsid w:val="00DD3375"/>
    <w:rsid w:val="00DD3BA3"/>
    <w:rsid w:val="00DD67CE"/>
    <w:rsid w:val="00DD7A27"/>
    <w:rsid w:val="00DE1432"/>
    <w:rsid w:val="00DF1DC4"/>
    <w:rsid w:val="00DF61A0"/>
    <w:rsid w:val="00E002DF"/>
    <w:rsid w:val="00E020DB"/>
    <w:rsid w:val="00E1553B"/>
    <w:rsid w:val="00E33760"/>
    <w:rsid w:val="00E35467"/>
    <w:rsid w:val="00E41813"/>
    <w:rsid w:val="00E4293F"/>
    <w:rsid w:val="00E430E5"/>
    <w:rsid w:val="00E44214"/>
    <w:rsid w:val="00E533DA"/>
    <w:rsid w:val="00E53AB2"/>
    <w:rsid w:val="00E56341"/>
    <w:rsid w:val="00E57459"/>
    <w:rsid w:val="00E67628"/>
    <w:rsid w:val="00E72A2C"/>
    <w:rsid w:val="00E72E1D"/>
    <w:rsid w:val="00E73D68"/>
    <w:rsid w:val="00E75675"/>
    <w:rsid w:val="00E8310E"/>
    <w:rsid w:val="00E849D6"/>
    <w:rsid w:val="00E84CA5"/>
    <w:rsid w:val="00E90323"/>
    <w:rsid w:val="00E94747"/>
    <w:rsid w:val="00E94857"/>
    <w:rsid w:val="00E94CCB"/>
    <w:rsid w:val="00EA50D0"/>
    <w:rsid w:val="00EA697D"/>
    <w:rsid w:val="00EB1B71"/>
    <w:rsid w:val="00EB217C"/>
    <w:rsid w:val="00EC4291"/>
    <w:rsid w:val="00ED319C"/>
    <w:rsid w:val="00ED649B"/>
    <w:rsid w:val="00ED7C12"/>
    <w:rsid w:val="00EF39D6"/>
    <w:rsid w:val="00EF4B6A"/>
    <w:rsid w:val="00F00D58"/>
    <w:rsid w:val="00F06319"/>
    <w:rsid w:val="00F22E57"/>
    <w:rsid w:val="00F2411C"/>
    <w:rsid w:val="00F35A73"/>
    <w:rsid w:val="00F40EEB"/>
    <w:rsid w:val="00F64848"/>
    <w:rsid w:val="00F653F5"/>
    <w:rsid w:val="00F65F9E"/>
    <w:rsid w:val="00F66064"/>
    <w:rsid w:val="00F662A3"/>
    <w:rsid w:val="00F7753E"/>
    <w:rsid w:val="00F824B4"/>
    <w:rsid w:val="00F84875"/>
    <w:rsid w:val="00F851BD"/>
    <w:rsid w:val="00F85A57"/>
    <w:rsid w:val="00F90BFC"/>
    <w:rsid w:val="00F9130D"/>
    <w:rsid w:val="00F918E6"/>
    <w:rsid w:val="00FA6913"/>
    <w:rsid w:val="00FB2748"/>
    <w:rsid w:val="00FC096F"/>
    <w:rsid w:val="00FC2EB1"/>
    <w:rsid w:val="00FC3982"/>
    <w:rsid w:val="00FC5CF1"/>
    <w:rsid w:val="00FD5024"/>
    <w:rsid w:val="00FD63F5"/>
    <w:rsid w:val="00FE0AD6"/>
    <w:rsid w:val="00FE52B8"/>
    <w:rsid w:val="00FE60D6"/>
    <w:rsid w:val="00FE7C9D"/>
    <w:rsid w:val="00FF06CC"/>
    <w:rsid w:val="00FF0CD6"/>
    <w:rsid w:val="00FF2D1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3"/>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2A9"/>
    <w:rPr>
      <w:lang w:val="fr-FR"/>
    </w:rPr>
  </w:style>
  <w:style w:type="paragraph" w:styleId="Titre1">
    <w:name w:val="heading 1"/>
    <w:basedOn w:val="Normal"/>
    <w:next w:val="Normal"/>
    <w:link w:val="Titre1Car"/>
    <w:uiPriority w:val="9"/>
    <w:qFormat/>
    <w:rsid w:val="00213A46"/>
    <w:pPr>
      <w:spacing w:before="200" w:after="0" w:line="240" w:lineRule="auto"/>
      <w:jc w:val="both"/>
      <w:outlineLvl w:val="0"/>
    </w:pPr>
    <w:rPr>
      <w:rFonts w:ascii="Calibri" w:eastAsia="Times New Roman" w:hAnsi="Calibri" w:cs="Times New Roman"/>
      <w:b/>
      <w:bCs/>
      <w:sz w:val="20"/>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2B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2B22"/>
    <w:rPr>
      <w:rFonts w:ascii="Tahoma" w:hAnsi="Tahoma" w:cs="Tahoma"/>
      <w:sz w:val="16"/>
      <w:szCs w:val="16"/>
    </w:rPr>
  </w:style>
  <w:style w:type="paragraph" w:styleId="En-tte">
    <w:name w:val="header"/>
    <w:basedOn w:val="Normal"/>
    <w:link w:val="En-tteCar"/>
    <w:uiPriority w:val="99"/>
    <w:unhideWhenUsed/>
    <w:rsid w:val="00A24134"/>
    <w:pPr>
      <w:tabs>
        <w:tab w:val="center" w:pos="4680"/>
        <w:tab w:val="right" w:pos="9360"/>
      </w:tabs>
      <w:spacing w:after="0" w:line="240" w:lineRule="auto"/>
    </w:pPr>
  </w:style>
  <w:style w:type="character" w:customStyle="1" w:styleId="En-tteCar">
    <w:name w:val="En-tête Car"/>
    <w:basedOn w:val="Policepardfaut"/>
    <w:link w:val="En-tte"/>
    <w:uiPriority w:val="99"/>
    <w:rsid w:val="00A24134"/>
  </w:style>
  <w:style w:type="paragraph" w:styleId="Pieddepage">
    <w:name w:val="footer"/>
    <w:basedOn w:val="Normal"/>
    <w:link w:val="PieddepageCar"/>
    <w:uiPriority w:val="99"/>
    <w:unhideWhenUsed/>
    <w:rsid w:val="00A2413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24134"/>
  </w:style>
  <w:style w:type="paragraph" w:styleId="Paragraphedeliste">
    <w:name w:val="List Paragraph"/>
    <w:aliases w:val="References,Listes,List Paragraph (bulleted list),Bullet 1 List,Indent Paragraph,Liste couleur - Accent 111,List Paragraph1,Dot pt,Bullet Points,List Paragraph Char Char Char,Indicator Text,Numbered Para 1,Bullet 1,MAIN CONTENT"/>
    <w:basedOn w:val="Normal"/>
    <w:link w:val="ParagraphedelisteCar"/>
    <w:uiPriority w:val="34"/>
    <w:qFormat/>
    <w:rsid w:val="00FF2D1B"/>
    <w:pPr>
      <w:ind w:left="720"/>
      <w:contextualSpacing/>
    </w:pPr>
  </w:style>
  <w:style w:type="table" w:styleId="Grilledutableau">
    <w:name w:val="Table Grid"/>
    <w:basedOn w:val="TableauNormal"/>
    <w:uiPriority w:val="59"/>
    <w:rsid w:val="004758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ev">
    <w:name w:val="Strong"/>
    <w:basedOn w:val="Policepardfaut"/>
    <w:uiPriority w:val="22"/>
    <w:qFormat/>
    <w:rsid w:val="00C64099"/>
    <w:rPr>
      <w:b/>
      <w:bCs/>
    </w:rPr>
  </w:style>
  <w:style w:type="character" w:styleId="Marquedecommentaire">
    <w:name w:val="annotation reference"/>
    <w:basedOn w:val="Policepardfaut"/>
    <w:uiPriority w:val="99"/>
    <w:semiHidden/>
    <w:unhideWhenUsed/>
    <w:rsid w:val="00F918E6"/>
    <w:rPr>
      <w:sz w:val="16"/>
      <w:szCs w:val="16"/>
    </w:rPr>
  </w:style>
  <w:style w:type="paragraph" w:styleId="Commentaire">
    <w:name w:val="annotation text"/>
    <w:basedOn w:val="Normal"/>
    <w:link w:val="CommentaireCar"/>
    <w:uiPriority w:val="99"/>
    <w:semiHidden/>
    <w:unhideWhenUsed/>
    <w:rsid w:val="00F918E6"/>
    <w:pPr>
      <w:spacing w:line="240" w:lineRule="auto"/>
    </w:pPr>
    <w:rPr>
      <w:sz w:val="20"/>
      <w:szCs w:val="20"/>
    </w:rPr>
  </w:style>
  <w:style w:type="character" w:customStyle="1" w:styleId="CommentaireCar">
    <w:name w:val="Commentaire Car"/>
    <w:basedOn w:val="Policepardfaut"/>
    <w:link w:val="Commentaire"/>
    <w:uiPriority w:val="99"/>
    <w:semiHidden/>
    <w:rsid w:val="00F918E6"/>
    <w:rPr>
      <w:sz w:val="20"/>
      <w:szCs w:val="20"/>
    </w:rPr>
  </w:style>
  <w:style w:type="paragraph" w:styleId="Objetducommentaire">
    <w:name w:val="annotation subject"/>
    <w:basedOn w:val="Commentaire"/>
    <w:next w:val="Commentaire"/>
    <w:link w:val="ObjetducommentaireCar"/>
    <w:uiPriority w:val="99"/>
    <w:semiHidden/>
    <w:unhideWhenUsed/>
    <w:rsid w:val="00F918E6"/>
    <w:rPr>
      <w:b/>
      <w:bCs/>
    </w:rPr>
  </w:style>
  <w:style w:type="character" w:customStyle="1" w:styleId="ObjetducommentaireCar">
    <w:name w:val="Objet du commentaire Car"/>
    <w:basedOn w:val="CommentaireCar"/>
    <w:link w:val="Objetducommentaire"/>
    <w:uiPriority w:val="99"/>
    <w:semiHidden/>
    <w:rsid w:val="00F918E6"/>
    <w:rPr>
      <w:b/>
      <w:bCs/>
      <w:sz w:val="20"/>
      <w:szCs w:val="20"/>
    </w:rPr>
  </w:style>
  <w:style w:type="character" w:styleId="Lienhypertexte">
    <w:name w:val="Hyperlink"/>
    <w:basedOn w:val="Policepardfaut"/>
    <w:uiPriority w:val="99"/>
    <w:unhideWhenUsed/>
    <w:rsid w:val="00086485"/>
    <w:rPr>
      <w:color w:val="0000FF" w:themeColor="hyperlink"/>
      <w:u w:val="single"/>
    </w:rPr>
  </w:style>
  <w:style w:type="character" w:customStyle="1" w:styleId="UnresolvedMention">
    <w:name w:val="Unresolved Mention"/>
    <w:basedOn w:val="Policepardfaut"/>
    <w:uiPriority w:val="99"/>
    <w:semiHidden/>
    <w:unhideWhenUsed/>
    <w:rsid w:val="00FC5CF1"/>
    <w:rPr>
      <w:color w:val="808080"/>
      <w:shd w:val="clear" w:color="auto" w:fill="E6E6E6"/>
    </w:rPr>
  </w:style>
  <w:style w:type="character" w:customStyle="1" w:styleId="ParagraphedelisteCar">
    <w:name w:val="Paragraphe de liste Car"/>
    <w:aliases w:val="References Car,Listes Car,List Paragraph (bulleted list) Car,Bullet 1 List Car,Indent Paragraph Car,Liste couleur - Accent 111 Car,List Paragraph1 Car,Dot pt Car,Bullet Points Car,List Paragraph Char Char Char Car,Bullet 1 Car"/>
    <w:link w:val="Paragraphedeliste"/>
    <w:uiPriority w:val="34"/>
    <w:qFormat/>
    <w:rsid w:val="00D758FB"/>
  </w:style>
  <w:style w:type="paragraph" w:styleId="PrformatHTML">
    <w:name w:val="HTML Preformatted"/>
    <w:basedOn w:val="Normal"/>
    <w:link w:val="PrformatHTMLCar"/>
    <w:uiPriority w:val="99"/>
    <w:semiHidden/>
    <w:unhideWhenUsed/>
    <w:rsid w:val="00E73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E73D68"/>
    <w:rPr>
      <w:rFonts w:ascii="Courier New" w:eastAsia="Times New Roman" w:hAnsi="Courier New" w:cs="Courier New"/>
      <w:sz w:val="20"/>
      <w:szCs w:val="20"/>
      <w:lang w:val="fr-FR" w:eastAsia="fr-FR"/>
    </w:rPr>
  </w:style>
  <w:style w:type="paragraph" w:customStyle="1" w:styleId="BankNormal">
    <w:name w:val="BankNormal"/>
    <w:basedOn w:val="Normal"/>
    <w:rsid w:val="00CA2CE9"/>
    <w:pPr>
      <w:spacing w:after="240" w:line="240" w:lineRule="auto"/>
    </w:pPr>
    <w:rPr>
      <w:rFonts w:ascii="Times New Roman" w:eastAsia="Times New Roman" w:hAnsi="Times New Roman" w:cs="Times New Roman"/>
      <w:sz w:val="24"/>
      <w:szCs w:val="20"/>
    </w:rPr>
  </w:style>
  <w:style w:type="character" w:styleId="CitationHTML">
    <w:name w:val="HTML Cite"/>
    <w:basedOn w:val="Policepardfaut"/>
    <w:uiPriority w:val="99"/>
    <w:semiHidden/>
    <w:unhideWhenUsed/>
    <w:rsid w:val="00FC096F"/>
    <w:rPr>
      <w:i/>
      <w:iCs/>
    </w:rPr>
  </w:style>
  <w:style w:type="character" w:styleId="Lienhypertextesuivivisit">
    <w:name w:val="FollowedHyperlink"/>
    <w:basedOn w:val="Policepardfaut"/>
    <w:uiPriority w:val="99"/>
    <w:semiHidden/>
    <w:unhideWhenUsed/>
    <w:rsid w:val="00FC096F"/>
    <w:rPr>
      <w:color w:val="800080" w:themeColor="followedHyperlink"/>
      <w:u w:val="single"/>
    </w:rPr>
  </w:style>
  <w:style w:type="character" w:customStyle="1" w:styleId="Titre1Car">
    <w:name w:val="Titre 1 Car"/>
    <w:basedOn w:val="Policepardfaut"/>
    <w:link w:val="Titre1"/>
    <w:uiPriority w:val="9"/>
    <w:rsid w:val="00213A46"/>
    <w:rPr>
      <w:rFonts w:ascii="Calibri" w:eastAsia="Times New Roman" w:hAnsi="Calibri" w:cs="Times New Roman"/>
      <w:b/>
      <w:bCs/>
      <w:sz w:val="20"/>
      <w:szCs w:val="27"/>
      <w:lang w:eastAsia="fr-BE"/>
    </w:rPr>
  </w:style>
  <w:style w:type="paragraph" w:styleId="Retraitcorpsdetexte">
    <w:name w:val="Body Text Indent"/>
    <w:basedOn w:val="Normal"/>
    <w:link w:val="RetraitcorpsdetexteCar"/>
    <w:rsid w:val="00D56C11"/>
    <w:pPr>
      <w:spacing w:after="0" w:line="240" w:lineRule="auto"/>
      <w:ind w:left="1440"/>
    </w:pPr>
    <w:rPr>
      <w:rFonts w:ascii="Times New Roman" w:eastAsia="Times New Roman" w:hAnsi="Times New Roman" w:cs="Times New Roman"/>
      <w:sz w:val="24"/>
      <w:szCs w:val="24"/>
      <w:lang w:eastAsia="rw-RW"/>
    </w:rPr>
  </w:style>
  <w:style w:type="character" w:customStyle="1" w:styleId="RetraitcorpsdetexteCar">
    <w:name w:val="Retrait corps de texte Car"/>
    <w:basedOn w:val="Policepardfaut"/>
    <w:link w:val="Retraitcorpsdetexte"/>
    <w:rsid w:val="00D56C11"/>
    <w:rPr>
      <w:rFonts w:ascii="Times New Roman" w:eastAsia="Times New Roman" w:hAnsi="Times New Roman" w:cs="Times New Roman"/>
      <w:sz w:val="24"/>
      <w:szCs w:val="24"/>
      <w:lang w:val="fr-FR" w:eastAsia="rw-RW"/>
    </w:rPr>
  </w:style>
  <w:style w:type="paragraph" w:styleId="NormalWeb">
    <w:name w:val="Normal (Web)"/>
    <w:basedOn w:val="Normal"/>
    <w:uiPriority w:val="99"/>
    <w:unhideWhenUsed/>
    <w:rsid w:val="002C745A"/>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aliases w:val="fn,ALTS FOOTNOTE,single space,footnote text,Footnote Text Quote,FOOTNOTES,Note de bas de page2,Note de bas de page Car Car Car,Note de bas de page Car Car,Note de bas de page Car Car Car2,Footnote Text Char1,Car,Footnote,12pt,ft,ADB"/>
    <w:basedOn w:val="Normal"/>
    <w:link w:val="NotedebasdepageCar"/>
    <w:uiPriority w:val="99"/>
    <w:unhideWhenUsed/>
    <w:rsid w:val="00174B83"/>
    <w:pPr>
      <w:spacing w:after="0" w:line="240" w:lineRule="auto"/>
    </w:pPr>
    <w:rPr>
      <w:rFonts w:ascii="Calibri" w:eastAsia="Calibri" w:hAnsi="Calibri" w:cs="Times New Roman"/>
      <w:sz w:val="20"/>
      <w:szCs w:val="20"/>
      <w:lang w:val="en-PH"/>
    </w:rPr>
  </w:style>
  <w:style w:type="character" w:customStyle="1" w:styleId="NotedebasdepageCar">
    <w:name w:val="Note de bas de page Car"/>
    <w:aliases w:val="fn Car,ALTS FOOTNOTE Car,single space Car,footnote text Car,Footnote Text Quote Car,FOOTNOTES Car,Note de bas de page2 Car,Note de bas de page Car Car Car Car,Note de bas de page Car Car Car1,Note de bas de page Car Car Car2 Car"/>
    <w:basedOn w:val="Policepardfaut"/>
    <w:link w:val="Notedebasdepage"/>
    <w:uiPriority w:val="99"/>
    <w:rsid w:val="00174B83"/>
    <w:rPr>
      <w:rFonts w:ascii="Calibri" w:eastAsia="Calibri" w:hAnsi="Calibri" w:cs="Times New Roman"/>
      <w:sz w:val="20"/>
      <w:szCs w:val="20"/>
      <w:lang w:val="en-PH"/>
    </w:rPr>
  </w:style>
  <w:style w:type="character" w:styleId="Appelnotedebasdep">
    <w:name w:val="footnote reference"/>
    <w:aliases w:val="ftref,16 Point,Superscript 6 Point,Car Car Char Car Char Car Car Char Car Char Char,Car Car Car Car Car Car Car Car Char Car Car Char Car Car Car Char Car Char Char Char,SUPERS,Ref,de nota al pie,BVI fnr,Footnote Reference Number"/>
    <w:link w:val="BVIfnrCharCarChar"/>
    <w:uiPriority w:val="99"/>
    <w:unhideWhenUsed/>
    <w:rsid w:val="00174B83"/>
    <w:rPr>
      <w:vertAlign w:val="superscript"/>
    </w:rPr>
  </w:style>
  <w:style w:type="paragraph" w:customStyle="1" w:styleId="Default">
    <w:name w:val="Default"/>
    <w:rsid w:val="002A57CC"/>
    <w:pPr>
      <w:autoSpaceDE w:val="0"/>
      <w:autoSpaceDN w:val="0"/>
      <w:adjustRightInd w:val="0"/>
      <w:spacing w:after="0" w:line="240" w:lineRule="auto"/>
    </w:pPr>
    <w:rPr>
      <w:rFonts w:ascii="Nyala" w:hAnsi="Nyala" w:cs="Nyala"/>
      <w:color w:val="000000"/>
      <w:sz w:val="24"/>
      <w:szCs w:val="24"/>
      <w:lang w:val="fr-CD"/>
    </w:rPr>
  </w:style>
  <w:style w:type="paragraph" w:styleId="Corpsdetexte">
    <w:name w:val="Body Text"/>
    <w:basedOn w:val="Normal"/>
    <w:link w:val="CorpsdetexteCar"/>
    <w:uiPriority w:val="99"/>
    <w:semiHidden/>
    <w:unhideWhenUsed/>
    <w:rsid w:val="00AE0E6F"/>
    <w:pPr>
      <w:spacing w:after="120"/>
    </w:pPr>
  </w:style>
  <w:style w:type="character" w:customStyle="1" w:styleId="CorpsdetexteCar">
    <w:name w:val="Corps de texte Car"/>
    <w:basedOn w:val="Policepardfaut"/>
    <w:link w:val="Corpsdetexte"/>
    <w:uiPriority w:val="99"/>
    <w:semiHidden/>
    <w:rsid w:val="00AE0E6F"/>
  </w:style>
  <w:style w:type="paragraph" w:customStyle="1" w:styleId="BVIfnrCharCarChar">
    <w:name w:val="BVI fnr Char Car Char"/>
    <w:aliases w:val="BVI fnr Zchn Char Car Char Car Char Car Char,BVI fnr Car Car Zchn Zchn Char Char Car Car Char Char Car Car Char Char Char Char Car Char,BVI fnr Car Char Car Char"/>
    <w:basedOn w:val="Normal"/>
    <w:link w:val="Appelnotedebasdep"/>
    <w:uiPriority w:val="99"/>
    <w:rsid w:val="005810AD"/>
    <w:pPr>
      <w:spacing w:before="100" w:after="160" w:line="240" w:lineRule="exact"/>
      <w:jc w:val="both"/>
    </w:pPr>
    <w:rPr>
      <w:vertAlign w:val="superscript"/>
      <w:lang w:val="en-US"/>
    </w:rPr>
  </w:style>
</w:styles>
</file>

<file path=word/webSettings.xml><?xml version="1.0" encoding="utf-8"?>
<w:webSettings xmlns:r="http://schemas.openxmlformats.org/officeDocument/2006/relationships" xmlns:w="http://schemas.openxmlformats.org/wordprocessingml/2006/main">
  <w:divs>
    <w:div w:id="113908047">
      <w:bodyDiv w:val="1"/>
      <w:marLeft w:val="0"/>
      <w:marRight w:val="0"/>
      <w:marTop w:val="0"/>
      <w:marBottom w:val="0"/>
      <w:divBdr>
        <w:top w:val="none" w:sz="0" w:space="0" w:color="auto"/>
        <w:left w:val="none" w:sz="0" w:space="0" w:color="auto"/>
        <w:bottom w:val="none" w:sz="0" w:space="0" w:color="auto"/>
        <w:right w:val="none" w:sz="0" w:space="0" w:color="auto"/>
      </w:divBdr>
    </w:div>
    <w:div w:id="123160197">
      <w:bodyDiv w:val="1"/>
      <w:marLeft w:val="0"/>
      <w:marRight w:val="0"/>
      <w:marTop w:val="0"/>
      <w:marBottom w:val="0"/>
      <w:divBdr>
        <w:top w:val="none" w:sz="0" w:space="0" w:color="auto"/>
        <w:left w:val="none" w:sz="0" w:space="0" w:color="auto"/>
        <w:bottom w:val="none" w:sz="0" w:space="0" w:color="auto"/>
        <w:right w:val="none" w:sz="0" w:space="0" w:color="auto"/>
      </w:divBdr>
    </w:div>
    <w:div w:id="205222319">
      <w:bodyDiv w:val="1"/>
      <w:marLeft w:val="0"/>
      <w:marRight w:val="0"/>
      <w:marTop w:val="0"/>
      <w:marBottom w:val="0"/>
      <w:divBdr>
        <w:top w:val="none" w:sz="0" w:space="0" w:color="auto"/>
        <w:left w:val="none" w:sz="0" w:space="0" w:color="auto"/>
        <w:bottom w:val="none" w:sz="0" w:space="0" w:color="auto"/>
        <w:right w:val="none" w:sz="0" w:space="0" w:color="auto"/>
      </w:divBdr>
    </w:div>
    <w:div w:id="313340524">
      <w:bodyDiv w:val="1"/>
      <w:marLeft w:val="0"/>
      <w:marRight w:val="0"/>
      <w:marTop w:val="0"/>
      <w:marBottom w:val="0"/>
      <w:divBdr>
        <w:top w:val="none" w:sz="0" w:space="0" w:color="auto"/>
        <w:left w:val="none" w:sz="0" w:space="0" w:color="auto"/>
        <w:bottom w:val="none" w:sz="0" w:space="0" w:color="auto"/>
        <w:right w:val="none" w:sz="0" w:space="0" w:color="auto"/>
      </w:divBdr>
    </w:div>
    <w:div w:id="380204300">
      <w:bodyDiv w:val="1"/>
      <w:marLeft w:val="0"/>
      <w:marRight w:val="0"/>
      <w:marTop w:val="0"/>
      <w:marBottom w:val="0"/>
      <w:divBdr>
        <w:top w:val="none" w:sz="0" w:space="0" w:color="auto"/>
        <w:left w:val="none" w:sz="0" w:space="0" w:color="auto"/>
        <w:bottom w:val="none" w:sz="0" w:space="0" w:color="auto"/>
        <w:right w:val="none" w:sz="0" w:space="0" w:color="auto"/>
      </w:divBdr>
    </w:div>
    <w:div w:id="527453377">
      <w:bodyDiv w:val="1"/>
      <w:marLeft w:val="0"/>
      <w:marRight w:val="0"/>
      <w:marTop w:val="0"/>
      <w:marBottom w:val="0"/>
      <w:divBdr>
        <w:top w:val="none" w:sz="0" w:space="0" w:color="auto"/>
        <w:left w:val="none" w:sz="0" w:space="0" w:color="auto"/>
        <w:bottom w:val="none" w:sz="0" w:space="0" w:color="auto"/>
        <w:right w:val="none" w:sz="0" w:space="0" w:color="auto"/>
      </w:divBdr>
    </w:div>
    <w:div w:id="640306926">
      <w:bodyDiv w:val="1"/>
      <w:marLeft w:val="0"/>
      <w:marRight w:val="0"/>
      <w:marTop w:val="0"/>
      <w:marBottom w:val="0"/>
      <w:divBdr>
        <w:top w:val="none" w:sz="0" w:space="0" w:color="auto"/>
        <w:left w:val="none" w:sz="0" w:space="0" w:color="auto"/>
        <w:bottom w:val="none" w:sz="0" w:space="0" w:color="auto"/>
        <w:right w:val="none" w:sz="0" w:space="0" w:color="auto"/>
      </w:divBdr>
    </w:div>
    <w:div w:id="689529003">
      <w:bodyDiv w:val="1"/>
      <w:marLeft w:val="0"/>
      <w:marRight w:val="0"/>
      <w:marTop w:val="0"/>
      <w:marBottom w:val="0"/>
      <w:divBdr>
        <w:top w:val="none" w:sz="0" w:space="0" w:color="auto"/>
        <w:left w:val="none" w:sz="0" w:space="0" w:color="auto"/>
        <w:bottom w:val="none" w:sz="0" w:space="0" w:color="auto"/>
        <w:right w:val="none" w:sz="0" w:space="0" w:color="auto"/>
      </w:divBdr>
    </w:div>
    <w:div w:id="826556854">
      <w:bodyDiv w:val="1"/>
      <w:marLeft w:val="0"/>
      <w:marRight w:val="0"/>
      <w:marTop w:val="0"/>
      <w:marBottom w:val="0"/>
      <w:divBdr>
        <w:top w:val="none" w:sz="0" w:space="0" w:color="auto"/>
        <w:left w:val="none" w:sz="0" w:space="0" w:color="auto"/>
        <w:bottom w:val="none" w:sz="0" w:space="0" w:color="auto"/>
        <w:right w:val="none" w:sz="0" w:space="0" w:color="auto"/>
      </w:divBdr>
      <w:divsChild>
        <w:div w:id="97213976">
          <w:marLeft w:val="0"/>
          <w:marRight w:val="0"/>
          <w:marTop w:val="0"/>
          <w:marBottom w:val="0"/>
          <w:divBdr>
            <w:top w:val="none" w:sz="0" w:space="0" w:color="auto"/>
            <w:left w:val="none" w:sz="0" w:space="0" w:color="auto"/>
            <w:bottom w:val="none" w:sz="0" w:space="0" w:color="auto"/>
            <w:right w:val="none" w:sz="0" w:space="0" w:color="auto"/>
          </w:divBdr>
        </w:div>
        <w:div w:id="284626246">
          <w:marLeft w:val="0"/>
          <w:marRight w:val="0"/>
          <w:marTop w:val="0"/>
          <w:marBottom w:val="0"/>
          <w:divBdr>
            <w:top w:val="none" w:sz="0" w:space="0" w:color="auto"/>
            <w:left w:val="none" w:sz="0" w:space="0" w:color="auto"/>
            <w:bottom w:val="none" w:sz="0" w:space="0" w:color="auto"/>
            <w:right w:val="none" w:sz="0" w:space="0" w:color="auto"/>
          </w:divBdr>
        </w:div>
        <w:div w:id="489709597">
          <w:marLeft w:val="0"/>
          <w:marRight w:val="0"/>
          <w:marTop w:val="0"/>
          <w:marBottom w:val="0"/>
          <w:divBdr>
            <w:top w:val="none" w:sz="0" w:space="0" w:color="auto"/>
            <w:left w:val="none" w:sz="0" w:space="0" w:color="auto"/>
            <w:bottom w:val="none" w:sz="0" w:space="0" w:color="auto"/>
            <w:right w:val="none" w:sz="0" w:space="0" w:color="auto"/>
          </w:divBdr>
        </w:div>
        <w:div w:id="514808388">
          <w:marLeft w:val="0"/>
          <w:marRight w:val="0"/>
          <w:marTop w:val="0"/>
          <w:marBottom w:val="0"/>
          <w:divBdr>
            <w:top w:val="none" w:sz="0" w:space="0" w:color="auto"/>
            <w:left w:val="none" w:sz="0" w:space="0" w:color="auto"/>
            <w:bottom w:val="none" w:sz="0" w:space="0" w:color="auto"/>
            <w:right w:val="none" w:sz="0" w:space="0" w:color="auto"/>
          </w:divBdr>
        </w:div>
        <w:div w:id="581185812">
          <w:marLeft w:val="0"/>
          <w:marRight w:val="0"/>
          <w:marTop w:val="0"/>
          <w:marBottom w:val="0"/>
          <w:divBdr>
            <w:top w:val="none" w:sz="0" w:space="0" w:color="auto"/>
            <w:left w:val="none" w:sz="0" w:space="0" w:color="auto"/>
            <w:bottom w:val="none" w:sz="0" w:space="0" w:color="auto"/>
            <w:right w:val="none" w:sz="0" w:space="0" w:color="auto"/>
          </w:divBdr>
        </w:div>
        <w:div w:id="630867649">
          <w:marLeft w:val="0"/>
          <w:marRight w:val="0"/>
          <w:marTop w:val="0"/>
          <w:marBottom w:val="0"/>
          <w:divBdr>
            <w:top w:val="none" w:sz="0" w:space="0" w:color="auto"/>
            <w:left w:val="none" w:sz="0" w:space="0" w:color="auto"/>
            <w:bottom w:val="none" w:sz="0" w:space="0" w:color="auto"/>
            <w:right w:val="none" w:sz="0" w:space="0" w:color="auto"/>
          </w:divBdr>
        </w:div>
        <w:div w:id="869294344">
          <w:marLeft w:val="0"/>
          <w:marRight w:val="0"/>
          <w:marTop w:val="0"/>
          <w:marBottom w:val="0"/>
          <w:divBdr>
            <w:top w:val="none" w:sz="0" w:space="0" w:color="auto"/>
            <w:left w:val="none" w:sz="0" w:space="0" w:color="auto"/>
            <w:bottom w:val="none" w:sz="0" w:space="0" w:color="auto"/>
            <w:right w:val="none" w:sz="0" w:space="0" w:color="auto"/>
          </w:divBdr>
        </w:div>
        <w:div w:id="1112893884">
          <w:marLeft w:val="0"/>
          <w:marRight w:val="0"/>
          <w:marTop w:val="0"/>
          <w:marBottom w:val="0"/>
          <w:divBdr>
            <w:top w:val="none" w:sz="0" w:space="0" w:color="auto"/>
            <w:left w:val="none" w:sz="0" w:space="0" w:color="auto"/>
            <w:bottom w:val="none" w:sz="0" w:space="0" w:color="auto"/>
            <w:right w:val="none" w:sz="0" w:space="0" w:color="auto"/>
          </w:divBdr>
        </w:div>
        <w:div w:id="1270428515">
          <w:marLeft w:val="0"/>
          <w:marRight w:val="0"/>
          <w:marTop w:val="0"/>
          <w:marBottom w:val="0"/>
          <w:divBdr>
            <w:top w:val="none" w:sz="0" w:space="0" w:color="auto"/>
            <w:left w:val="none" w:sz="0" w:space="0" w:color="auto"/>
            <w:bottom w:val="none" w:sz="0" w:space="0" w:color="auto"/>
            <w:right w:val="none" w:sz="0" w:space="0" w:color="auto"/>
          </w:divBdr>
        </w:div>
        <w:div w:id="1412461260">
          <w:marLeft w:val="0"/>
          <w:marRight w:val="0"/>
          <w:marTop w:val="0"/>
          <w:marBottom w:val="0"/>
          <w:divBdr>
            <w:top w:val="none" w:sz="0" w:space="0" w:color="auto"/>
            <w:left w:val="none" w:sz="0" w:space="0" w:color="auto"/>
            <w:bottom w:val="none" w:sz="0" w:space="0" w:color="auto"/>
            <w:right w:val="none" w:sz="0" w:space="0" w:color="auto"/>
          </w:divBdr>
        </w:div>
        <w:div w:id="1455292489">
          <w:marLeft w:val="0"/>
          <w:marRight w:val="0"/>
          <w:marTop w:val="0"/>
          <w:marBottom w:val="0"/>
          <w:divBdr>
            <w:top w:val="none" w:sz="0" w:space="0" w:color="auto"/>
            <w:left w:val="none" w:sz="0" w:space="0" w:color="auto"/>
            <w:bottom w:val="none" w:sz="0" w:space="0" w:color="auto"/>
            <w:right w:val="none" w:sz="0" w:space="0" w:color="auto"/>
          </w:divBdr>
        </w:div>
        <w:div w:id="1471442460">
          <w:marLeft w:val="0"/>
          <w:marRight w:val="0"/>
          <w:marTop w:val="0"/>
          <w:marBottom w:val="0"/>
          <w:divBdr>
            <w:top w:val="none" w:sz="0" w:space="0" w:color="auto"/>
            <w:left w:val="none" w:sz="0" w:space="0" w:color="auto"/>
            <w:bottom w:val="none" w:sz="0" w:space="0" w:color="auto"/>
            <w:right w:val="none" w:sz="0" w:space="0" w:color="auto"/>
          </w:divBdr>
        </w:div>
        <w:div w:id="1509757750">
          <w:marLeft w:val="0"/>
          <w:marRight w:val="0"/>
          <w:marTop w:val="0"/>
          <w:marBottom w:val="0"/>
          <w:divBdr>
            <w:top w:val="none" w:sz="0" w:space="0" w:color="auto"/>
            <w:left w:val="none" w:sz="0" w:space="0" w:color="auto"/>
            <w:bottom w:val="none" w:sz="0" w:space="0" w:color="auto"/>
            <w:right w:val="none" w:sz="0" w:space="0" w:color="auto"/>
          </w:divBdr>
        </w:div>
        <w:div w:id="1611083374">
          <w:marLeft w:val="0"/>
          <w:marRight w:val="0"/>
          <w:marTop w:val="0"/>
          <w:marBottom w:val="0"/>
          <w:divBdr>
            <w:top w:val="none" w:sz="0" w:space="0" w:color="auto"/>
            <w:left w:val="none" w:sz="0" w:space="0" w:color="auto"/>
            <w:bottom w:val="none" w:sz="0" w:space="0" w:color="auto"/>
            <w:right w:val="none" w:sz="0" w:space="0" w:color="auto"/>
          </w:divBdr>
        </w:div>
        <w:div w:id="1635790037">
          <w:marLeft w:val="0"/>
          <w:marRight w:val="0"/>
          <w:marTop w:val="0"/>
          <w:marBottom w:val="0"/>
          <w:divBdr>
            <w:top w:val="none" w:sz="0" w:space="0" w:color="auto"/>
            <w:left w:val="none" w:sz="0" w:space="0" w:color="auto"/>
            <w:bottom w:val="none" w:sz="0" w:space="0" w:color="auto"/>
            <w:right w:val="none" w:sz="0" w:space="0" w:color="auto"/>
          </w:divBdr>
        </w:div>
        <w:div w:id="1749186808">
          <w:marLeft w:val="0"/>
          <w:marRight w:val="0"/>
          <w:marTop w:val="0"/>
          <w:marBottom w:val="0"/>
          <w:divBdr>
            <w:top w:val="none" w:sz="0" w:space="0" w:color="auto"/>
            <w:left w:val="none" w:sz="0" w:space="0" w:color="auto"/>
            <w:bottom w:val="none" w:sz="0" w:space="0" w:color="auto"/>
            <w:right w:val="none" w:sz="0" w:space="0" w:color="auto"/>
          </w:divBdr>
        </w:div>
        <w:div w:id="1839038404">
          <w:marLeft w:val="0"/>
          <w:marRight w:val="0"/>
          <w:marTop w:val="0"/>
          <w:marBottom w:val="0"/>
          <w:divBdr>
            <w:top w:val="none" w:sz="0" w:space="0" w:color="auto"/>
            <w:left w:val="none" w:sz="0" w:space="0" w:color="auto"/>
            <w:bottom w:val="none" w:sz="0" w:space="0" w:color="auto"/>
            <w:right w:val="none" w:sz="0" w:space="0" w:color="auto"/>
          </w:divBdr>
        </w:div>
        <w:div w:id="1869679268">
          <w:marLeft w:val="0"/>
          <w:marRight w:val="0"/>
          <w:marTop w:val="0"/>
          <w:marBottom w:val="0"/>
          <w:divBdr>
            <w:top w:val="none" w:sz="0" w:space="0" w:color="auto"/>
            <w:left w:val="none" w:sz="0" w:space="0" w:color="auto"/>
            <w:bottom w:val="none" w:sz="0" w:space="0" w:color="auto"/>
            <w:right w:val="none" w:sz="0" w:space="0" w:color="auto"/>
          </w:divBdr>
        </w:div>
        <w:div w:id="1956138180">
          <w:marLeft w:val="0"/>
          <w:marRight w:val="0"/>
          <w:marTop w:val="0"/>
          <w:marBottom w:val="0"/>
          <w:divBdr>
            <w:top w:val="none" w:sz="0" w:space="0" w:color="auto"/>
            <w:left w:val="none" w:sz="0" w:space="0" w:color="auto"/>
            <w:bottom w:val="none" w:sz="0" w:space="0" w:color="auto"/>
            <w:right w:val="none" w:sz="0" w:space="0" w:color="auto"/>
          </w:divBdr>
        </w:div>
        <w:div w:id="2071684966">
          <w:marLeft w:val="0"/>
          <w:marRight w:val="0"/>
          <w:marTop w:val="0"/>
          <w:marBottom w:val="0"/>
          <w:divBdr>
            <w:top w:val="none" w:sz="0" w:space="0" w:color="auto"/>
            <w:left w:val="none" w:sz="0" w:space="0" w:color="auto"/>
            <w:bottom w:val="none" w:sz="0" w:space="0" w:color="auto"/>
            <w:right w:val="none" w:sz="0" w:space="0" w:color="auto"/>
          </w:divBdr>
        </w:div>
        <w:div w:id="2127767262">
          <w:marLeft w:val="0"/>
          <w:marRight w:val="0"/>
          <w:marTop w:val="0"/>
          <w:marBottom w:val="0"/>
          <w:divBdr>
            <w:top w:val="none" w:sz="0" w:space="0" w:color="auto"/>
            <w:left w:val="none" w:sz="0" w:space="0" w:color="auto"/>
            <w:bottom w:val="none" w:sz="0" w:space="0" w:color="auto"/>
            <w:right w:val="none" w:sz="0" w:space="0" w:color="auto"/>
          </w:divBdr>
        </w:div>
      </w:divsChild>
    </w:div>
    <w:div w:id="909534131">
      <w:bodyDiv w:val="1"/>
      <w:marLeft w:val="0"/>
      <w:marRight w:val="0"/>
      <w:marTop w:val="0"/>
      <w:marBottom w:val="0"/>
      <w:divBdr>
        <w:top w:val="none" w:sz="0" w:space="0" w:color="auto"/>
        <w:left w:val="none" w:sz="0" w:space="0" w:color="auto"/>
        <w:bottom w:val="none" w:sz="0" w:space="0" w:color="auto"/>
        <w:right w:val="none" w:sz="0" w:space="0" w:color="auto"/>
      </w:divBdr>
    </w:div>
    <w:div w:id="969361229">
      <w:bodyDiv w:val="1"/>
      <w:marLeft w:val="0"/>
      <w:marRight w:val="0"/>
      <w:marTop w:val="0"/>
      <w:marBottom w:val="0"/>
      <w:divBdr>
        <w:top w:val="none" w:sz="0" w:space="0" w:color="auto"/>
        <w:left w:val="none" w:sz="0" w:space="0" w:color="auto"/>
        <w:bottom w:val="none" w:sz="0" w:space="0" w:color="auto"/>
        <w:right w:val="none" w:sz="0" w:space="0" w:color="auto"/>
      </w:divBdr>
    </w:div>
    <w:div w:id="1017544252">
      <w:bodyDiv w:val="1"/>
      <w:marLeft w:val="0"/>
      <w:marRight w:val="0"/>
      <w:marTop w:val="0"/>
      <w:marBottom w:val="0"/>
      <w:divBdr>
        <w:top w:val="none" w:sz="0" w:space="0" w:color="auto"/>
        <w:left w:val="none" w:sz="0" w:space="0" w:color="auto"/>
        <w:bottom w:val="none" w:sz="0" w:space="0" w:color="auto"/>
        <w:right w:val="none" w:sz="0" w:space="0" w:color="auto"/>
      </w:divBdr>
    </w:div>
    <w:div w:id="1070537466">
      <w:bodyDiv w:val="1"/>
      <w:marLeft w:val="0"/>
      <w:marRight w:val="0"/>
      <w:marTop w:val="0"/>
      <w:marBottom w:val="0"/>
      <w:divBdr>
        <w:top w:val="none" w:sz="0" w:space="0" w:color="auto"/>
        <w:left w:val="none" w:sz="0" w:space="0" w:color="auto"/>
        <w:bottom w:val="none" w:sz="0" w:space="0" w:color="auto"/>
        <w:right w:val="none" w:sz="0" w:space="0" w:color="auto"/>
      </w:divBdr>
    </w:div>
    <w:div w:id="1080296216">
      <w:bodyDiv w:val="1"/>
      <w:marLeft w:val="0"/>
      <w:marRight w:val="0"/>
      <w:marTop w:val="0"/>
      <w:marBottom w:val="0"/>
      <w:divBdr>
        <w:top w:val="none" w:sz="0" w:space="0" w:color="auto"/>
        <w:left w:val="none" w:sz="0" w:space="0" w:color="auto"/>
        <w:bottom w:val="none" w:sz="0" w:space="0" w:color="auto"/>
        <w:right w:val="none" w:sz="0" w:space="0" w:color="auto"/>
      </w:divBdr>
    </w:div>
    <w:div w:id="1105885928">
      <w:bodyDiv w:val="1"/>
      <w:marLeft w:val="0"/>
      <w:marRight w:val="0"/>
      <w:marTop w:val="0"/>
      <w:marBottom w:val="0"/>
      <w:divBdr>
        <w:top w:val="none" w:sz="0" w:space="0" w:color="auto"/>
        <w:left w:val="none" w:sz="0" w:space="0" w:color="auto"/>
        <w:bottom w:val="none" w:sz="0" w:space="0" w:color="auto"/>
        <w:right w:val="none" w:sz="0" w:space="0" w:color="auto"/>
      </w:divBdr>
    </w:div>
    <w:div w:id="1183592246">
      <w:bodyDiv w:val="1"/>
      <w:marLeft w:val="0"/>
      <w:marRight w:val="0"/>
      <w:marTop w:val="0"/>
      <w:marBottom w:val="0"/>
      <w:divBdr>
        <w:top w:val="none" w:sz="0" w:space="0" w:color="auto"/>
        <w:left w:val="none" w:sz="0" w:space="0" w:color="auto"/>
        <w:bottom w:val="none" w:sz="0" w:space="0" w:color="auto"/>
        <w:right w:val="none" w:sz="0" w:space="0" w:color="auto"/>
      </w:divBdr>
    </w:div>
    <w:div w:id="1214123423">
      <w:bodyDiv w:val="1"/>
      <w:marLeft w:val="0"/>
      <w:marRight w:val="0"/>
      <w:marTop w:val="0"/>
      <w:marBottom w:val="0"/>
      <w:divBdr>
        <w:top w:val="none" w:sz="0" w:space="0" w:color="auto"/>
        <w:left w:val="none" w:sz="0" w:space="0" w:color="auto"/>
        <w:bottom w:val="none" w:sz="0" w:space="0" w:color="auto"/>
        <w:right w:val="none" w:sz="0" w:space="0" w:color="auto"/>
      </w:divBdr>
    </w:div>
    <w:div w:id="1226454443">
      <w:bodyDiv w:val="1"/>
      <w:marLeft w:val="0"/>
      <w:marRight w:val="0"/>
      <w:marTop w:val="0"/>
      <w:marBottom w:val="0"/>
      <w:divBdr>
        <w:top w:val="none" w:sz="0" w:space="0" w:color="auto"/>
        <w:left w:val="none" w:sz="0" w:space="0" w:color="auto"/>
        <w:bottom w:val="none" w:sz="0" w:space="0" w:color="auto"/>
        <w:right w:val="none" w:sz="0" w:space="0" w:color="auto"/>
      </w:divBdr>
    </w:div>
    <w:div w:id="1457332343">
      <w:bodyDiv w:val="1"/>
      <w:marLeft w:val="0"/>
      <w:marRight w:val="0"/>
      <w:marTop w:val="0"/>
      <w:marBottom w:val="0"/>
      <w:divBdr>
        <w:top w:val="none" w:sz="0" w:space="0" w:color="auto"/>
        <w:left w:val="none" w:sz="0" w:space="0" w:color="auto"/>
        <w:bottom w:val="none" w:sz="0" w:space="0" w:color="auto"/>
        <w:right w:val="none" w:sz="0" w:space="0" w:color="auto"/>
      </w:divBdr>
    </w:div>
    <w:div w:id="1580556282">
      <w:bodyDiv w:val="1"/>
      <w:marLeft w:val="0"/>
      <w:marRight w:val="0"/>
      <w:marTop w:val="0"/>
      <w:marBottom w:val="0"/>
      <w:divBdr>
        <w:top w:val="none" w:sz="0" w:space="0" w:color="auto"/>
        <w:left w:val="none" w:sz="0" w:space="0" w:color="auto"/>
        <w:bottom w:val="none" w:sz="0" w:space="0" w:color="auto"/>
        <w:right w:val="none" w:sz="0" w:space="0" w:color="auto"/>
      </w:divBdr>
    </w:div>
    <w:div w:id="1668291403">
      <w:bodyDiv w:val="1"/>
      <w:marLeft w:val="0"/>
      <w:marRight w:val="0"/>
      <w:marTop w:val="0"/>
      <w:marBottom w:val="0"/>
      <w:divBdr>
        <w:top w:val="none" w:sz="0" w:space="0" w:color="auto"/>
        <w:left w:val="none" w:sz="0" w:space="0" w:color="auto"/>
        <w:bottom w:val="none" w:sz="0" w:space="0" w:color="auto"/>
        <w:right w:val="none" w:sz="0" w:space="0" w:color="auto"/>
      </w:divBdr>
    </w:div>
    <w:div w:id="1676810129">
      <w:bodyDiv w:val="1"/>
      <w:marLeft w:val="0"/>
      <w:marRight w:val="0"/>
      <w:marTop w:val="0"/>
      <w:marBottom w:val="0"/>
      <w:divBdr>
        <w:top w:val="none" w:sz="0" w:space="0" w:color="auto"/>
        <w:left w:val="none" w:sz="0" w:space="0" w:color="auto"/>
        <w:bottom w:val="none" w:sz="0" w:space="0" w:color="auto"/>
        <w:right w:val="none" w:sz="0" w:space="0" w:color="auto"/>
      </w:divBdr>
    </w:div>
    <w:div w:id="1833373850">
      <w:bodyDiv w:val="1"/>
      <w:marLeft w:val="0"/>
      <w:marRight w:val="0"/>
      <w:marTop w:val="0"/>
      <w:marBottom w:val="0"/>
      <w:divBdr>
        <w:top w:val="none" w:sz="0" w:space="0" w:color="auto"/>
        <w:left w:val="none" w:sz="0" w:space="0" w:color="auto"/>
        <w:bottom w:val="none" w:sz="0" w:space="0" w:color="auto"/>
        <w:right w:val="none" w:sz="0" w:space="0" w:color="auto"/>
      </w:divBdr>
    </w:div>
    <w:div w:id="1942180195">
      <w:bodyDiv w:val="1"/>
      <w:marLeft w:val="0"/>
      <w:marRight w:val="0"/>
      <w:marTop w:val="0"/>
      <w:marBottom w:val="0"/>
      <w:divBdr>
        <w:top w:val="none" w:sz="0" w:space="0" w:color="auto"/>
        <w:left w:val="none" w:sz="0" w:space="0" w:color="auto"/>
        <w:bottom w:val="none" w:sz="0" w:space="0" w:color="auto"/>
        <w:right w:val="none" w:sz="0" w:space="0" w:color="auto"/>
      </w:divBdr>
    </w:div>
    <w:div w:id="1990556556">
      <w:bodyDiv w:val="1"/>
      <w:marLeft w:val="0"/>
      <w:marRight w:val="0"/>
      <w:marTop w:val="0"/>
      <w:marBottom w:val="0"/>
      <w:divBdr>
        <w:top w:val="none" w:sz="0" w:space="0" w:color="auto"/>
        <w:left w:val="none" w:sz="0" w:space="0" w:color="auto"/>
        <w:bottom w:val="none" w:sz="0" w:space="0" w:color="auto"/>
        <w:right w:val="none" w:sz="0" w:space="0" w:color="auto"/>
      </w:divBdr>
    </w:div>
    <w:div w:id="2028828581">
      <w:bodyDiv w:val="1"/>
      <w:marLeft w:val="0"/>
      <w:marRight w:val="0"/>
      <w:marTop w:val="0"/>
      <w:marBottom w:val="0"/>
      <w:divBdr>
        <w:top w:val="none" w:sz="0" w:space="0" w:color="auto"/>
        <w:left w:val="none" w:sz="0" w:space="0" w:color="auto"/>
        <w:bottom w:val="none" w:sz="0" w:space="0" w:color="auto"/>
        <w:right w:val="none" w:sz="0" w:space="0" w:color="auto"/>
      </w:divBdr>
    </w:div>
    <w:div w:id="205989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oumission.info@undp.org" TargetMode="External"/><Relationship Id="rId18" Type="http://schemas.openxmlformats.org/officeDocument/2006/relationships/package" Target="embeddings/Document_Microsoft_Office_Word1.docx"/><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ic.soumission.cd@undp.org"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mailto:soumission.info@undp.org" TargetMode="External"/><Relationship Id="rId20" Type="http://schemas.openxmlformats.org/officeDocument/2006/relationships/package" Target="embeddings/Document_Microsoft_Office_Word2.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ic.soumission.cd@undp.or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rocurement-notices.undp.org/view_notice.cfm?notice_id=62491"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undocs.org/fr/S/RES/2409(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4a3be3f-a15a-43fa-96b9-a72fbd6deddb">Templates</Category>
    <_dlc_DocId xmlns="bf4c0e24-4363-4a2c-98c4-ba38f29833df">UNITOOLTS-633-31</_dlc_DocId>
    <_dlc_DocIdUrl xmlns="bf4c0e24-4363-4a2c-98c4-ba38f29833df">
      <Url>https://intranet.undp.org/unit/oolts/oso/psu/_layouts/15/DocIdRedir.aspx?ID=UNITOOLTS-633-31</Url>
      <Description>UNITOOLTS-633-31</Description>
    </_dlc_DocIdUrl>
    <Language xmlns="84a3be3f-a15a-43fa-96b9-a72fbd6deddb">English</Languag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634911197213902555</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634911197213902555</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634911197213902555</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06358F6894CA546A468AF25922DD424" ma:contentTypeVersion="20" ma:contentTypeDescription="Create a new document." ma:contentTypeScope="" ma:versionID="27592fbbe42997c7c35e4f46313eb344">
  <xsd:schema xmlns:xsd="http://www.w3.org/2001/XMLSchema" xmlns:xs="http://www.w3.org/2001/XMLSchema" xmlns:p="http://schemas.microsoft.com/office/2006/metadata/properties" xmlns:ns2="84a3be3f-a15a-43fa-96b9-a72fbd6deddb" xmlns:ns3="bf4c0e24-4363-4a2c-98c4-ba38f29833df" targetNamespace="http://schemas.microsoft.com/office/2006/metadata/properties" ma:root="true" ma:fieldsID="d09961c3c06aa3cfc0d62d3cb050999e" ns2:_="" ns3:_="">
    <xsd:import namespace="84a3be3f-a15a-43fa-96b9-a72fbd6deddb"/>
    <xsd:import namespace="bf4c0e24-4363-4a2c-98c4-ba38f29833df"/>
    <xsd:element name="properties">
      <xsd:complexType>
        <xsd:sequence>
          <xsd:element name="documentManagement">
            <xsd:complexType>
              <xsd:all>
                <xsd:element ref="ns2:Category" minOccurs="0"/>
                <xsd:element ref="ns3:_dlc_DocId" minOccurs="0"/>
                <xsd:element ref="ns3:_dlc_DocIdUrl" minOccurs="0"/>
                <xsd:element ref="ns3:_dlc_DocIdPersistId"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3be3f-a15a-43fa-96b9-a72fbd6deddb" elementFormDefault="qualified">
    <xsd:import namespace="http://schemas.microsoft.com/office/2006/documentManagement/types"/>
    <xsd:import namespace="http://schemas.microsoft.com/office/infopath/2007/PartnerControls"/>
    <xsd:element name="Category" ma:index="8" nillable="true" ma:displayName="Category" ma:default="Policy Document" ma:format="Dropdown" ma:internalName="Category">
      <xsd:simpleType>
        <xsd:restriction base="dms:Choice">
          <xsd:enumeration value="Guideline for BSITF Registration"/>
          <xsd:enumeration value="Policy Document"/>
          <xsd:enumeration value="Presentations"/>
          <xsd:enumeration value="Flow Charts"/>
          <xsd:enumeration value="Insurance Cover"/>
          <xsd:enumeration value="Q &amp; A"/>
          <xsd:enumeration value="Templates"/>
          <xsd:enumeration value="RLA Templates"/>
        </xsd:restriction>
      </xsd:simpleType>
    </xsd:element>
    <xsd:element name="Language" ma:index="12" nillable="true" ma:displayName="Language" ma:default="English" ma:format="Dropdown" ma:internalName="Language">
      <xsd:simpleType>
        <xsd:restriction base="dms:Choice">
          <xsd:enumeration value="English"/>
          <xsd:enumeration value="French"/>
          <xsd:enumeration value="Spanish"/>
        </xsd:restriction>
      </xsd:simpleType>
    </xsd:element>
  </xsd:schema>
  <xsd:schema xmlns:xsd="http://www.w3.org/2001/XMLSchema" xmlns:xs="http://www.w3.org/2001/XMLSchema" xmlns:dms="http://schemas.microsoft.com/office/2006/documentManagement/types" xmlns:pc="http://schemas.microsoft.com/office/infopath/2007/PartnerControls" targetNamespace="bf4c0e24-4363-4a2c-98c4-ba38f29833d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40DA5-E4C7-410C-9B0F-0BECA3910A96}">
  <ds:schemaRefs>
    <ds:schemaRef ds:uri="http://schemas.microsoft.com/office/2006/metadata/properties"/>
    <ds:schemaRef ds:uri="http://schemas.microsoft.com/office/infopath/2007/PartnerControls"/>
    <ds:schemaRef ds:uri="84a3be3f-a15a-43fa-96b9-a72fbd6deddb"/>
    <ds:schemaRef ds:uri="bf4c0e24-4363-4a2c-98c4-ba38f29833df"/>
  </ds:schemaRefs>
</ds:datastoreItem>
</file>

<file path=customXml/itemProps2.xml><?xml version="1.0" encoding="utf-8"?>
<ds:datastoreItem xmlns:ds="http://schemas.openxmlformats.org/officeDocument/2006/customXml" ds:itemID="{E22C8FA4-7384-4E07-ACE6-6BA3AB4A8332}">
  <ds:schemaRefs>
    <ds:schemaRef ds:uri="http://schemas.microsoft.com/sharepoint/events"/>
  </ds:schemaRefs>
</ds:datastoreItem>
</file>

<file path=customXml/itemProps3.xml><?xml version="1.0" encoding="utf-8"?>
<ds:datastoreItem xmlns:ds="http://schemas.openxmlformats.org/officeDocument/2006/customXml" ds:itemID="{88CE2295-02A4-4F66-AE7C-FA5A3F326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3be3f-a15a-43fa-96b9-a72fbd6deddb"/>
    <ds:schemaRef ds:uri="bf4c0e24-4363-4a2c-98c4-ba38f2983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A3A082-470E-4B09-81DB-4B9682DF9DD4}">
  <ds:schemaRefs>
    <ds:schemaRef ds:uri="http://schemas.openxmlformats.org/officeDocument/2006/bibliography"/>
  </ds:schemaRefs>
</ds:datastoreItem>
</file>

<file path=customXml/itemProps5.xml><?xml version="1.0" encoding="utf-8"?>
<ds:datastoreItem xmlns:ds="http://schemas.openxmlformats.org/officeDocument/2006/customXml" ds:itemID="{197199FF-56B2-486B-9A80-0F8C08BB7E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3228</Words>
  <Characters>17758</Characters>
  <Application>Microsoft Office Word</Application>
  <DocSecurity>0</DocSecurity>
  <Lines>147</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Individual Consultant Procurement Notice</vt:lpstr>
      <vt:lpstr>Individual Consultant Procurement Notice</vt:lpstr>
    </vt:vector>
  </TitlesOfParts>
  <Company>UNDP</Company>
  <LinksUpToDate>false</LinksUpToDate>
  <CharactersWithSpaces>20945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Consultant Procurement Notice</dc:title>
  <dc:creator>alvaro.meseguer</dc:creator>
  <cp:lastModifiedBy>MCN_Jacques</cp:lastModifiedBy>
  <cp:revision>2</cp:revision>
  <cp:lastPrinted>2011-03-24T14:16:00Z</cp:lastPrinted>
  <dcterms:created xsi:type="dcterms:W3CDTF">2020-01-10T08:00:00Z</dcterms:created>
  <dcterms:modified xsi:type="dcterms:W3CDTF">2020-01-10T08:00:00Z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0x010100F06358F6894CA546A468AF25922DD424</vt:lpwstr>
  </property>
  <property fmtid="{D5CDD505-2E9C-101B-9397-08002B2CF9AE}" pid="3" name="_dlc_DocIdItemGuid">
    <vt:lpwstr>74e1aabb-d21d-4391-abeb-a032a7565b67</vt:lpwstr>
  </property>
</Properties>
</file>