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11" w:rsidRPr="004202D8" w:rsidRDefault="00D56C11" w:rsidP="007260D6">
      <w:pPr>
        <w:tabs>
          <w:tab w:val="left" w:pos="1410"/>
        </w:tabs>
        <w:spacing w:after="0" w:line="240" w:lineRule="auto"/>
        <w:jc w:val="center"/>
        <w:rPr>
          <w:rFonts w:cstheme="minorHAnsi"/>
          <w:b/>
          <w:color w:val="000000" w:themeColor="text1"/>
          <w:lang w:val="fr-FR"/>
        </w:rPr>
      </w:pPr>
      <w:r w:rsidRPr="004202D8">
        <w:rPr>
          <w:rFonts w:cstheme="minorHAnsi"/>
          <w:b/>
          <w:color w:val="000000" w:themeColor="text1"/>
          <w:lang w:val="fr-FR"/>
        </w:rPr>
        <w:t>NOTICE DE SELECTION</w:t>
      </w:r>
    </w:p>
    <w:p w:rsidR="007A00F5" w:rsidRPr="004202D8" w:rsidRDefault="007A00F5" w:rsidP="00E94CCB">
      <w:pPr>
        <w:tabs>
          <w:tab w:val="left" w:pos="1410"/>
        </w:tabs>
        <w:spacing w:after="0" w:line="240" w:lineRule="auto"/>
        <w:jc w:val="center"/>
        <w:rPr>
          <w:rFonts w:cstheme="minorHAnsi"/>
          <w:b/>
          <w:color w:val="000000" w:themeColor="text1"/>
          <w:lang w:val="fr-FR"/>
        </w:rPr>
      </w:pPr>
    </w:p>
    <w:p w:rsidR="0010664C" w:rsidRPr="004202D8" w:rsidRDefault="0010664C" w:rsidP="00402CB5">
      <w:pPr>
        <w:jc w:val="center"/>
        <w:rPr>
          <w:b/>
          <w:bCs/>
          <w:lang w:val="fr-FR"/>
        </w:rPr>
      </w:pPr>
      <w:bookmarkStart w:id="0" w:name="_Hlk18487585"/>
      <w:bookmarkStart w:id="1" w:name="_Hlk25161517"/>
      <w:bookmarkStart w:id="2" w:name="_Hlk18483930"/>
      <w:r w:rsidRPr="004202D8">
        <w:rPr>
          <w:rFonts w:eastAsia="Times New Roman"/>
          <w:b/>
          <w:color w:val="000000" w:themeColor="text1"/>
          <w:lang w:val="fr-FR"/>
        </w:rPr>
        <w:t xml:space="preserve">Recrutement </w:t>
      </w:r>
      <w:bookmarkStart w:id="3" w:name="_Hlk44411061"/>
      <w:r w:rsidRPr="004202D8">
        <w:rPr>
          <w:rFonts w:eastAsia="Times New Roman"/>
          <w:b/>
          <w:color w:val="000000" w:themeColor="text1"/>
          <w:lang w:val="fr-FR"/>
        </w:rPr>
        <w:t>d´</w:t>
      </w:r>
      <w:bookmarkStart w:id="4" w:name="_Hlk40263865"/>
      <w:r w:rsidRPr="004202D8">
        <w:rPr>
          <w:rFonts w:eastAsia="Times New Roman"/>
          <w:b/>
          <w:color w:val="000000" w:themeColor="text1"/>
          <w:lang w:val="fr-FR"/>
        </w:rPr>
        <w:t xml:space="preserve">un(e) consultant(e) </w:t>
      </w:r>
      <w:bookmarkStart w:id="5" w:name="_Hlk45120268"/>
      <w:r w:rsidR="00E37E01" w:rsidRPr="004202D8">
        <w:rPr>
          <w:b/>
          <w:bCs/>
          <w:lang w:val="fr-FR"/>
        </w:rPr>
        <w:t>national(e)</w:t>
      </w:r>
      <w:r w:rsidR="00866D57" w:rsidRPr="004202D8">
        <w:rPr>
          <w:b/>
          <w:bCs/>
          <w:lang w:val="fr-FR"/>
        </w:rPr>
        <w:t xml:space="preserve"> Expert</w:t>
      </w:r>
      <w:r w:rsidR="00880E75" w:rsidRPr="004202D8">
        <w:rPr>
          <w:b/>
          <w:bCs/>
          <w:lang w:val="fr-FR"/>
        </w:rPr>
        <w:t>(e)en</w:t>
      </w:r>
      <w:r w:rsidR="00866D57" w:rsidRPr="004202D8">
        <w:rPr>
          <w:b/>
          <w:bCs/>
          <w:lang w:val="fr-FR"/>
        </w:rPr>
        <w:t xml:space="preserve"> Gouvernance locale</w:t>
      </w:r>
      <w:bookmarkEnd w:id="0"/>
      <w:bookmarkEnd w:id="1"/>
      <w:bookmarkEnd w:id="2"/>
      <w:bookmarkEnd w:id="3"/>
      <w:bookmarkEnd w:id="4"/>
      <w:bookmarkEnd w:id="5"/>
      <w:r w:rsidR="00402CB5" w:rsidRPr="004202D8">
        <w:rPr>
          <w:b/>
          <w:bCs/>
          <w:lang w:val="fr-FR"/>
        </w:rPr>
        <w:t>.</w:t>
      </w:r>
    </w:p>
    <w:p w:rsidR="00402CB5" w:rsidRPr="004202D8" w:rsidRDefault="00402CB5" w:rsidP="00402CB5">
      <w:pPr>
        <w:jc w:val="center"/>
        <w:rPr>
          <w:rFonts w:eastAsia="MS Mincho"/>
          <w:b/>
          <w:color w:val="000000" w:themeColor="text1"/>
          <w:lang w:val="fr-FR" w:eastAsia="fr-FR"/>
        </w:rPr>
      </w:pPr>
    </w:p>
    <w:p w:rsidR="0010664C" w:rsidRPr="004202D8" w:rsidRDefault="0010664C" w:rsidP="009D7A82">
      <w:pPr>
        <w:spacing w:after="0" w:line="240" w:lineRule="auto"/>
        <w:rPr>
          <w:rFonts w:eastAsia="Times New Roman"/>
          <w:b/>
          <w:color w:val="000000" w:themeColor="text1"/>
          <w:lang w:val="fr-FR" w:eastAsia="rw-RW"/>
        </w:rPr>
      </w:pPr>
      <w:bookmarkStart w:id="6" w:name="_Hlk26355874"/>
      <w:r w:rsidRPr="004202D8">
        <w:rPr>
          <w:rFonts w:eastAsia="Times New Roman"/>
          <w:b/>
          <w:color w:val="000000" w:themeColor="text1"/>
          <w:lang w:val="fr-FR" w:eastAsia="rw-RW"/>
        </w:rPr>
        <w:t>Référence du dossier :</w:t>
      </w:r>
      <w:bookmarkStart w:id="7" w:name="_Hlk32409321"/>
      <w:bookmarkStart w:id="8" w:name="_Hlk44411145"/>
      <w:r w:rsidR="00743936" w:rsidRPr="004202D8">
        <w:rPr>
          <w:rFonts w:eastAsia="Times New Roman"/>
          <w:b/>
          <w:color w:val="000000" w:themeColor="text1"/>
          <w:lang w:val="fr-FR" w:eastAsia="rw-RW"/>
        </w:rPr>
        <w:t>0</w:t>
      </w:r>
      <w:r w:rsidR="00402CB5" w:rsidRPr="004202D8">
        <w:rPr>
          <w:rFonts w:eastAsia="Times New Roman"/>
          <w:b/>
          <w:color w:val="000000" w:themeColor="text1"/>
          <w:lang w:val="fr-FR" w:eastAsia="rw-RW"/>
        </w:rPr>
        <w:t>3</w:t>
      </w:r>
      <w:r w:rsidR="00CC6B79">
        <w:rPr>
          <w:rFonts w:eastAsia="Times New Roman"/>
          <w:b/>
          <w:color w:val="000000" w:themeColor="text1"/>
          <w:lang w:val="fr-FR" w:eastAsia="rw-RW"/>
        </w:rPr>
        <w:t>8</w:t>
      </w:r>
      <w:r w:rsidRPr="004202D8">
        <w:rPr>
          <w:rFonts w:eastAsia="Times New Roman"/>
          <w:b/>
          <w:color w:val="000000" w:themeColor="text1"/>
          <w:lang w:val="fr-FR" w:eastAsia="rw-RW"/>
        </w:rPr>
        <w:t>/</w:t>
      </w:r>
      <w:bookmarkStart w:id="9" w:name="_Hlk26097570"/>
      <w:r w:rsidRPr="004202D8">
        <w:rPr>
          <w:rFonts w:eastAsia="Times New Roman"/>
          <w:b/>
          <w:color w:val="000000" w:themeColor="text1"/>
          <w:lang w:val="fr-FR" w:eastAsia="rw-RW"/>
        </w:rPr>
        <w:t>IC</w:t>
      </w:r>
      <w:r w:rsidR="00E37E01" w:rsidRPr="004202D8">
        <w:rPr>
          <w:rFonts w:eastAsia="Times New Roman"/>
          <w:b/>
          <w:color w:val="000000" w:themeColor="text1"/>
          <w:lang w:val="fr-FR" w:eastAsia="rw-RW"/>
        </w:rPr>
        <w:t>-</w:t>
      </w:r>
      <w:r w:rsidR="000D682F" w:rsidRPr="004202D8">
        <w:rPr>
          <w:rFonts w:eastAsia="Times New Roman"/>
          <w:b/>
          <w:color w:val="000000" w:themeColor="text1"/>
          <w:lang w:val="fr-FR" w:eastAsia="rw-RW"/>
        </w:rPr>
        <w:t>NAT-</w:t>
      </w:r>
      <w:r w:rsidR="00402CB5" w:rsidRPr="004202D8">
        <w:rPr>
          <w:rFonts w:eastAsia="Times New Roman"/>
          <w:b/>
          <w:color w:val="000000" w:themeColor="text1"/>
          <w:lang w:val="fr-FR" w:eastAsia="rw-RW"/>
        </w:rPr>
        <w:t>P</w:t>
      </w:r>
      <w:r w:rsidR="00866D57" w:rsidRPr="004202D8">
        <w:rPr>
          <w:rFonts w:eastAsia="Times New Roman"/>
          <w:b/>
          <w:color w:val="000000" w:themeColor="text1"/>
          <w:lang w:val="fr-FR" w:eastAsia="rw-RW"/>
        </w:rPr>
        <w:t>NUD</w:t>
      </w:r>
      <w:r w:rsidR="0051337F" w:rsidRPr="004202D8">
        <w:rPr>
          <w:rFonts w:eastAsia="Times New Roman"/>
          <w:b/>
          <w:color w:val="000000" w:themeColor="text1"/>
          <w:lang w:val="fr-FR" w:eastAsia="rw-RW"/>
        </w:rPr>
        <w:t>-</w:t>
      </w:r>
      <w:r w:rsidR="00866D57" w:rsidRPr="004202D8">
        <w:rPr>
          <w:rFonts w:eastAsia="Times New Roman"/>
          <w:b/>
          <w:color w:val="000000" w:themeColor="text1"/>
          <w:lang w:val="fr-FR" w:eastAsia="rw-RW"/>
        </w:rPr>
        <w:t>UNHCR</w:t>
      </w:r>
      <w:r w:rsidRPr="004202D8">
        <w:rPr>
          <w:rFonts w:eastAsia="Times New Roman"/>
          <w:b/>
          <w:color w:val="000000" w:themeColor="text1"/>
          <w:lang w:val="fr-FR" w:eastAsia="rw-RW"/>
        </w:rPr>
        <w:t>/20</w:t>
      </w:r>
      <w:bookmarkEnd w:id="9"/>
      <w:r w:rsidRPr="004202D8">
        <w:rPr>
          <w:rFonts w:eastAsia="Times New Roman"/>
          <w:b/>
          <w:color w:val="000000" w:themeColor="text1"/>
          <w:lang w:val="fr-FR" w:eastAsia="rw-RW"/>
        </w:rPr>
        <w:t>20</w:t>
      </w:r>
      <w:bookmarkEnd w:id="7"/>
      <w:bookmarkEnd w:id="8"/>
    </w:p>
    <w:bookmarkEnd w:id="6"/>
    <w:p w:rsidR="00167362" w:rsidRPr="004202D8" w:rsidRDefault="00167362" w:rsidP="00743936">
      <w:pPr>
        <w:spacing w:after="0" w:line="240" w:lineRule="auto"/>
        <w:rPr>
          <w:rFonts w:eastAsia="Times New Roman" w:cstheme="minorHAnsi"/>
          <w:b/>
          <w:color w:val="000000" w:themeColor="text1"/>
          <w:lang w:val="fr-FR" w:eastAsia="fr-FR"/>
        </w:rPr>
      </w:pPr>
    </w:p>
    <w:p w:rsidR="003F640F" w:rsidRPr="004202D8" w:rsidRDefault="00D56C11" w:rsidP="003F640F">
      <w:pPr>
        <w:spacing w:after="0" w:line="240" w:lineRule="auto"/>
        <w:jc w:val="right"/>
        <w:rPr>
          <w:rFonts w:eastAsia="Times New Roman" w:cstheme="minorHAnsi"/>
          <w:color w:val="000000" w:themeColor="text1"/>
          <w:lang w:val="fr-FR" w:eastAsia="rw-RW"/>
        </w:rPr>
      </w:pPr>
      <w:r w:rsidRPr="004202D8">
        <w:rPr>
          <w:rFonts w:eastAsia="Times New Roman" w:cstheme="minorHAnsi"/>
          <w:color w:val="000000" w:themeColor="text1"/>
          <w:lang w:val="fr-FR" w:eastAsia="rw-RW"/>
        </w:rPr>
        <w:t xml:space="preserve">Date : </w:t>
      </w:r>
      <w:r w:rsidR="0051337F" w:rsidRPr="004202D8">
        <w:rPr>
          <w:rFonts w:eastAsia="Times New Roman" w:cstheme="minorHAnsi"/>
          <w:color w:val="000000" w:themeColor="text1"/>
          <w:lang w:val="fr-FR" w:eastAsia="rw-RW"/>
        </w:rPr>
        <w:t>0</w:t>
      </w:r>
      <w:r w:rsidR="00866D57" w:rsidRPr="004202D8">
        <w:rPr>
          <w:rFonts w:eastAsia="Times New Roman" w:cstheme="minorHAnsi"/>
          <w:color w:val="000000" w:themeColor="text1"/>
          <w:lang w:val="fr-FR" w:eastAsia="rw-RW"/>
        </w:rPr>
        <w:t>9</w:t>
      </w:r>
      <w:r w:rsidRPr="004202D8">
        <w:rPr>
          <w:rFonts w:eastAsia="Times New Roman" w:cstheme="minorHAnsi"/>
          <w:color w:val="000000" w:themeColor="text1"/>
          <w:lang w:val="fr-FR" w:eastAsia="rw-RW"/>
        </w:rPr>
        <w:t>/0</w:t>
      </w:r>
      <w:r w:rsidR="0051337F" w:rsidRPr="004202D8">
        <w:rPr>
          <w:rFonts w:eastAsia="Times New Roman" w:cstheme="minorHAnsi"/>
          <w:color w:val="000000" w:themeColor="text1"/>
          <w:lang w:val="fr-FR" w:eastAsia="rw-RW"/>
        </w:rPr>
        <w:t>7</w:t>
      </w:r>
      <w:r w:rsidRPr="004202D8">
        <w:rPr>
          <w:rFonts w:eastAsia="Times New Roman" w:cstheme="minorHAnsi"/>
          <w:color w:val="000000" w:themeColor="text1"/>
          <w:lang w:val="fr-FR" w:eastAsia="rw-RW"/>
        </w:rPr>
        <w:t>/20</w:t>
      </w:r>
      <w:r w:rsidR="00724CB4" w:rsidRPr="004202D8">
        <w:rPr>
          <w:rFonts w:eastAsia="Times New Roman" w:cstheme="minorHAnsi"/>
          <w:color w:val="000000" w:themeColor="text1"/>
          <w:lang w:val="fr-FR" w:eastAsia="rw-RW"/>
        </w:rPr>
        <w:t>20</w:t>
      </w:r>
    </w:p>
    <w:p w:rsidR="009E2B22" w:rsidRPr="004202D8" w:rsidRDefault="003500EF" w:rsidP="009E2B22">
      <w:pPr>
        <w:tabs>
          <w:tab w:val="left" w:pos="1410"/>
        </w:tabs>
        <w:rPr>
          <w:rFonts w:cstheme="minorHAnsi"/>
          <w:b/>
          <w:color w:val="000000" w:themeColor="text1"/>
          <w:lang w:val="fr-FR"/>
        </w:rPr>
      </w:pPr>
      <w:r>
        <w:rPr>
          <w:rFonts w:cstheme="minorHAnsi"/>
          <w:b/>
          <w:noProof/>
          <w:color w:val="000000" w:themeColor="text1"/>
          <w:lang w:val="fr-FR" w:eastAsia="fr-FR"/>
        </w:rPr>
        <w:pict>
          <v:shapetype id="_x0000_t32" coordsize="21600,21600" o:spt="32" o:oned="t" path="m,l21600,21600e" filled="f">
            <v:path arrowok="t" fillok="f" o:connecttype="none"/>
            <o:lock v:ext="edit" shapetype="t"/>
          </v:shapetype>
          <v:shape id="AutoShape 3" o:spid="_x0000_s1026" type="#_x0000_t32" style="position:absolute;margin-left:-.75pt;margin-top:6.85pt;width:522.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" strokecolor="blue" strokeweight="4.5pt"/>
        </w:pict>
      </w:r>
    </w:p>
    <w:p w:rsidR="0065710B" w:rsidRPr="004202D8" w:rsidRDefault="009630B9" w:rsidP="0065710B">
      <w:pPr>
        <w:tabs>
          <w:tab w:val="left" w:pos="1410"/>
        </w:tabs>
        <w:rPr>
          <w:rFonts w:cstheme="minorHAnsi"/>
          <w:color w:val="000000" w:themeColor="text1"/>
          <w:lang w:val="fr-FR"/>
        </w:rPr>
      </w:pPr>
      <w:r w:rsidRPr="004202D8">
        <w:rPr>
          <w:rFonts w:cstheme="minorHAnsi"/>
          <w:b/>
          <w:color w:val="000000" w:themeColor="text1"/>
          <w:lang w:val="fr-FR"/>
        </w:rPr>
        <w:t>Pays :</w:t>
      </w:r>
      <w:r w:rsidR="00E75675" w:rsidRPr="004202D8">
        <w:rPr>
          <w:rFonts w:cstheme="minorHAnsi"/>
          <w:color w:val="000000" w:themeColor="text1"/>
          <w:lang w:val="fr-FR"/>
        </w:rPr>
        <w:t>République Démocratique du Congo</w:t>
      </w:r>
      <w:r w:rsidR="00170915" w:rsidRPr="004202D8">
        <w:rPr>
          <w:rFonts w:cstheme="minorHAnsi"/>
          <w:color w:val="000000" w:themeColor="text1"/>
          <w:lang w:val="fr-FR"/>
        </w:rPr>
        <w:t xml:space="preserve">, </w:t>
      </w:r>
      <w:r w:rsidR="009D7A82" w:rsidRPr="004202D8">
        <w:rPr>
          <w:rFonts w:cstheme="minorHAnsi"/>
          <w:color w:val="000000" w:themeColor="text1"/>
          <w:lang w:val="fr-FR"/>
        </w:rPr>
        <w:t>Province de K</w:t>
      </w:r>
      <w:r w:rsidR="00402CB5" w:rsidRPr="004202D8">
        <w:rPr>
          <w:rFonts w:cstheme="minorHAnsi"/>
          <w:color w:val="000000" w:themeColor="text1"/>
          <w:lang w:val="fr-FR"/>
        </w:rPr>
        <w:t>inshasa</w:t>
      </w:r>
    </w:p>
    <w:p w:rsidR="008800F4" w:rsidRPr="004202D8" w:rsidRDefault="009630B9" w:rsidP="00C037AE">
      <w:pPr>
        <w:jc w:val="both"/>
        <w:rPr>
          <w:bCs/>
          <w:color w:val="000000" w:themeColor="text1"/>
          <w:lang w:val="fr-FR"/>
        </w:rPr>
      </w:pPr>
      <w:r w:rsidRPr="004202D8">
        <w:rPr>
          <w:rFonts w:cstheme="minorHAnsi"/>
          <w:b/>
          <w:color w:val="000000" w:themeColor="text1"/>
          <w:lang w:val="fr-FR"/>
        </w:rPr>
        <w:t>Description de la mission</w:t>
      </w:r>
      <w:r w:rsidR="00164555" w:rsidRPr="004202D8">
        <w:rPr>
          <w:rFonts w:cstheme="minorHAnsi"/>
          <w:b/>
          <w:color w:val="000000" w:themeColor="text1"/>
          <w:lang w:val="fr-FR"/>
        </w:rPr>
        <w:t xml:space="preserve"> : </w:t>
      </w:r>
      <w:r w:rsidR="00402CB5" w:rsidRPr="004202D8">
        <w:rPr>
          <w:rFonts w:cstheme="minorHAnsi"/>
          <w:bCs/>
          <w:color w:val="000000" w:themeColor="text1"/>
          <w:lang w:val="fr-FR"/>
        </w:rPr>
        <w:t>U</w:t>
      </w:r>
      <w:r w:rsidR="00402CB5" w:rsidRPr="004202D8">
        <w:rPr>
          <w:rFonts w:eastAsia="Times New Roman"/>
          <w:bCs/>
          <w:color w:val="000000" w:themeColor="text1"/>
          <w:lang w:val="fr-FR"/>
        </w:rPr>
        <w:t xml:space="preserve">n(e) consultant(e) </w:t>
      </w:r>
      <w:r w:rsidR="00866D57" w:rsidRPr="004202D8">
        <w:rPr>
          <w:lang w:val="fr-FR"/>
        </w:rPr>
        <w:t>nationale (e) Expert</w:t>
      </w:r>
      <w:bookmarkStart w:id="10" w:name="_Hlk45120385"/>
      <w:r w:rsidR="00880E75" w:rsidRPr="004202D8">
        <w:rPr>
          <w:lang w:val="fr-FR"/>
        </w:rPr>
        <w:t>(e)</w:t>
      </w:r>
      <w:bookmarkEnd w:id="10"/>
      <w:r w:rsidR="00866D57" w:rsidRPr="004202D8">
        <w:rPr>
          <w:lang w:val="fr-FR"/>
        </w:rPr>
        <w:t>en Gouvernance</w:t>
      </w:r>
    </w:p>
    <w:p w:rsidR="00D56C11" w:rsidRPr="004202D8" w:rsidRDefault="00D56C11" w:rsidP="00D56C11">
      <w:pPr>
        <w:tabs>
          <w:tab w:val="left" w:pos="1410"/>
        </w:tabs>
        <w:spacing w:after="0" w:line="240" w:lineRule="auto"/>
        <w:ind w:left="3600" w:hanging="3600"/>
        <w:jc w:val="both"/>
        <w:rPr>
          <w:rFonts w:cstheme="minorHAnsi"/>
          <w:color w:val="000000" w:themeColor="text1"/>
          <w:lang w:val="fr-FR"/>
        </w:rPr>
      </w:pPr>
      <w:r w:rsidRPr="004202D8">
        <w:rPr>
          <w:rFonts w:cstheme="minorHAnsi"/>
          <w:b/>
          <w:color w:val="000000" w:themeColor="text1"/>
          <w:lang w:val="fr-FR"/>
        </w:rPr>
        <w:t>Niveau de poste et d’expérience :</w:t>
      </w:r>
      <w:r w:rsidR="00C037AE" w:rsidRPr="004202D8">
        <w:rPr>
          <w:rFonts w:cstheme="minorHAnsi"/>
          <w:color w:val="000000" w:themeColor="text1"/>
          <w:lang w:val="fr-FR"/>
        </w:rPr>
        <w:t>Consultant</w:t>
      </w:r>
      <w:r w:rsidR="00866D57" w:rsidRPr="004202D8">
        <w:rPr>
          <w:rFonts w:cstheme="minorHAnsi"/>
          <w:color w:val="000000" w:themeColor="text1"/>
          <w:lang w:val="fr-FR"/>
        </w:rPr>
        <w:t>Expert</w:t>
      </w:r>
      <w:r w:rsidR="00880E75" w:rsidRPr="004202D8">
        <w:rPr>
          <w:lang w:val="fr-FR"/>
        </w:rPr>
        <w:t xml:space="preserve">(e) </w:t>
      </w:r>
      <w:r w:rsidR="00880E75" w:rsidRPr="004202D8">
        <w:rPr>
          <w:rFonts w:cstheme="minorHAnsi"/>
          <w:color w:val="000000" w:themeColor="text1"/>
          <w:lang w:val="fr-FR"/>
        </w:rPr>
        <w:t>National</w:t>
      </w:r>
      <w:r w:rsidR="00880E75" w:rsidRPr="004202D8">
        <w:rPr>
          <w:lang w:val="fr-FR"/>
        </w:rPr>
        <w:t>(e)</w:t>
      </w:r>
    </w:p>
    <w:p w:rsidR="00D56C11" w:rsidRPr="004202D8" w:rsidRDefault="00D56C11" w:rsidP="00D56C11">
      <w:pPr>
        <w:tabs>
          <w:tab w:val="left" w:pos="1410"/>
        </w:tabs>
        <w:spacing w:after="0" w:line="240" w:lineRule="auto"/>
        <w:ind w:left="3600" w:hanging="3600"/>
        <w:jc w:val="both"/>
        <w:rPr>
          <w:rFonts w:cstheme="minorHAnsi"/>
          <w:color w:val="000000" w:themeColor="text1"/>
          <w:lang w:val="fr-FR"/>
        </w:rPr>
      </w:pPr>
    </w:p>
    <w:p w:rsidR="00743936" w:rsidRDefault="009630B9" w:rsidP="004F3DB2">
      <w:pPr>
        <w:spacing w:after="0"/>
        <w:jc w:val="both"/>
        <w:rPr>
          <w:rFonts w:eastAsia="Times New Roman" w:cstheme="majorHAnsi"/>
          <w:lang w:val="fr-FR"/>
        </w:rPr>
      </w:pPr>
      <w:r w:rsidRPr="004202D8">
        <w:rPr>
          <w:rFonts w:cstheme="minorHAnsi"/>
          <w:b/>
          <w:color w:val="000000" w:themeColor="text1"/>
          <w:lang w:val="fr-FR"/>
        </w:rPr>
        <w:t xml:space="preserve">Durée de la </w:t>
      </w:r>
      <w:r w:rsidR="00164555" w:rsidRPr="004202D8">
        <w:rPr>
          <w:rFonts w:cstheme="minorHAnsi"/>
          <w:b/>
          <w:color w:val="000000" w:themeColor="text1"/>
          <w:lang w:val="fr-FR"/>
        </w:rPr>
        <w:t xml:space="preserve">mission </w:t>
      </w:r>
      <w:r w:rsidR="00164555" w:rsidRPr="004202D8">
        <w:rPr>
          <w:rFonts w:cstheme="minorHAnsi"/>
          <w:bCs/>
          <w:color w:val="000000" w:themeColor="text1"/>
          <w:lang w:val="fr-FR"/>
        </w:rPr>
        <w:t xml:space="preserve">: </w:t>
      </w:r>
      <w:r w:rsidR="00402CB5" w:rsidRPr="004202D8">
        <w:rPr>
          <w:rFonts w:cstheme="minorHAnsi"/>
          <w:bCs/>
          <w:color w:val="000000" w:themeColor="text1"/>
          <w:lang w:val="fr-FR"/>
        </w:rPr>
        <w:t>4</w:t>
      </w:r>
      <w:r w:rsidR="00880E75" w:rsidRPr="004202D8">
        <w:rPr>
          <w:rFonts w:cstheme="minorHAnsi"/>
          <w:bCs/>
          <w:color w:val="000000" w:themeColor="text1"/>
          <w:lang w:val="fr-FR"/>
        </w:rPr>
        <w:t xml:space="preserve"> mois/120 jours</w:t>
      </w:r>
      <w:r w:rsidR="004F3DB2" w:rsidRPr="004202D8">
        <w:rPr>
          <w:rFonts w:cstheme="minorHAnsi"/>
          <w:bCs/>
          <w:color w:val="000000" w:themeColor="text1"/>
          <w:lang w:val="fr-FR"/>
        </w:rPr>
        <w:t xml:space="preserve"> d’où </w:t>
      </w:r>
      <w:r w:rsidR="004F3DB2" w:rsidRPr="004202D8">
        <w:rPr>
          <w:rFonts w:eastAsia="Times New Roman" w:cstheme="majorHAnsi"/>
          <w:b/>
          <w:bCs/>
          <w:lang w:val="fr-FR"/>
        </w:rPr>
        <w:t>Première phase, travail à distance (home-based)</w:t>
      </w:r>
      <w:r w:rsidR="004F3DB2" w:rsidRPr="004202D8">
        <w:rPr>
          <w:rFonts w:eastAsia="Times New Roman" w:cstheme="majorHAnsi"/>
          <w:lang w:val="fr-FR"/>
        </w:rPr>
        <w:t> : 45 jours</w:t>
      </w:r>
      <w:r w:rsidR="00EB0719">
        <w:rPr>
          <w:rFonts w:eastAsia="Times New Roman" w:cstheme="majorHAnsi"/>
          <w:lang w:val="fr-FR"/>
        </w:rPr>
        <w:t>.</w:t>
      </w:r>
    </w:p>
    <w:p w:rsidR="00EB0719" w:rsidRPr="004202D8" w:rsidRDefault="00EB0719" w:rsidP="004F3DB2">
      <w:pPr>
        <w:spacing w:after="0"/>
        <w:jc w:val="both"/>
        <w:rPr>
          <w:rFonts w:eastAsia="Times New Roman" w:cstheme="majorHAnsi"/>
          <w:lang w:val="fr-FR"/>
        </w:rPr>
      </w:pPr>
    </w:p>
    <w:p w:rsidR="00D56C11" w:rsidRPr="004202D8" w:rsidRDefault="00D56C11" w:rsidP="00D56C11">
      <w:pPr>
        <w:spacing w:after="0" w:line="240" w:lineRule="auto"/>
        <w:jc w:val="both"/>
        <w:rPr>
          <w:rFonts w:eastAsia="Times New Roman" w:cstheme="minorHAnsi"/>
          <w:b/>
          <w:bCs/>
          <w:color w:val="000000" w:themeColor="text1"/>
          <w:lang w:val="fr-FR" w:eastAsia="rw-RW"/>
        </w:rPr>
      </w:pPr>
      <w:r w:rsidRPr="004202D8">
        <w:rPr>
          <w:rFonts w:eastAsia="Times New Roman" w:cstheme="minorHAnsi"/>
          <w:b/>
          <w:bCs/>
          <w:color w:val="000000" w:themeColor="text1"/>
          <w:lang w:val="fr-FR" w:eastAsia="rw-RW"/>
        </w:rPr>
        <w:t xml:space="preserve">Prière envoyer vos propositions (propositions technique et financière) dûment signées à l’adresse e-mail </w:t>
      </w:r>
      <w:r w:rsidR="00E26507" w:rsidRPr="004202D8">
        <w:rPr>
          <w:b/>
          <w:bCs/>
          <w:color w:val="000000" w:themeColor="text1"/>
          <w:lang w:val="fr-CD"/>
        </w:rPr>
        <w:t xml:space="preserve">: </w:t>
      </w:r>
      <w:hyperlink r:id="rId12" w:history="1">
        <w:r w:rsidR="00E26507" w:rsidRPr="004202D8">
          <w:rPr>
            <w:rStyle w:val="Lienhypertexte"/>
            <w:b/>
            <w:bCs/>
            <w:color w:val="000000" w:themeColor="text1"/>
            <w:lang w:val="fr-CD"/>
          </w:rPr>
          <w:t>ic.soumission.cd@undp.org</w:t>
        </w:r>
      </w:hyperlink>
      <w:r w:rsidR="003A7D2F" w:rsidRPr="004202D8">
        <w:rPr>
          <w:rFonts w:eastAsia="Times New Roman" w:cstheme="minorHAnsi"/>
          <w:b/>
          <w:bCs/>
          <w:color w:val="000000" w:themeColor="text1"/>
          <w:lang w:val="fr-FR" w:eastAsia="rw-RW"/>
        </w:rPr>
        <w:t>avec mention de la référence et intitulé du dossier « </w:t>
      </w:r>
      <w:r w:rsidR="00880E75" w:rsidRPr="004202D8">
        <w:rPr>
          <w:rFonts w:eastAsia="Times New Roman"/>
          <w:b/>
          <w:color w:val="000000" w:themeColor="text1"/>
          <w:lang w:val="fr-FR" w:eastAsia="rw-RW"/>
        </w:rPr>
        <w:t>03</w:t>
      </w:r>
      <w:r w:rsidR="00EB0719">
        <w:rPr>
          <w:rFonts w:eastAsia="Times New Roman"/>
          <w:b/>
          <w:color w:val="000000" w:themeColor="text1"/>
          <w:lang w:val="fr-FR" w:eastAsia="rw-RW"/>
        </w:rPr>
        <w:t>8</w:t>
      </w:r>
      <w:r w:rsidR="00880E75" w:rsidRPr="004202D8">
        <w:rPr>
          <w:rFonts w:eastAsia="Times New Roman"/>
          <w:b/>
          <w:color w:val="000000" w:themeColor="text1"/>
          <w:lang w:val="fr-FR" w:eastAsia="rw-RW"/>
        </w:rPr>
        <w:t xml:space="preserve">/IC-NAT-PNUD-UNHCR/2020 </w:t>
      </w:r>
      <w:r w:rsidR="003A7D2F" w:rsidRPr="004202D8">
        <w:rPr>
          <w:rFonts w:eastAsia="Times New Roman" w:cstheme="minorHAnsi"/>
          <w:b/>
          <w:bCs/>
          <w:color w:val="000000" w:themeColor="text1"/>
          <w:lang w:val="fr-FR" w:eastAsia="rw-RW"/>
        </w:rPr>
        <w:t xml:space="preserve">– </w:t>
      </w:r>
      <w:r w:rsidR="002E54A1" w:rsidRPr="004202D8">
        <w:rPr>
          <w:rFonts w:eastAsia="Times New Roman" w:cstheme="minorHAnsi"/>
          <w:b/>
          <w:bCs/>
          <w:color w:val="000000" w:themeColor="text1"/>
          <w:lang w:val="fr-FR" w:eastAsia="rw-RW"/>
        </w:rPr>
        <w:t xml:space="preserve">Projet </w:t>
      </w:r>
      <w:r w:rsidR="00880E75" w:rsidRPr="004202D8">
        <w:rPr>
          <w:rFonts w:eastAsia="Times New Roman" w:cstheme="minorHAnsi"/>
          <w:b/>
          <w:bCs/>
          <w:color w:val="000000" w:themeColor="text1"/>
          <w:lang w:val="fr-FR" w:eastAsia="rw-RW"/>
        </w:rPr>
        <w:t>conjoint PNUD-UNHCR</w:t>
      </w:r>
      <w:r w:rsidR="003A7D2F" w:rsidRPr="004202D8">
        <w:rPr>
          <w:rFonts w:eastAsia="Times New Roman" w:cstheme="minorHAnsi"/>
          <w:b/>
          <w:bCs/>
          <w:color w:val="000000" w:themeColor="text1"/>
          <w:lang w:val="fr-FR" w:eastAsia="rw-RW"/>
        </w:rPr>
        <w:t xml:space="preserve"> ». </w:t>
      </w:r>
      <w:r w:rsidR="003A7D2F" w:rsidRPr="004202D8">
        <w:rPr>
          <w:rFonts w:eastAsia="Times New Roman" w:cstheme="minorHAnsi"/>
          <w:b/>
          <w:bCs/>
          <w:color w:val="000000" w:themeColor="text1"/>
          <w:u w:val="single"/>
          <w:lang w:val="fr-FR" w:eastAsia="rw-RW"/>
        </w:rPr>
        <w:t>Veuillez noter qu´il est obligatoire d´indiquer cette référence dans l´objet du message. Les propositions transmises sans indiquer la référence correcte du dossier pourraient ne pas être prises en compte.</w:t>
      </w:r>
    </w:p>
    <w:p w:rsidR="00D56C11" w:rsidRPr="004202D8" w:rsidRDefault="00D56C11" w:rsidP="00D56C11">
      <w:pPr>
        <w:spacing w:after="0" w:line="240" w:lineRule="auto"/>
        <w:jc w:val="both"/>
        <w:rPr>
          <w:rFonts w:cstheme="minorHAnsi"/>
          <w:b/>
          <w:color w:val="000000" w:themeColor="text1"/>
          <w:lang w:val="fr-FR"/>
        </w:rPr>
      </w:pPr>
    </w:p>
    <w:p w:rsidR="00D56C11" w:rsidRPr="004202D8" w:rsidRDefault="00D56C11" w:rsidP="00D56C11">
      <w:pPr>
        <w:spacing w:after="0" w:line="240" w:lineRule="auto"/>
        <w:jc w:val="both"/>
        <w:rPr>
          <w:rFonts w:cstheme="minorHAnsi"/>
          <w:b/>
          <w:color w:val="000000" w:themeColor="text1"/>
          <w:u w:val="single"/>
          <w:lang w:val="fr-FR"/>
        </w:rPr>
      </w:pPr>
      <w:r w:rsidRPr="004202D8">
        <w:rPr>
          <w:rFonts w:cstheme="minorHAnsi"/>
          <w:b/>
          <w:color w:val="000000" w:themeColor="text1"/>
          <w:lang w:val="fr-FR"/>
        </w:rPr>
        <w:t>Votre proposition devra être reçue au plus tard le</w:t>
      </w:r>
      <w:r w:rsidR="00880E75" w:rsidRPr="004202D8">
        <w:rPr>
          <w:rFonts w:cstheme="minorHAnsi"/>
          <w:b/>
          <w:color w:val="000000" w:themeColor="text1"/>
          <w:lang w:val="fr-FR"/>
        </w:rPr>
        <w:t xml:space="preserve"> jeudi</w:t>
      </w:r>
      <w:r w:rsidR="009B7373" w:rsidRPr="004202D8">
        <w:rPr>
          <w:rFonts w:cstheme="minorHAnsi"/>
          <w:b/>
          <w:color w:val="000000" w:themeColor="text1"/>
          <w:u w:val="single"/>
          <w:lang w:val="fr-FR"/>
        </w:rPr>
        <w:t>2</w:t>
      </w:r>
      <w:r w:rsidR="00880E75" w:rsidRPr="004202D8">
        <w:rPr>
          <w:rFonts w:cstheme="minorHAnsi"/>
          <w:b/>
          <w:color w:val="000000" w:themeColor="text1"/>
          <w:u w:val="single"/>
          <w:lang w:val="fr-FR"/>
        </w:rPr>
        <w:t>3</w:t>
      </w:r>
      <w:r w:rsidR="00C16D93" w:rsidRPr="004202D8">
        <w:rPr>
          <w:rFonts w:cstheme="minorHAnsi"/>
          <w:b/>
          <w:color w:val="000000" w:themeColor="text1"/>
          <w:u w:val="single"/>
          <w:lang w:val="fr-FR"/>
        </w:rPr>
        <w:t xml:space="preserve"> juillet</w:t>
      </w:r>
      <w:r w:rsidR="00764FD8" w:rsidRPr="004202D8">
        <w:rPr>
          <w:rFonts w:cstheme="minorHAnsi"/>
          <w:b/>
          <w:color w:val="000000" w:themeColor="text1"/>
          <w:u w:val="single"/>
          <w:lang w:val="fr-FR"/>
        </w:rPr>
        <w:t xml:space="preserve"> 2020</w:t>
      </w:r>
      <w:r w:rsidRPr="004202D8">
        <w:rPr>
          <w:rFonts w:cstheme="minorHAnsi"/>
          <w:b/>
          <w:color w:val="000000" w:themeColor="text1"/>
          <w:u w:val="single"/>
          <w:lang w:val="fr-FR"/>
        </w:rPr>
        <w:t xml:space="preserve"> à </w:t>
      </w:r>
      <w:r w:rsidR="00764FD8" w:rsidRPr="004202D8">
        <w:rPr>
          <w:rFonts w:cstheme="minorHAnsi"/>
          <w:b/>
          <w:color w:val="000000" w:themeColor="text1"/>
          <w:u w:val="single"/>
          <w:lang w:val="fr-FR"/>
        </w:rPr>
        <w:t>1</w:t>
      </w:r>
      <w:r w:rsidR="002E54A1" w:rsidRPr="004202D8">
        <w:rPr>
          <w:rFonts w:cstheme="minorHAnsi"/>
          <w:b/>
          <w:color w:val="000000" w:themeColor="text1"/>
          <w:u w:val="single"/>
          <w:lang w:val="fr-FR"/>
        </w:rPr>
        <w:t>6</w:t>
      </w:r>
      <w:r w:rsidRPr="004202D8">
        <w:rPr>
          <w:rFonts w:cstheme="minorHAnsi"/>
          <w:b/>
          <w:color w:val="000000" w:themeColor="text1"/>
          <w:u w:val="single"/>
          <w:lang w:val="fr-FR"/>
        </w:rPr>
        <w:t xml:space="preserve"> heure</w:t>
      </w:r>
      <w:r w:rsidR="00526069" w:rsidRPr="004202D8">
        <w:rPr>
          <w:rFonts w:cstheme="minorHAnsi"/>
          <w:b/>
          <w:color w:val="000000" w:themeColor="text1"/>
          <w:u w:val="single"/>
          <w:lang w:val="fr-FR"/>
        </w:rPr>
        <w:t>s</w:t>
      </w:r>
      <w:r w:rsidRPr="004202D8">
        <w:rPr>
          <w:rFonts w:cstheme="minorHAnsi"/>
          <w:b/>
          <w:color w:val="000000" w:themeColor="text1"/>
          <w:u w:val="single"/>
          <w:lang w:val="fr-FR"/>
        </w:rPr>
        <w:t xml:space="preserve"> de </w:t>
      </w:r>
      <w:r w:rsidR="009A4FA9" w:rsidRPr="004202D8">
        <w:rPr>
          <w:rFonts w:cstheme="minorHAnsi"/>
          <w:b/>
          <w:color w:val="000000" w:themeColor="text1"/>
          <w:u w:val="single"/>
          <w:lang w:val="fr-FR"/>
        </w:rPr>
        <w:t>K</w:t>
      </w:r>
      <w:r w:rsidR="00D73823" w:rsidRPr="004202D8">
        <w:rPr>
          <w:rFonts w:cstheme="minorHAnsi"/>
          <w:b/>
          <w:color w:val="000000" w:themeColor="text1"/>
          <w:u w:val="single"/>
          <w:lang w:val="fr-FR"/>
        </w:rPr>
        <w:t>inshasa</w:t>
      </w:r>
    </w:p>
    <w:p w:rsidR="002E6AFF" w:rsidRPr="004202D8" w:rsidRDefault="002E6AFF" w:rsidP="002E6AFF">
      <w:pPr>
        <w:spacing w:after="0" w:line="240" w:lineRule="auto"/>
        <w:jc w:val="both"/>
        <w:rPr>
          <w:rFonts w:cstheme="minorHAnsi"/>
          <w:b/>
          <w:color w:val="000000" w:themeColor="text1"/>
          <w:lang w:val="fr-FR"/>
        </w:rPr>
      </w:pPr>
      <w:r w:rsidRPr="004202D8">
        <w:rPr>
          <w:rStyle w:val="lev"/>
          <w:rFonts w:cstheme="minorHAnsi"/>
          <w:color w:val="000000" w:themeColor="text1"/>
          <w:lang w:val="fr-FR"/>
        </w:rPr>
        <w:t>Toute offre soumise après ce délai sera automatiquement rejetée.</w:t>
      </w:r>
    </w:p>
    <w:p w:rsidR="00D56C11" w:rsidRPr="004202D8" w:rsidRDefault="00D56C11" w:rsidP="00D56C11">
      <w:pPr>
        <w:spacing w:after="0" w:line="240" w:lineRule="auto"/>
        <w:jc w:val="both"/>
        <w:rPr>
          <w:rFonts w:cstheme="minorHAnsi"/>
          <w:color w:val="000000" w:themeColor="text1"/>
          <w:lang w:val="fr-FR"/>
        </w:rPr>
      </w:pPr>
    </w:p>
    <w:p w:rsidR="00D56C11" w:rsidRPr="004202D8" w:rsidRDefault="00D56C11" w:rsidP="00D56C11">
      <w:pPr>
        <w:pStyle w:val="Retraitcorpsdetexte"/>
        <w:ind w:left="0"/>
        <w:jc w:val="both"/>
        <w:rPr>
          <w:rFonts w:asciiTheme="minorHAnsi" w:hAnsiTheme="minorHAnsi" w:cstheme="minorHAnsi"/>
          <w:color w:val="000000" w:themeColor="text1"/>
          <w:sz w:val="22"/>
          <w:szCs w:val="22"/>
        </w:rPr>
      </w:pPr>
      <w:r w:rsidRPr="004202D8">
        <w:rPr>
          <w:rFonts w:asciiTheme="minorHAnsi" w:hAnsiTheme="minorHAnsi" w:cstheme="minorHAnsi"/>
          <w:color w:val="000000" w:themeColor="text1"/>
          <w:sz w:val="22"/>
          <w:szCs w:val="22"/>
        </w:rPr>
        <w:t xml:space="preserve">N’hésitez pas à écrire à l’adresse </w:t>
      </w:r>
      <w:hyperlink r:id="rId13" w:history="1">
        <w:r w:rsidR="00211905" w:rsidRPr="004202D8">
          <w:rPr>
            <w:rStyle w:val="Lienhypertexte"/>
            <w:rFonts w:asciiTheme="minorHAnsi" w:hAnsiTheme="minorHAnsi" w:cstheme="minorHAnsi"/>
            <w:color w:val="000000" w:themeColor="text1"/>
            <w:sz w:val="22"/>
            <w:szCs w:val="22"/>
          </w:rPr>
          <w:t>soumission.info@undp.org</w:t>
        </w:r>
      </w:hyperlink>
      <w:r w:rsidRPr="004202D8">
        <w:rPr>
          <w:rFonts w:asciiTheme="minorHAnsi" w:hAnsiTheme="minorHAnsi" w:cstheme="minorHAnsi"/>
          <w:color w:val="000000" w:themeColor="text1"/>
          <w:sz w:val="22"/>
          <w:szCs w:val="22"/>
        </w:rPr>
        <w:t xml:space="preserve"> pour toute information complémentaire avant la date limite de dépôt des offres. </w:t>
      </w:r>
    </w:p>
    <w:p w:rsidR="00C037AE" w:rsidRPr="004202D8" w:rsidRDefault="00C037AE" w:rsidP="00D56C11">
      <w:pPr>
        <w:pStyle w:val="Retraitcorpsdetexte"/>
        <w:ind w:left="0"/>
        <w:jc w:val="both"/>
        <w:rPr>
          <w:rFonts w:asciiTheme="minorHAnsi" w:hAnsiTheme="minorHAnsi" w:cstheme="minorHAnsi"/>
          <w:color w:val="00B0F0"/>
          <w:sz w:val="22"/>
          <w:szCs w:val="22"/>
        </w:rPr>
      </w:pPr>
    </w:p>
    <w:p w:rsidR="00C037AE" w:rsidRPr="004202D8" w:rsidRDefault="00C037AE" w:rsidP="00C037AE">
      <w:pPr>
        <w:pStyle w:val="Retraitcorpsdetexte"/>
        <w:ind w:left="0"/>
        <w:rPr>
          <w:rFonts w:asciiTheme="minorHAnsi" w:hAnsiTheme="minorHAnsi"/>
          <w:b/>
          <w:color w:val="70AD47"/>
          <w:sz w:val="22"/>
          <w:szCs w:val="22"/>
        </w:rPr>
      </w:pPr>
      <w:r w:rsidRPr="004202D8">
        <w:rPr>
          <w:rFonts w:asciiTheme="minorHAnsi" w:hAnsiTheme="minorHAnsi"/>
          <w:b/>
          <w:color w:val="FF0000"/>
          <w:sz w:val="22"/>
          <w:szCs w:val="22"/>
          <w:u w:val="single"/>
        </w:rPr>
        <w:t>Les candidatures féminines sont vivement encouragées</w:t>
      </w:r>
      <w:r w:rsidRPr="004202D8">
        <w:rPr>
          <w:rFonts w:asciiTheme="minorHAnsi" w:hAnsiTheme="minorHAnsi"/>
          <w:b/>
          <w:color w:val="70AD47"/>
          <w:sz w:val="22"/>
          <w:szCs w:val="22"/>
        </w:rPr>
        <w:t>.</w:t>
      </w:r>
    </w:p>
    <w:p w:rsidR="00D56C11" w:rsidRPr="004202D8" w:rsidRDefault="00D56C11" w:rsidP="00D56C11">
      <w:pPr>
        <w:spacing w:after="0" w:line="240" w:lineRule="auto"/>
        <w:jc w:val="both"/>
        <w:rPr>
          <w:rFonts w:cstheme="minorHAnsi"/>
          <w:b/>
          <w:color w:val="00B0F0"/>
          <w:u w:val="single"/>
          <w:lang w:val="fr-FR"/>
        </w:rPr>
      </w:pPr>
    </w:p>
    <w:p w:rsidR="009E2B22" w:rsidRPr="004202D8" w:rsidRDefault="003500EF" w:rsidP="009E2B22">
      <w:pPr>
        <w:tabs>
          <w:tab w:val="left" w:pos="1410"/>
        </w:tabs>
        <w:rPr>
          <w:rFonts w:cstheme="minorHAnsi"/>
          <w:color w:val="000000" w:themeColor="text1"/>
          <w:lang w:val="fr-FR"/>
        </w:rPr>
      </w:pPr>
      <w:r>
        <w:rPr>
          <w:rFonts w:cstheme="minorHAnsi"/>
          <w:noProof/>
          <w:color w:val="000000" w:themeColor="text1"/>
          <w:lang w:val="fr-FR" w:eastAsia="fr-FR"/>
        </w:rPr>
        <w:pict>
          <v:shape id="AutoShape 4" o:spid="_x0000_s1029" type="#_x0000_t32" style="position:absolute;margin-left:-.75pt;margin-top:8.55pt;width:522.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LfIAIAADw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" strokecolor="blue" strokeweight="4.5pt"/>
        </w:pict>
      </w:r>
    </w:p>
    <w:p w:rsidR="0051337F" w:rsidRPr="004202D8" w:rsidRDefault="0051337F" w:rsidP="009E2B22">
      <w:pPr>
        <w:tabs>
          <w:tab w:val="left" w:pos="1410"/>
        </w:tabs>
        <w:rPr>
          <w:rFonts w:cstheme="minorHAnsi"/>
          <w:b/>
          <w:color w:val="000000" w:themeColor="text1"/>
          <w:u w:val="single"/>
          <w:lang w:val="fr-FR"/>
        </w:rPr>
      </w:pPr>
    </w:p>
    <w:p w:rsidR="00880E75" w:rsidRPr="004202D8" w:rsidRDefault="00880E75" w:rsidP="000D682F">
      <w:pPr>
        <w:tabs>
          <w:tab w:val="left" w:pos="3537"/>
        </w:tabs>
        <w:rPr>
          <w:rFonts w:cstheme="minorHAnsi"/>
          <w:b/>
          <w:color w:val="000000" w:themeColor="text1"/>
          <w:u w:val="single"/>
          <w:lang w:val="fr-FR"/>
        </w:rPr>
      </w:pPr>
    </w:p>
    <w:p w:rsidR="00880E75" w:rsidRPr="004202D8" w:rsidRDefault="00880E75" w:rsidP="000D682F">
      <w:pPr>
        <w:tabs>
          <w:tab w:val="left" w:pos="3537"/>
        </w:tabs>
        <w:rPr>
          <w:rFonts w:cstheme="minorHAnsi"/>
          <w:b/>
          <w:color w:val="000000" w:themeColor="text1"/>
          <w:u w:val="single"/>
          <w:lang w:val="fr-FR"/>
        </w:rPr>
      </w:pPr>
    </w:p>
    <w:p w:rsidR="0051337F" w:rsidRPr="004202D8" w:rsidRDefault="000D682F" w:rsidP="000D682F">
      <w:pPr>
        <w:tabs>
          <w:tab w:val="left" w:pos="3537"/>
        </w:tabs>
        <w:rPr>
          <w:rFonts w:cstheme="minorHAnsi"/>
          <w:b/>
          <w:color w:val="000000" w:themeColor="text1"/>
          <w:u w:val="single"/>
          <w:lang w:val="fr-FR"/>
        </w:rPr>
      </w:pPr>
      <w:r w:rsidRPr="004202D8">
        <w:rPr>
          <w:rFonts w:cstheme="minorHAnsi"/>
          <w:b/>
          <w:color w:val="000000" w:themeColor="text1"/>
          <w:u w:val="single"/>
          <w:lang w:val="fr-FR"/>
        </w:rPr>
        <w:tab/>
      </w:r>
    </w:p>
    <w:p w:rsidR="009E2B22" w:rsidRPr="004202D8" w:rsidRDefault="009E2B22" w:rsidP="009E2B22">
      <w:pPr>
        <w:tabs>
          <w:tab w:val="left" w:pos="1410"/>
        </w:tabs>
        <w:rPr>
          <w:rFonts w:cstheme="minorHAnsi"/>
          <w:b/>
          <w:color w:val="000000" w:themeColor="text1"/>
          <w:u w:val="single"/>
          <w:lang w:val="fr-FR"/>
        </w:rPr>
      </w:pPr>
      <w:r w:rsidRPr="004202D8">
        <w:rPr>
          <w:rFonts w:cstheme="minorHAnsi"/>
          <w:b/>
          <w:color w:val="000000" w:themeColor="text1"/>
          <w:u w:val="single"/>
          <w:lang w:val="fr-FR"/>
        </w:rPr>
        <w:t xml:space="preserve">1. </w:t>
      </w:r>
      <w:r w:rsidR="00213A46" w:rsidRPr="004202D8">
        <w:rPr>
          <w:rFonts w:cstheme="minorHAnsi"/>
          <w:b/>
          <w:color w:val="000000" w:themeColor="text1"/>
          <w:u w:val="single"/>
          <w:lang w:val="fr-FR"/>
        </w:rPr>
        <w:t xml:space="preserve">Contexte </w:t>
      </w:r>
      <w:r w:rsidR="00875DF3" w:rsidRPr="004202D8">
        <w:rPr>
          <w:rFonts w:cstheme="minorHAnsi"/>
          <w:b/>
          <w:color w:val="000000" w:themeColor="text1"/>
          <w:u w:val="single"/>
          <w:lang w:val="fr-FR"/>
        </w:rPr>
        <w:t>et Justification</w:t>
      </w:r>
    </w:p>
    <w:p w:rsidR="0051337F" w:rsidRPr="004202D8" w:rsidRDefault="0051337F" w:rsidP="0051337F">
      <w:pPr>
        <w:tabs>
          <w:tab w:val="left" w:pos="3099"/>
        </w:tabs>
        <w:rPr>
          <w:rFonts w:cstheme="minorHAnsi"/>
          <w:lang w:val="fr-FR"/>
        </w:rPr>
      </w:pPr>
      <w:r w:rsidRPr="004202D8">
        <w:rPr>
          <w:rFonts w:cstheme="minorHAnsi"/>
          <w:lang w:val="fr-FR"/>
        </w:rPr>
        <w:tab/>
      </w:r>
    </w:p>
    <w:tbl>
      <w:tblPr>
        <w:tblStyle w:val="Grilledutableau"/>
        <w:tblW w:w="0" w:type="auto"/>
        <w:tblLook w:val="04A0"/>
      </w:tblPr>
      <w:tblGrid>
        <w:gridCol w:w="9350"/>
      </w:tblGrid>
      <w:tr w:rsidR="004F20E7" w:rsidRPr="004B2900" w:rsidTr="00174B83">
        <w:tc>
          <w:tcPr>
            <w:tcW w:w="9350" w:type="dxa"/>
          </w:tcPr>
          <w:p w:rsidR="00880E75" w:rsidRPr="004202D8" w:rsidRDefault="00880E75" w:rsidP="00880E75">
            <w:pPr>
              <w:spacing w:line="276" w:lineRule="auto"/>
              <w:jc w:val="both"/>
              <w:rPr>
                <w:rFonts w:eastAsia="Times New Roman" w:cstheme="majorHAnsi"/>
                <w:lang w:val="fr-FR"/>
              </w:rPr>
            </w:pPr>
            <w:r w:rsidRPr="004202D8">
              <w:rPr>
                <w:rFonts w:eastAsia="Times New Roman" w:cstheme="majorHAnsi"/>
                <w:lang w:val="fr-FR"/>
              </w:rPr>
              <w:lastRenderedPageBreak/>
              <w:t xml:space="preserve">Depuis 25 ans, la République Démocratique du Congo (RDC) connait une des situations humanitaires les plus complexes. Le Nord-Kivu et la province du Haut-Uélé sont des zones qui accueillent de nombreux réfugiés, rapatriés et déplacés internes. La province du Haut-Uélé a accueilli 51,473 réfugiés Sud-Soudanais alors que l’activisme de plusieurs milices et groupes armés à travers la province du Nord-Kivu est la cause du déplacement interne d’environ 9,894 personnes. </w:t>
            </w:r>
          </w:p>
          <w:p w:rsidR="00880E75" w:rsidRPr="004202D8" w:rsidRDefault="00880E75" w:rsidP="00880E75">
            <w:pPr>
              <w:spacing w:line="276" w:lineRule="auto"/>
              <w:jc w:val="both"/>
              <w:rPr>
                <w:rFonts w:eastAsia="Times New Roman" w:cstheme="majorHAnsi"/>
                <w:lang w:val="fr-FR"/>
              </w:rPr>
            </w:pPr>
          </w:p>
          <w:p w:rsidR="00880E75" w:rsidRPr="004202D8" w:rsidRDefault="00880E75" w:rsidP="00880E75">
            <w:pPr>
              <w:spacing w:line="276" w:lineRule="auto"/>
              <w:jc w:val="both"/>
              <w:rPr>
                <w:rFonts w:eastAsia="Times New Roman" w:cstheme="majorHAnsi"/>
                <w:lang w:val="fr-FR"/>
              </w:rPr>
            </w:pPr>
            <w:r w:rsidRPr="004202D8">
              <w:rPr>
                <w:rFonts w:eastAsia="Times New Roman" w:cstheme="majorHAnsi"/>
                <w:lang w:val="fr-FR"/>
              </w:rPr>
              <w:t xml:space="preserve">De nombreuses organisations nationales et internationales installées principalement à l’Est mettent en œuvre diverses interventions humanitaires ; cependant les approches adoptées ont créé une certaine dépendance des communautés à l’assistance humanitaire fournie. En effet, les interventions humanitaires ne s’attaquent pas aux causes structurelles des conflits. Certains déficits au niveau de la gouvernance locale et des institutions étatiques contribuent à la pérennisation d’une situation humanitaire particulièrement préoccupante et de cycles de violence récurrents. Les interventions en matière de développement et de stabilisation demeurent encore très limitées. Un gap criant dans la coordination des interventions humanitaires, de développement et de paix ne facilite pas l’établissement d’un continuum des approches et l’adoption de solutions durables au bénéfice des communautés. </w:t>
            </w:r>
          </w:p>
          <w:p w:rsidR="00880E75" w:rsidRPr="004202D8" w:rsidRDefault="00880E75" w:rsidP="00880E75">
            <w:pPr>
              <w:spacing w:line="276" w:lineRule="auto"/>
              <w:jc w:val="both"/>
              <w:rPr>
                <w:rFonts w:eastAsia="Times New Roman" w:cstheme="majorHAnsi"/>
                <w:lang w:val="fr-FR"/>
              </w:rPr>
            </w:pPr>
          </w:p>
          <w:p w:rsidR="00880E75" w:rsidRPr="004202D8" w:rsidRDefault="00880E75" w:rsidP="00880E75">
            <w:pPr>
              <w:spacing w:line="276" w:lineRule="auto"/>
              <w:jc w:val="both"/>
              <w:rPr>
                <w:rFonts w:eastAsia="Times New Roman" w:cstheme="majorHAnsi"/>
                <w:lang w:val="fr-FR"/>
              </w:rPr>
            </w:pPr>
            <w:r w:rsidRPr="004202D8">
              <w:rPr>
                <w:rFonts w:eastAsia="Times New Roman" w:cstheme="majorHAnsi"/>
                <w:lang w:val="fr-FR"/>
              </w:rPr>
              <w:t xml:space="preserve">En effet, depuis la fin de la guerre civile en 2003, des poches d’insécurité persistent à travers les territoires et sont à l’origine et continuent de provoquer d'importants déplacements des populations vers les localités voisines et/ou les pays voisins. Les communautés d’accueil déjà fragilisées par la récurrence des conflits deviennent d’autant plus vulnérables avec l’arrivée et l’accueil de réfugiés et de déplacés internes. Les communautés sont, le plus souvent, les premiers répondants face aux urgences humanitaires et les solutions aux déplacements chroniques proviennent presque toujours des communautés. Ainsi, ces communautés ont développé des mécanismes de solidarité et d’auto- prise en charge des mouvements de population dans une perspective d’absorption des crises. Des mécanismes d’entraide existent et permettent aux communautés de faire face aux chocs répétés. Dans ce contexte de déplacement et de crises cycliques, la réponse rapide humanitaire s’est avérée insuffisante. </w:t>
            </w:r>
          </w:p>
          <w:p w:rsidR="00880E75" w:rsidRPr="004202D8" w:rsidRDefault="00880E75" w:rsidP="00880E75">
            <w:pPr>
              <w:spacing w:line="276" w:lineRule="auto"/>
              <w:jc w:val="both"/>
              <w:rPr>
                <w:rFonts w:eastAsia="Times New Roman" w:cstheme="majorHAnsi"/>
                <w:lang w:val="fr-FR"/>
              </w:rPr>
            </w:pPr>
          </w:p>
          <w:p w:rsidR="00880E75" w:rsidRPr="004202D8" w:rsidRDefault="00880E75" w:rsidP="00880E75">
            <w:pPr>
              <w:spacing w:line="276" w:lineRule="auto"/>
              <w:jc w:val="both"/>
              <w:rPr>
                <w:rFonts w:eastAsia="Times New Roman" w:cstheme="majorHAnsi"/>
                <w:lang w:val="fr-FR"/>
              </w:rPr>
            </w:pPr>
            <w:r w:rsidRPr="004202D8">
              <w:rPr>
                <w:rFonts w:eastAsia="Times New Roman" w:cstheme="majorHAnsi"/>
                <w:lang w:val="fr-FR"/>
              </w:rPr>
              <w:t xml:space="preserve">En réponse à cet état des choses, UNHCR et le PNUD ont entrepris des réflexions pour une programmation conjointe afin de promouvoir des solutions susceptibles de concourir à adresser efficacement les problèmes de développement en tenant compte des populations réfugiées et déplacées en République Démocratique du Congo. </w:t>
            </w:r>
          </w:p>
          <w:p w:rsidR="00880E75" w:rsidRPr="004202D8" w:rsidRDefault="00880E75" w:rsidP="00880E75">
            <w:pPr>
              <w:spacing w:line="276" w:lineRule="auto"/>
              <w:jc w:val="both"/>
              <w:rPr>
                <w:rFonts w:eastAsia="Times New Roman" w:cstheme="majorHAnsi"/>
                <w:lang w:val="fr-FR"/>
              </w:rPr>
            </w:pPr>
          </w:p>
          <w:p w:rsidR="00880E75" w:rsidRPr="004202D8" w:rsidRDefault="00880E75" w:rsidP="00880E75">
            <w:pPr>
              <w:spacing w:line="276" w:lineRule="auto"/>
              <w:jc w:val="both"/>
              <w:rPr>
                <w:rFonts w:eastAsia="Times New Roman" w:cstheme="majorHAnsi"/>
                <w:lang w:val="fr-FR"/>
              </w:rPr>
            </w:pPr>
            <w:r w:rsidRPr="004202D8">
              <w:rPr>
                <w:rFonts w:eastAsia="Times New Roman" w:cstheme="majorHAnsi"/>
                <w:lang w:val="fr-FR"/>
              </w:rPr>
              <w:t xml:space="preserve">Un document conjoint identifiant les axes de programmation potentiels sur lesquels les deux organisations pourraient s’engager a été produit. Parmi ces axes figurent (1) la mise en œuvre des ODD en ce qui concerne «ne laisser personne de côté», y compris le plaidoyer pour l'inclusion des réfugiés et des personnes déplacées dans les programmes de développement nationaux et locaux; (2) la protection, y compris des programmes sur l'Etat de droit concernant l'accès à la justice, des services </w:t>
            </w:r>
            <w:r w:rsidRPr="004202D8">
              <w:rPr>
                <w:rFonts w:eastAsia="Times New Roman" w:cstheme="majorHAnsi"/>
                <w:lang w:val="fr-FR"/>
              </w:rPr>
              <w:lastRenderedPageBreak/>
              <w:t>de police axés sur la communauté et un soutien aux registres civil, foncier et à d'autres fonctions clés pour mieux répondre aux priorités de protection et aux solutions durables; (3) le travail analytique conjoint sur les situations de déplacement prolongées (analyse conjointe); (4) les programmes ciblés de relèvement rapide, de moyens de subsistance et développement économique local, (5) l’investissement dans l'alerte précoce et la réponse aux crises et (6) l’appui à la gouvernance locale et le renforcement des administrations locales afin de leur permettre d’améliorer la livraison de service et coordonner les actions humanitaires, de stabilisation et du développement dans le cadre du continuum.</w:t>
            </w:r>
          </w:p>
          <w:p w:rsidR="00880E75" w:rsidRPr="004202D8" w:rsidRDefault="00880E75" w:rsidP="00880E75">
            <w:pPr>
              <w:spacing w:line="276" w:lineRule="auto"/>
              <w:jc w:val="both"/>
              <w:rPr>
                <w:rFonts w:eastAsia="Times New Roman" w:cstheme="majorHAnsi"/>
                <w:lang w:val="fr-FR"/>
              </w:rPr>
            </w:pPr>
          </w:p>
          <w:p w:rsidR="00880E75" w:rsidRPr="004202D8" w:rsidRDefault="00880E75" w:rsidP="00880E75">
            <w:pPr>
              <w:spacing w:line="276" w:lineRule="auto"/>
              <w:jc w:val="both"/>
              <w:rPr>
                <w:rFonts w:eastAsia="Times New Roman" w:cstheme="majorHAnsi"/>
                <w:lang w:val="fr-FR"/>
              </w:rPr>
            </w:pPr>
            <w:r w:rsidRPr="004202D8">
              <w:rPr>
                <w:rFonts w:eastAsia="Times New Roman" w:cstheme="majorHAnsi"/>
                <w:lang w:val="fr-FR"/>
              </w:rPr>
              <w:t xml:space="preserve">C’est dans ce cadre que deux missions d’évaluations conjointes de besoins UNHCR/PNUD ont été organisées au Nord-Kivu et dans l’Ituri pour mieux comprendre les différents problèmes auxquels les réfugiés/déplacés internes et retournés sont confrontés, évaluer les capacités des autorités décentralisées et déconcentrées à intégrer ces dynamiques/mouvements de populations dans leur planification de développement local et leur programmation de livraison des services sociaux de base. Elles ont également permis d’identifier les interventions prioritaires à mettre en œuvre afin de répondre aux besoins immédiats des populations (réfugiés, déplacés internes, communautés d’accueil et personnes vulnérables parmi elles --voire femmes/filles victimes, enfants, personnes âgées, personnes vivant avec un handicap, etc.) et aux défis du développement et de gouvernance dans les localités ciblées. </w:t>
            </w:r>
          </w:p>
          <w:p w:rsidR="00880E75" w:rsidRPr="004202D8" w:rsidRDefault="00880E75" w:rsidP="00880E75">
            <w:pPr>
              <w:spacing w:line="276" w:lineRule="auto"/>
              <w:jc w:val="both"/>
              <w:rPr>
                <w:rFonts w:eastAsia="Times New Roman" w:cstheme="majorHAnsi"/>
                <w:lang w:val="fr-FR"/>
              </w:rPr>
            </w:pPr>
          </w:p>
          <w:p w:rsidR="00880E75" w:rsidRPr="004202D8" w:rsidRDefault="00880E75" w:rsidP="00880E75">
            <w:pPr>
              <w:spacing w:line="276" w:lineRule="auto"/>
              <w:jc w:val="both"/>
              <w:rPr>
                <w:rFonts w:eastAsia="Times New Roman" w:cstheme="majorHAnsi"/>
                <w:lang w:val="fr-FR"/>
              </w:rPr>
            </w:pPr>
            <w:r w:rsidRPr="004202D8">
              <w:rPr>
                <w:rFonts w:eastAsia="Times New Roman" w:cstheme="majorHAnsi"/>
                <w:lang w:val="fr-FR"/>
              </w:rPr>
              <w:t>De manière transversale, ces missions ont permis d’identifier différents secteurs d’intervention et domaines prioritaires de collaboration entre le PNUD et UNHCR qui font l’objet du « </w:t>
            </w:r>
            <w:r w:rsidRPr="004202D8">
              <w:rPr>
                <w:rFonts w:eastAsia="Times New Roman" w:cstheme="majorHAnsi"/>
                <w:b/>
                <w:bCs/>
                <w:lang w:val="fr-FR"/>
              </w:rPr>
              <w:t>Programme conjoint d’appui à la gouvernance locale et le développement dans les zones d'accueil des réfugiés de la RDC</w:t>
            </w:r>
            <w:r w:rsidRPr="004202D8">
              <w:rPr>
                <w:rFonts w:eastAsia="Times New Roman" w:cstheme="majorHAnsi"/>
                <w:lang w:val="fr-FR"/>
              </w:rPr>
              <w:t> » pour lequel un consultant va être recruté. Ce projet a justement pour ambition de matérialiser et renforcer les synergies et opportunités de collaboration entre les interventions humanitaires et de développement dans l’objectif de répondre efficacement et durablement aux défis de la gouvernance locale, du renforcement de l’Etat de droit et de la sécurité dans les zones faisant face à des mouvements de population chronique.</w:t>
            </w:r>
          </w:p>
          <w:p w:rsidR="00880E75" w:rsidRPr="004202D8" w:rsidRDefault="00880E75" w:rsidP="00880E75">
            <w:pPr>
              <w:spacing w:line="276" w:lineRule="auto"/>
              <w:jc w:val="both"/>
              <w:rPr>
                <w:rFonts w:eastAsia="Times New Roman" w:cstheme="majorHAnsi"/>
                <w:b/>
                <w:lang w:val="fr-FR"/>
              </w:rPr>
            </w:pPr>
          </w:p>
          <w:p w:rsidR="00880E75" w:rsidRPr="004202D8" w:rsidRDefault="00880E75" w:rsidP="00880E75">
            <w:pPr>
              <w:spacing w:line="276" w:lineRule="auto"/>
              <w:jc w:val="both"/>
              <w:rPr>
                <w:rFonts w:eastAsia="Times New Roman" w:cstheme="majorHAnsi"/>
                <w:b/>
                <w:lang w:val="fr-FR"/>
              </w:rPr>
            </w:pPr>
            <w:r w:rsidRPr="004202D8">
              <w:rPr>
                <w:rFonts w:eastAsia="Times New Roman" w:cstheme="majorHAnsi"/>
                <w:b/>
                <w:lang w:val="fr-FR"/>
              </w:rPr>
              <w:t xml:space="preserve">Sous la coordination du Team Leader et de la coordinatrice du pilier 1 et la supervision directe de l’analyste au programme ayant les questions de la décentralisation et gouvernance locale en collaboration avec le chef de bureau de terrain et le chargé de programme Bureau de terrain de Goma, le consultant sera chargé d’assurer la gestion quotidienne des activités du programme et de rapporter sur les résultats réalisés. </w:t>
            </w:r>
          </w:p>
          <w:p w:rsidR="00880E75" w:rsidRPr="004202D8" w:rsidRDefault="00880E75" w:rsidP="00880E75">
            <w:pPr>
              <w:spacing w:line="276" w:lineRule="auto"/>
              <w:jc w:val="both"/>
              <w:rPr>
                <w:rFonts w:eastAsia="Times New Roman" w:cstheme="majorHAnsi"/>
                <w:b/>
                <w:lang w:val="fr-FR"/>
              </w:rPr>
            </w:pPr>
          </w:p>
          <w:p w:rsidR="003F640F" w:rsidRPr="004202D8" w:rsidRDefault="00880E75" w:rsidP="00356381">
            <w:pPr>
              <w:jc w:val="both"/>
              <w:rPr>
                <w:rFonts w:eastAsia="Calibri"/>
                <w:lang w:val="fr-FR"/>
              </w:rPr>
            </w:pPr>
            <w:r w:rsidRPr="004202D8">
              <w:rPr>
                <w:rFonts w:eastAsia="Times New Roman" w:cstheme="majorHAnsi"/>
                <w:b/>
                <w:lang w:val="fr-FR"/>
              </w:rPr>
              <w:t>Le consultant aura en outre la responsabilité de superviser et diriger le personnel d’appui ainsi que les ressources mis à sa disposition pour la réalisation spécifique. Il travaille en collaboration étroite avec l’équipe d’appui à la gestion et au développement des programmes des tâches et des opérations du PNUD, le personnel de programme de UNHCR (agence partenaire au programme) et des autres agences du Système des Nations Unies</w:t>
            </w:r>
          </w:p>
        </w:tc>
      </w:tr>
    </w:tbl>
    <w:p w:rsidR="00E215EC" w:rsidRPr="004202D8" w:rsidRDefault="00E215EC" w:rsidP="00BF6263">
      <w:pPr>
        <w:rPr>
          <w:rFonts w:cstheme="minorHAnsi"/>
          <w:b/>
          <w:color w:val="000000" w:themeColor="text1"/>
          <w:u w:val="single"/>
          <w:lang w:val="fr-FR"/>
        </w:rPr>
      </w:pPr>
    </w:p>
    <w:p w:rsidR="00E215EC" w:rsidRPr="004202D8" w:rsidRDefault="00BF6263" w:rsidP="00BF6263">
      <w:pPr>
        <w:rPr>
          <w:rFonts w:cstheme="minorHAnsi"/>
          <w:b/>
          <w:color w:val="000000" w:themeColor="text1"/>
          <w:u w:val="single"/>
          <w:lang w:val="fr-FR"/>
        </w:rPr>
      </w:pPr>
      <w:r w:rsidRPr="004202D8">
        <w:rPr>
          <w:rFonts w:cstheme="minorHAnsi"/>
          <w:b/>
          <w:color w:val="000000" w:themeColor="text1"/>
          <w:u w:val="single"/>
          <w:lang w:val="fr-FR"/>
        </w:rPr>
        <w:t xml:space="preserve">3. </w:t>
      </w:r>
      <w:r w:rsidR="008E10A2" w:rsidRPr="004202D8">
        <w:rPr>
          <w:rFonts w:cstheme="minorHAnsi"/>
          <w:b/>
          <w:color w:val="000000" w:themeColor="text1"/>
          <w:u w:val="single"/>
          <w:lang w:val="fr-FR"/>
        </w:rPr>
        <w:t>R</w:t>
      </w:r>
      <w:r w:rsidR="00EC2E68" w:rsidRPr="004202D8">
        <w:rPr>
          <w:rFonts w:cstheme="minorHAnsi"/>
          <w:b/>
          <w:color w:val="000000" w:themeColor="text1"/>
          <w:u w:val="single"/>
          <w:lang w:val="fr-FR"/>
        </w:rPr>
        <w:t>esponsabilités du consultant, r</w:t>
      </w:r>
      <w:r w:rsidR="008E10A2" w:rsidRPr="004202D8">
        <w:rPr>
          <w:rFonts w:cstheme="minorHAnsi"/>
          <w:b/>
          <w:color w:val="000000" w:themeColor="text1"/>
          <w:u w:val="single"/>
          <w:lang w:val="fr-FR"/>
        </w:rPr>
        <w:t>ésultats</w:t>
      </w:r>
      <w:r w:rsidR="00875DF3" w:rsidRPr="004202D8">
        <w:rPr>
          <w:rFonts w:cstheme="minorHAnsi"/>
          <w:b/>
          <w:color w:val="000000" w:themeColor="text1"/>
          <w:u w:val="single"/>
          <w:lang w:val="fr-FR"/>
        </w:rPr>
        <w:t xml:space="preserve"> attendus,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355"/>
      </w:tblGrid>
      <w:tr w:rsidR="00E215EC" w:rsidRPr="004202D8" w:rsidTr="00E215EC">
        <w:trPr>
          <w:trHeight w:val="309"/>
        </w:trPr>
        <w:tc>
          <w:tcPr>
            <w:tcW w:w="9355" w:type="dxa"/>
            <w:tcBorders>
              <w:bottom w:val="nil"/>
            </w:tcBorders>
            <w:shd w:val="clear" w:color="auto" w:fill="E0E0E0"/>
          </w:tcPr>
          <w:p w:rsidR="00E215EC" w:rsidRPr="004202D8" w:rsidRDefault="00E215EC" w:rsidP="009435AF">
            <w:pPr>
              <w:spacing w:after="0"/>
              <w:ind w:left="284"/>
              <w:contextualSpacing/>
              <w:jc w:val="both"/>
              <w:rPr>
                <w:rFonts w:eastAsia="Times New Roman" w:cstheme="majorHAnsi"/>
                <w:lang w:val="fr-FR"/>
              </w:rPr>
            </w:pPr>
            <w:r w:rsidRPr="004202D8">
              <w:rPr>
                <w:rFonts w:eastAsia="Times New Roman" w:cstheme="majorHAnsi"/>
                <w:b/>
                <w:bCs/>
                <w:lang w:val="fr-FR"/>
              </w:rPr>
              <w:t>A/ Gestion de programme</w:t>
            </w:r>
          </w:p>
        </w:tc>
      </w:tr>
      <w:tr w:rsidR="00E215EC" w:rsidRPr="004B2900" w:rsidTr="00E215EC">
        <w:tc>
          <w:tcPr>
            <w:tcW w:w="9355" w:type="dxa"/>
            <w:tcBorders>
              <w:top w:val="nil"/>
            </w:tcBorders>
            <w:shd w:val="clear" w:color="auto" w:fill="auto"/>
          </w:tcPr>
          <w:p w:rsidR="00E215EC" w:rsidRPr="004202D8" w:rsidRDefault="00E215EC" w:rsidP="009435AF">
            <w:pPr>
              <w:spacing w:after="0"/>
              <w:contextualSpacing/>
              <w:jc w:val="both"/>
              <w:rPr>
                <w:rFonts w:eastAsia="Times New Roman" w:cstheme="majorHAnsi"/>
                <w:lang w:val="fr-FR"/>
              </w:rPr>
            </w:pPr>
          </w:p>
          <w:p w:rsidR="00E215EC" w:rsidRPr="004202D8" w:rsidRDefault="00E215EC" w:rsidP="009435AF">
            <w:pPr>
              <w:spacing w:after="0"/>
              <w:contextualSpacing/>
              <w:jc w:val="both"/>
              <w:rPr>
                <w:rFonts w:eastAsia="Times New Roman" w:cstheme="majorHAnsi"/>
                <w:lang w:val="fr-FR"/>
              </w:rPr>
            </w:pPr>
            <w:r w:rsidRPr="004202D8">
              <w:rPr>
                <w:rFonts w:eastAsia="Times New Roman" w:cstheme="majorHAnsi"/>
                <w:lang w:val="fr-FR"/>
              </w:rPr>
              <w:t>Vu le contexte actuel caractérisé par la crise dû au COVID-19, la présente mission va se dérouler en deux phases notamment la phase de travail à distance (home-based) et la phase de visite de terrain dès que les conditions sanitaires le permettront.</w:t>
            </w:r>
          </w:p>
          <w:p w:rsidR="00E215EC" w:rsidRPr="004202D8" w:rsidRDefault="00E215EC" w:rsidP="009435AF">
            <w:pPr>
              <w:spacing w:after="0"/>
              <w:jc w:val="both"/>
              <w:rPr>
                <w:rFonts w:eastAsia="Times New Roman" w:cstheme="majorHAnsi"/>
                <w:lang w:val="fr-FR"/>
              </w:rPr>
            </w:pPr>
          </w:p>
          <w:p w:rsidR="00E215EC" w:rsidRPr="004202D8" w:rsidRDefault="00E215EC" w:rsidP="009435AF">
            <w:pPr>
              <w:pStyle w:val="Paragraphedeliste"/>
              <w:numPr>
                <w:ilvl w:val="0"/>
                <w:numId w:val="14"/>
              </w:numPr>
              <w:spacing w:after="0"/>
              <w:jc w:val="both"/>
              <w:rPr>
                <w:rFonts w:eastAsia="Times New Roman" w:cstheme="majorHAnsi"/>
                <w:lang w:val="fr-FR"/>
              </w:rPr>
            </w:pPr>
            <w:bookmarkStart w:id="11" w:name="_Hlk45122097"/>
            <w:r w:rsidRPr="004202D8">
              <w:rPr>
                <w:rFonts w:eastAsia="Times New Roman" w:cstheme="majorHAnsi"/>
                <w:b/>
                <w:bCs/>
                <w:lang w:val="fr-FR"/>
              </w:rPr>
              <w:t>Première phase, travail à distance (home-based)</w:t>
            </w:r>
            <w:r w:rsidRPr="004202D8">
              <w:rPr>
                <w:rFonts w:eastAsia="Times New Roman" w:cstheme="majorHAnsi"/>
                <w:lang w:val="fr-FR"/>
              </w:rPr>
              <w:t xml:space="preserve"> : 45 jours </w:t>
            </w:r>
          </w:p>
          <w:bookmarkEnd w:id="11"/>
          <w:p w:rsidR="00E215EC" w:rsidRPr="004202D8" w:rsidRDefault="00E215EC" w:rsidP="009435AF">
            <w:pPr>
              <w:spacing w:after="0"/>
              <w:jc w:val="both"/>
              <w:rPr>
                <w:rFonts w:eastAsia="Times New Roman" w:cstheme="majorHAnsi"/>
                <w:lang w:val="fr-FR"/>
              </w:rPr>
            </w:pPr>
            <w:r w:rsidRPr="004202D8">
              <w:rPr>
                <w:rFonts w:eastAsia="Times New Roman" w:cstheme="majorHAnsi"/>
                <w:lang w:val="fr-FR"/>
              </w:rPr>
              <w:t>Pendant cette phase, le consultant devra interagir avec les parties prenantes se trouvant dans le secteur de Logo Lolia et KakwaIma en province du Haut-Uele et la chefferie de Bwisha en Province du Nord-Kivu en utilisant le téléphone portable ainsi que d’autres outils du NTIC et devra entre autres :</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Finaliser le processus d’élaboration du plan de développement local (PDL) initié par le secteur de Longo lolia et KakwaIma, en province du Haut-Uele conformément aux dispositions du guide méthodologique de planification provinciale et locale éditépar le ministère national du plan de la RDC ;</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 xml:space="preserve"> Concevoir les modules de formation des acteurs locaux du secteur de Logo Lolia et KakwaIma en province de Haut-Uele et de la chefferie de Bwisha  en province du Nord-Kivu dans les domaines de la gouvernance locale, décentralisation notamment les attributions des ETD et leurs rapports avec la province et les territoires du ressort en lien avec les lois sur la décentralisation, le renforcement des capacités des administrations locales en matière de prise en charge des compétences et attributions qui leur sont dévolues par la Constitution de 2006 ainsi que de la budgétisation participative.</w:t>
            </w:r>
          </w:p>
          <w:p w:rsidR="00E215EC" w:rsidRPr="004202D8" w:rsidRDefault="00E215EC" w:rsidP="009435AF">
            <w:pPr>
              <w:pStyle w:val="Paragraphedeliste"/>
              <w:spacing w:after="0"/>
              <w:jc w:val="both"/>
              <w:rPr>
                <w:rFonts w:eastAsia="Times New Roman" w:cstheme="majorHAnsi"/>
                <w:lang w:val="fr-FR"/>
              </w:rPr>
            </w:pPr>
          </w:p>
          <w:p w:rsidR="00E215EC" w:rsidRPr="004202D8" w:rsidRDefault="00E215EC" w:rsidP="009435AF">
            <w:pPr>
              <w:pStyle w:val="Paragraphedeliste"/>
              <w:numPr>
                <w:ilvl w:val="0"/>
                <w:numId w:val="14"/>
              </w:numPr>
              <w:spacing w:after="0"/>
              <w:jc w:val="both"/>
              <w:rPr>
                <w:rFonts w:eastAsia="Times New Roman" w:cstheme="majorHAnsi"/>
                <w:b/>
                <w:bCs/>
                <w:lang w:val="fr-FR"/>
              </w:rPr>
            </w:pPr>
            <w:r w:rsidRPr="004202D8">
              <w:rPr>
                <w:rFonts w:eastAsia="Times New Roman" w:cstheme="majorHAnsi"/>
                <w:b/>
                <w:bCs/>
                <w:lang w:val="fr-FR"/>
              </w:rPr>
              <w:t xml:space="preserve">Deuxième phase, activités sur le terrain : 75 jours dont 25 à Bwisha et 50 à </w:t>
            </w:r>
            <w:r w:rsidRPr="004202D8">
              <w:rPr>
                <w:rFonts w:eastAsia="Times New Roman" w:cstheme="majorHAnsi"/>
                <w:lang w:val="fr-FR"/>
              </w:rPr>
              <w:t>Logo Lolia</w:t>
            </w:r>
            <w:r w:rsidRPr="004202D8">
              <w:rPr>
                <w:rFonts w:eastAsia="Times New Roman" w:cstheme="majorHAnsi"/>
                <w:b/>
                <w:bCs/>
                <w:lang w:val="fr-FR"/>
              </w:rPr>
              <w:t xml:space="preserve"> et KakwaIma</w:t>
            </w:r>
          </w:p>
          <w:p w:rsidR="00E215EC" w:rsidRPr="004202D8" w:rsidRDefault="00E215EC" w:rsidP="009435AF">
            <w:pPr>
              <w:spacing w:after="0"/>
              <w:ind w:left="360"/>
              <w:jc w:val="both"/>
              <w:rPr>
                <w:rFonts w:eastAsia="Times New Roman" w:cstheme="majorHAnsi"/>
                <w:lang w:val="fr-FR"/>
              </w:rPr>
            </w:pP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Appuyer le secteur de Logo Lolia dans la finalisation du processus d’élaboration et de validation de son plan quinquennal de développement local conformément aux prescrits du Guide méthodologique de la planification provinciale et locale ;</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Appuyer la chefferie de Bwisha  et de KakwaIma dans le processus d’élaboration du plan de développement local conformément aux prescrits du guide méthodologique de planification provinciale et locale ;</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 xml:space="preserve">Assurer la formation des acteurs locaux du secteur de Logo Lolia et KakwaIma en province de Haut-Uele et de la chefferie de Bwisha  en province du Nord-Kivu sur le développement local et la décentralisation notamment les attributions des ETD et leurs rapports avec la province et les territoires du ressort en lien avec les lois sur la décentralisation, le renforcement des capacités des administrations locales en matière de compétences et attributions qui leur sont </w:t>
            </w:r>
            <w:r w:rsidRPr="004202D8">
              <w:rPr>
                <w:rFonts w:eastAsia="Times New Roman" w:cstheme="majorHAnsi"/>
                <w:lang w:val="fr-FR"/>
              </w:rPr>
              <w:lastRenderedPageBreak/>
              <w:t>dévolues par la Constitution de 2006  ainsi que la budgétisation participative.</w:t>
            </w:r>
          </w:p>
          <w:p w:rsidR="00E215EC" w:rsidRPr="004202D8" w:rsidRDefault="00E215EC" w:rsidP="009435AF">
            <w:pPr>
              <w:pStyle w:val="Paragraphedeliste"/>
              <w:spacing w:after="0"/>
              <w:jc w:val="both"/>
              <w:rPr>
                <w:rFonts w:eastAsia="Times New Roman" w:cstheme="majorHAnsi"/>
                <w:lang w:val="fr-FR"/>
              </w:rPr>
            </w:pPr>
          </w:p>
          <w:p w:rsidR="00E215EC" w:rsidRPr="004202D8" w:rsidRDefault="00E215EC" w:rsidP="009435AF">
            <w:pPr>
              <w:spacing w:after="0"/>
              <w:jc w:val="both"/>
              <w:rPr>
                <w:rFonts w:eastAsia="Times New Roman" w:cstheme="majorHAnsi"/>
                <w:b/>
                <w:bCs/>
                <w:lang w:val="fr-FR"/>
              </w:rPr>
            </w:pPr>
            <w:r w:rsidRPr="004202D8">
              <w:rPr>
                <w:rFonts w:eastAsia="Times New Roman" w:cstheme="majorHAnsi"/>
                <w:b/>
                <w:bCs/>
                <w:lang w:val="fr-FR"/>
              </w:rPr>
              <w:t xml:space="preserve">Au cours des deux phases d’activités le consultant sera tenu </w:t>
            </w:r>
            <w:r w:rsidR="00737860" w:rsidRPr="004202D8">
              <w:rPr>
                <w:rFonts w:eastAsia="Times New Roman" w:cstheme="majorHAnsi"/>
                <w:b/>
                <w:bCs/>
                <w:lang w:val="fr-FR"/>
              </w:rPr>
              <w:t>entre autres</w:t>
            </w:r>
            <w:r w:rsidRPr="004202D8">
              <w:rPr>
                <w:rFonts w:eastAsia="Times New Roman" w:cstheme="majorHAnsi"/>
                <w:b/>
                <w:bCs/>
                <w:lang w:val="fr-FR"/>
              </w:rPr>
              <w:t xml:space="preserve"> à : </w:t>
            </w:r>
          </w:p>
          <w:p w:rsidR="00E215EC" w:rsidRPr="004202D8" w:rsidRDefault="00E215EC" w:rsidP="009435AF">
            <w:pPr>
              <w:spacing w:after="0"/>
              <w:ind w:left="207"/>
              <w:contextualSpacing/>
              <w:jc w:val="both"/>
              <w:rPr>
                <w:rFonts w:eastAsia="Times New Roman" w:cstheme="majorHAnsi"/>
                <w:lang w:val="fr-FR"/>
              </w:rPr>
            </w:pP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Gérer les ressources dédiées à la réalisation des produits et activités du volet Gouvernance locale du projet tels que repris ci-haut (au moins 90% de delivery), avec obligation de rendre compte au PNUD et aux partenaires du projet ;</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Veiller au respect des politiques, règles et processus propres au PNUD ;</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Elaborer un plan d’achat du volet Gouvernance locale du projet assorti des spécifications du matériel requis, en consultation avec l’Analyste au Programme du PNUD et les partenaires d'exécution ainsi que les administrations des ETD bénéficiaires ;</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Préparer un rapport final du volet Gouvernance locale du projet et le présenter au PNUD et aux parties prenantes ;</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Centraliser toute la documentation du projet et tenir les dossiers d'approvisionnement, du suivi et de l'évaluation, de la vérification, des activités d'assurance du projet et de la gestion des connaissances.</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S'assurer que le projet est conforme aux objectifs et aux rapports des ODD ;</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Assurer la gestion et le respect des exigences administratives (techniques, financières, de communication, de vérification, d'évaluation, etc.) des différents partenaires/donateurs ;</w:t>
            </w:r>
          </w:p>
          <w:p w:rsidR="00E215EC" w:rsidRPr="004202D8" w:rsidRDefault="00E215EC" w:rsidP="009435AF">
            <w:pPr>
              <w:pStyle w:val="Paragraphedeliste"/>
              <w:numPr>
                <w:ilvl w:val="0"/>
                <w:numId w:val="15"/>
              </w:numPr>
              <w:spacing w:after="0"/>
              <w:jc w:val="both"/>
              <w:rPr>
                <w:rFonts w:eastAsia="Times New Roman" w:cstheme="majorHAnsi"/>
                <w:lang w:val="fr-FR"/>
              </w:rPr>
            </w:pPr>
            <w:r w:rsidRPr="004202D8">
              <w:rPr>
                <w:rFonts w:eastAsia="Times New Roman" w:cstheme="majorHAnsi"/>
                <w:lang w:val="fr-FR"/>
              </w:rPr>
              <w:t xml:space="preserve">Gérer les risques et les problèmes en concertation avec l’Analyste au Programme du PNUD. </w:t>
            </w:r>
          </w:p>
        </w:tc>
      </w:tr>
      <w:tr w:rsidR="00E215EC" w:rsidRPr="004B2900" w:rsidTr="00E215EC">
        <w:tc>
          <w:tcPr>
            <w:tcW w:w="9355" w:type="dxa"/>
          </w:tcPr>
          <w:p w:rsidR="00E215EC" w:rsidRPr="004202D8" w:rsidRDefault="00E215EC" w:rsidP="009435AF">
            <w:pPr>
              <w:shd w:val="clear" w:color="auto" w:fill="EEEEEE"/>
              <w:spacing w:after="0"/>
              <w:rPr>
                <w:rFonts w:eastAsia="Times New Roman" w:cstheme="majorHAnsi"/>
                <w:b/>
                <w:lang w:val="fr-FR"/>
              </w:rPr>
            </w:pPr>
            <w:r w:rsidRPr="004202D8">
              <w:rPr>
                <w:rFonts w:eastAsia="Times New Roman" w:cstheme="majorHAnsi"/>
                <w:b/>
                <w:lang w:val="fr-FR"/>
              </w:rPr>
              <w:lastRenderedPageBreak/>
              <w:t xml:space="preserve">B/ </w:t>
            </w:r>
            <w:r w:rsidRPr="004202D8">
              <w:rPr>
                <w:rFonts w:eastAsia="Times New Roman" w:cstheme="majorHAnsi"/>
                <w:b/>
                <w:bCs/>
                <w:lang w:val="fr-FR"/>
              </w:rPr>
              <w:t>Gestion des partenariats et des intervenants :</w:t>
            </w:r>
          </w:p>
          <w:p w:rsidR="00E215EC" w:rsidRPr="004202D8" w:rsidRDefault="00E215EC" w:rsidP="009435AF">
            <w:pPr>
              <w:pStyle w:val="Paragraphedeliste"/>
              <w:numPr>
                <w:ilvl w:val="0"/>
                <w:numId w:val="15"/>
              </w:numPr>
              <w:jc w:val="both"/>
              <w:rPr>
                <w:rFonts w:eastAsia="Times New Roman" w:cstheme="majorHAnsi"/>
                <w:lang w:val="fr-FR"/>
              </w:rPr>
            </w:pPr>
            <w:r w:rsidRPr="004202D8">
              <w:rPr>
                <w:rFonts w:eastAsia="Times New Roman" w:cstheme="majorHAnsi"/>
                <w:lang w:val="fr-FR"/>
              </w:rPr>
              <w:t>Identifier les parties prenantes et des partenaires de mise en œuvre au sein des organisations de la société civile/non gouvernementales, du secteur privé et des communautés locales pour la réalisation de divers produits et activités du projet ;</w:t>
            </w:r>
          </w:p>
          <w:p w:rsidR="00E215EC" w:rsidRPr="004202D8" w:rsidRDefault="00E215EC" w:rsidP="009435AF">
            <w:pPr>
              <w:pStyle w:val="Paragraphedeliste"/>
              <w:numPr>
                <w:ilvl w:val="0"/>
                <w:numId w:val="15"/>
              </w:numPr>
              <w:jc w:val="both"/>
              <w:rPr>
                <w:rFonts w:eastAsia="Times New Roman" w:cstheme="majorHAnsi"/>
                <w:lang w:val="fr-FR"/>
              </w:rPr>
            </w:pPr>
            <w:r w:rsidRPr="004202D8">
              <w:rPr>
                <w:rFonts w:eastAsia="Times New Roman" w:cstheme="majorHAnsi"/>
                <w:lang w:val="fr-FR"/>
              </w:rPr>
              <w:t>Préparer et mettre en œuvre une cartographie des parties prenantes et une stratégie de leur participation/partenariat, y compris, avec des activités, des objectifs et des résultats escomptés.</w:t>
            </w:r>
          </w:p>
        </w:tc>
      </w:tr>
      <w:tr w:rsidR="00E215EC" w:rsidRPr="004B2900" w:rsidTr="00E215EC">
        <w:tc>
          <w:tcPr>
            <w:tcW w:w="9355" w:type="dxa"/>
          </w:tcPr>
          <w:p w:rsidR="00E215EC" w:rsidRPr="004202D8" w:rsidRDefault="00E215EC" w:rsidP="009435AF">
            <w:pPr>
              <w:shd w:val="clear" w:color="auto" w:fill="EEEEEE"/>
              <w:spacing w:after="0"/>
              <w:rPr>
                <w:rFonts w:eastAsia="Times New Roman" w:cstheme="majorHAnsi"/>
                <w:b/>
                <w:lang w:val="fr-FR"/>
              </w:rPr>
            </w:pPr>
            <w:r w:rsidRPr="004202D8">
              <w:rPr>
                <w:rFonts w:eastAsia="Times New Roman" w:cstheme="majorHAnsi"/>
                <w:b/>
                <w:lang w:val="fr-FR"/>
              </w:rPr>
              <w:t xml:space="preserve">C/ </w:t>
            </w:r>
            <w:r w:rsidRPr="004202D8">
              <w:rPr>
                <w:rFonts w:eastAsia="Times New Roman" w:cstheme="majorHAnsi"/>
                <w:b/>
                <w:bCs/>
                <w:lang w:val="fr-FR"/>
              </w:rPr>
              <w:t>Appui technique :</w:t>
            </w:r>
          </w:p>
          <w:p w:rsidR="00E215EC" w:rsidRPr="004202D8" w:rsidRDefault="00E215EC" w:rsidP="009435AF">
            <w:pPr>
              <w:pStyle w:val="Paragraphedeliste"/>
              <w:numPr>
                <w:ilvl w:val="0"/>
                <w:numId w:val="15"/>
              </w:numPr>
              <w:spacing w:after="0"/>
              <w:jc w:val="both"/>
              <w:rPr>
                <w:rFonts w:eastAsia="Calibri" w:cstheme="majorHAnsi"/>
                <w:lang w:val="fr-FR"/>
              </w:rPr>
            </w:pPr>
            <w:r w:rsidRPr="004202D8">
              <w:rPr>
                <w:rFonts w:eastAsia="Calibri" w:cstheme="majorHAnsi"/>
                <w:lang w:val="fr-FR"/>
              </w:rPr>
              <w:t>Examiner tous les extrants et produits livrables réalisés dans le cadre du volet Gouvernance locale du projet et contribuer à leur qualité ;</w:t>
            </w:r>
          </w:p>
          <w:p w:rsidR="00E215EC" w:rsidRPr="004202D8" w:rsidRDefault="00E215EC" w:rsidP="009435AF">
            <w:pPr>
              <w:pStyle w:val="Paragraphedeliste"/>
              <w:numPr>
                <w:ilvl w:val="0"/>
                <w:numId w:val="15"/>
              </w:numPr>
              <w:spacing w:after="0"/>
              <w:jc w:val="both"/>
              <w:rPr>
                <w:rFonts w:eastAsia="Calibri" w:cstheme="majorHAnsi"/>
                <w:lang w:val="fr-FR"/>
              </w:rPr>
            </w:pPr>
            <w:r w:rsidRPr="004202D8">
              <w:rPr>
                <w:rFonts w:eastAsia="Calibri" w:cstheme="majorHAnsi"/>
                <w:lang w:val="fr-FR"/>
              </w:rPr>
              <w:t>Analyser et regrouper les résultats/extrants du volet Gouvernance locale du projet ainsi que les rapports d'étape sur les objectifs et les résultats du projet.</w:t>
            </w:r>
          </w:p>
        </w:tc>
      </w:tr>
      <w:tr w:rsidR="00E215EC" w:rsidRPr="004B2900" w:rsidTr="00E215EC">
        <w:tc>
          <w:tcPr>
            <w:tcW w:w="9355" w:type="dxa"/>
          </w:tcPr>
          <w:p w:rsidR="00E215EC" w:rsidRPr="004202D8" w:rsidRDefault="00E215EC" w:rsidP="009435AF">
            <w:pPr>
              <w:shd w:val="clear" w:color="auto" w:fill="EEEEEE"/>
              <w:spacing w:after="0"/>
              <w:rPr>
                <w:rFonts w:eastAsia="Times New Roman" w:cstheme="majorHAnsi"/>
                <w:b/>
                <w:lang w:val="fr-FR"/>
              </w:rPr>
            </w:pPr>
            <w:r w:rsidRPr="004202D8">
              <w:rPr>
                <w:rFonts w:eastAsia="Times New Roman" w:cstheme="majorHAnsi"/>
                <w:b/>
                <w:lang w:val="fr-FR"/>
              </w:rPr>
              <w:t xml:space="preserve">D/ </w:t>
            </w:r>
            <w:r w:rsidRPr="004202D8">
              <w:rPr>
                <w:rFonts w:eastAsia="Times New Roman" w:cstheme="majorHAnsi"/>
                <w:b/>
                <w:bCs/>
              </w:rPr>
              <w:t>Gestion des connaissances :</w:t>
            </w:r>
          </w:p>
          <w:p w:rsidR="00E215EC" w:rsidRPr="004202D8" w:rsidRDefault="00E215EC" w:rsidP="009435AF">
            <w:pPr>
              <w:pStyle w:val="Paragraphedeliste"/>
              <w:numPr>
                <w:ilvl w:val="0"/>
                <w:numId w:val="15"/>
              </w:numPr>
              <w:jc w:val="both"/>
              <w:rPr>
                <w:rFonts w:eastAsia="Calibri" w:cstheme="majorHAnsi"/>
                <w:lang w:val="fr-FR"/>
              </w:rPr>
            </w:pPr>
            <w:r w:rsidRPr="004202D8">
              <w:rPr>
                <w:rFonts w:eastAsia="Calibri" w:cstheme="majorHAnsi"/>
                <w:lang w:val="fr-FR"/>
              </w:rPr>
              <w:t>Préparer et mettre à jour une page d'information, un journal des leçons apprises et bonnes pratiques, des articles sur le programme pour les sites Web du PNUD, les sites Web pertinents, les médias, etc. au moins une fois ;</w:t>
            </w:r>
          </w:p>
          <w:p w:rsidR="00E215EC" w:rsidRPr="004202D8" w:rsidRDefault="00E215EC" w:rsidP="009435AF">
            <w:pPr>
              <w:pStyle w:val="Paragraphedeliste"/>
              <w:numPr>
                <w:ilvl w:val="0"/>
                <w:numId w:val="15"/>
              </w:numPr>
              <w:jc w:val="both"/>
              <w:rPr>
                <w:rFonts w:eastAsia="Calibri" w:cstheme="majorHAnsi"/>
                <w:lang w:val="fr-FR"/>
              </w:rPr>
            </w:pPr>
            <w:r w:rsidRPr="004202D8">
              <w:rPr>
                <w:rFonts w:eastAsia="Calibri" w:cstheme="majorHAnsi"/>
                <w:lang w:val="fr-FR"/>
              </w:rPr>
              <w:t xml:space="preserve">Supervision et contribution à la conception et à la publication de supports de communication (produits d'information et produits du savoir) et de plates-formes de partage des </w:t>
            </w:r>
            <w:r w:rsidRPr="004202D8">
              <w:rPr>
                <w:rFonts w:eastAsia="Calibri" w:cstheme="majorHAnsi"/>
                <w:lang w:val="fr-FR"/>
              </w:rPr>
              <w:lastRenderedPageBreak/>
              <w:t xml:space="preserve">connaissances ; </w:t>
            </w:r>
          </w:p>
          <w:p w:rsidR="00E215EC" w:rsidRPr="004202D8" w:rsidRDefault="00E215EC" w:rsidP="009435AF">
            <w:pPr>
              <w:pStyle w:val="Paragraphedeliste"/>
              <w:numPr>
                <w:ilvl w:val="0"/>
                <w:numId w:val="15"/>
              </w:numPr>
              <w:jc w:val="both"/>
              <w:rPr>
                <w:rFonts w:eastAsia="Calibri" w:cstheme="majorHAnsi"/>
                <w:lang w:val="fr-FR"/>
              </w:rPr>
            </w:pPr>
            <w:r w:rsidRPr="004202D8">
              <w:rPr>
                <w:rFonts w:eastAsia="Calibri" w:cstheme="majorHAnsi"/>
                <w:lang w:val="fr-FR"/>
              </w:rPr>
              <w:t>Faire une synthèse de la documentation des résultats du projet, des leçons apprises, des meilleures pratiques et des études de cas.</w:t>
            </w:r>
          </w:p>
        </w:tc>
      </w:tr>
    </w:tbl>
    <w:p w:rsidR="00E215EC" w:rsidRPr="004202D8" w:rsidRDefault="00E215EC" w:rsidP="00E215EC">
      <w:pPr>
        <w:spacing w:after="0"/>
        <w:jc w:val="both"/>
        <w:rPr>
          <w:rFonts w:eastAsia="Times New Roman" w:cstheme="majorHAnsi"/>
          <w:lang w:val="fr-FR"/>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65"/>
      </w:tblGrid>
      <w:tr w:rsidR="00E215EC" w:rsidRPr="004202D8" w:rsidTr="00E215EC">
        <w:tc>
          <w:tcPr>
            <w:tcW w:w="9265" w:type="dxa"/>
            <w:shd w:val="clear" w:color="auto" w:fill="E0E0E0"/>
          </w:tcPr>
          <w:p w:rsidR="00E215EC" w:rsidRPr="004202D8" w:rsidRDefault="00E215EC" w:rsidP="009435AF">
            <w:pPr>
              <w:keepNext/>
              <w:spacing w:after="0"/>
              <w:jc w:val="both"/>
              <w:outlineLvl w:val="1"/>
              <w:rPr>
                <w:rFonts w:eastAsia="Times New Roman" w:cstheme="majorHAnsi"/>
                <w:b/>
                <w:bCs/>
                <w:lang w:val="fr-FR"/>
              </w:rPr>
            </w:pPr>
            <w:r w:rsidRPr="004202D8">
              <w:rPr>
                <w:rFonts w:eastAsia="Times New Roman" w:cstheme="majorHAnsi"/>
                <w:b/>
                <w:bCs/>
                <w:lang w:val="fr-FR"/>
              </w:rPr>
              <w:t>IV. Impact des Résultats</w:t>
            </w:r>
          </w:p>
        </w:tc>
      </w:tr>
      <w:tr w:rsidR="00E215EC" w:rsidRPr="004B2900" w:rsidTr="00E215EC">
        <w:tc>
          <w:tcPr>
            <w:tcW w:w="9265" w:type="dxa"/>
          </w:tcPr>
          <w:p w:rsidR="00E215EC" w:rsidRPr="004202D8" w:rsidRDefault="00E215EC" w:rsidP="009435AF">
            <w:pPr>
              <w:spacing w:after="0" w:line="360" w:lineRule="auto"/>
              <w:ind w:left="348"/>
              <w:jc w:val="both"/>
              <w:rPr>
                <w:rFonts w:eastAsia="Calibri" w:cstheme="majorHAnsi"/>
                <w:lang w:val="fr-FR"/>
              </w:rPr>
            </w:pPr>
            <w:r w:rsidRPr="004202D8">
              <w:rPr>
                <w:rFonts w:eastAsia="Calibri" w:cstheme="majorHAnsi"/>
                <w:lang w:val="fr-FR"/>
              </w:rPr>
              <w:t>Les résultats clés ont un impact sur le succès du Programme Pays dans des domaines spécifiques de coopération. En particulier, les résultats clés ont un impact sur la conception, le fonctionnement et la programmation des activités, création de partenariats stratégiques ainsi que l'atteinte d'objectifs de mobilisation des ressources</w:t>
            </w:r>
          </w:p>
        </w:tc>
      </w:tr>
    </w:tbl>
    <w:p w:rsidR="008B2DF8" w:rsidRPr="004202D8" w:rsidRDefault="008B2DF8" w:rsidP="00916940">
      <w:pPr>
        <w:jc w:val="both"/>
        <w:rPr>
          <w:rFonts w:cstheme="minorHAnsi"/>
          <w:b/>
          <w:color w:val="000000" w:themeColor="text1"/>
          <w:u w:val="single"/>
          <w:lang w:val="fr-FR"/>
        </w:rPr>
      </w:pPr>
    </w:p>
    <w:p w:rsidR="008B2DF8" w:rsidRPr="004202D8" w:rsidRDefault="008B2DF8" w:rsidP="008B2DF8">
      <w:pPr>
        <w:jc w:val="both"/>
        <w:rPr>
          <w:rFonts w:eastAsia="Calibri"/>
          <w:b/>
          <w:bCs/>
          <w:color w:val="000000" w:themeColor="text1"/>
          <w:lang w:val="fr-FR"/>
        </w:rPr>
      </w:pPr>
      <w:r w:rsidRPr="004202D8">
        <w:rPr>
          <w:rFonts w:eastAsia="Calibri"/>
          <w:b/>
          <w:bCs/>
          <w:color w:val="000000" w:themeColor="text1"/>
          <w:lang w:val="fr-FR"/>
        </w:rPr>
        <w:t>4. L</w:t>
      </w:r>
      <w:r w:rsidR="00E55437" w:rsidRPr="004202D8">
        <w:rPr>
          <w:rFonts w:cstheme="minorHAnsi"/>
          <w:b/>
          <w:color w:val="000000" w:themeColor="text1"/>
          <w:u w:val="single"/>
          <w:lang w:val="fr-FR"/>
        </w:rPr>
        <w:t>ivrables et tranches de paiement</w:t>
      </w:r>
    </w:p>
    <w:p w:rsidR="008B2DF8" w:rsidRPr="004202D8" w:rsidRDefault="008B2DF8" w:rsidP="008B2DF8">
      <w:pPr>
        <w:spacing w:after="0" w:line="240" w:lineRule="auto"/>
        <w:jc w:val="both"/>
        <w:rPr>
          <w:rFonts w:eastAsia="Times New Roman" w:cstheme="minorHAnsi"/>
          <w:color w:val="000000" w:themeColor="text1"/>
          <w:lang w:val="fr-FR"/>
        </w:rPr>
      </w:pPr>
      <w:r w:rsidRPr="004202D8">
        <w:rPr>
          <w:rFonts w:eastAsia="Times New Roman" w:cstheme="minorHAnsi"/>
          <w:color w:val="000000" w:themeColor="text1"/>
          <w:lang w:val="fr-FR"/>
        </w:rPr>
        <w:t xml:space="preserve">Les principaux livrables du (de la) Consultant(e) </w:t>
      </w:r>
      <w:r w:rsidR="00E75BBA" w:rsidRPr="004202D8">
        <w:rPr>
          <w:rFonts w:eastAsia="Times New Roman" w:cstheme="minorHAnsi"/>
          <w:color w:val="000000" w:themeColor="text1"/>
          <w:lang w:val="fr-FR"/>
        </w:rPr>
        <w:t xml:space="preserve">Spécialiste en gestion et coordination de l’aide </w:t>
      </w:r>
      <w:r w:rsidRPr="004202D8">
        <w:rPr>
          <w:rFonts w:eastAsia="Times New Roman" w:cstheme="minorHAnsi"/>
          <w:color w:val="000000" w:themeColor="text1"/>
          <w:lang w:val="fr-FR"/>
        </w:rPr>
        <w:t>sont :</w:t>
      </w:r>
    </w:p>
    <w:p w:rsidR="00F96799" w:rsidRDefault="00F96799" w:rsidP="008B2DF8">
      <w:pPr>
        <w:spacing w:after="0" w:line="240" w:lineRule="auto"/>
        <w:jc w:val="both"/>
        <w:rPr>
          <w:rFonts w:eastAsia="Times New Roman" w:cstheme="minorHAnsi"/>
          <w:color w:val="000000" w:themeColor="text1"/>
          <w:lang w:val="fr-FR"/>
        </w:rPr>
      </w:pPr>
    </w:p>
    <w:tbl>
      <w:tblPr>
        <w:tblW w:w="5000" w:type="pct"/>
        <w:tblCellMar>
          <w:left w:w="0" w:type="dxa"/>
          <w:right w:w="0" w:type="dxa"/>
        </w:tblCellMar>
        <w:tblLook w:val="04A0"/>
      </w:tblPr>
      <w:tblGrid>
        <w:gridCol w:w="6449"/>
        <w:gridCol w:w="1938"/>
        <w:gridCol w:w="1189"/>
      </w:tblGrid>
      <w:tr w:rsidR="00F96799" w:rsidTr="00F96799">
        <w:trPr>
          <w:trHeight w:val="495"/>
        </w:trPr>
        <w:tc>
          <w:tcPr>
            <w:tcW w:w="3367" w:type="pct"/>
            <w:tcBorders>
              <w:top w:val="single" w:sz="8" w:space="0" w:color="000000"/>
              <w:left w:val="single" w:sz="8" w:space="0" w:color="000000"/>
              <w:bottom w:val="single" w:sz="8" w:space="0" w:color="000000"/>
              <w:right w:val="single" w:sz="8" w:space="0" w:color="000000"/>
            </w:tcBorders>
            <w:shd w:val="clear" w:color="auto" w:fill="EAE8DA"/>
            <w:tcMar>
              <w:top w:w="0" w:type="dxa"/>
              <w:left w:w="108" w:type="dxa"/>
              <w:bottom w:w="0" w:type="dxa"/>
              <w:right w:w="108" w:type="dxa"/>
            </w:tcMar>
            <w:vAlign w:val="center"/>
            <w:hideMark/>
          </w:tcPr>
          <w:p w:rsidR="00F96799" w:rsidRDefault="00F96799">
            <w:pPr>
              <w:autoSpaceDE w:val="0"/>
              <w:autoSpaceDN w:val="0"/>
              <w:jc w:val="both"/>
              <w:rPr>
                <w:color w:val="000000"/>
              </w:rPr>
            </w:pPr>
            <w:r>
              <w:rPr>
                <w:b/>
                <w:bCs/>
                <w:color w:val="000000"/>
              </w:rPr>
              <w:t xml:space="preserve">Livrables /Description </w:t>
            </w:r>
          </w:p>
        </w:tc>
        <w:tc>
          <w:tcPr>
            <w:tcW w:w="1012" w:type="pct"/>
            <w:tcBorders>
              <w:top w:val="single" w:sz="8" w:space="0" w:color="000000"/>
              <w:left w:val="nil"/>
              <w:bottom w:val="single" w:sz="8" w:space="0" w:color="000000"/>
              <w:right w:val="single" w:sz="8" w:space="0" w:color="000000"/>
            </w:tcBorders>
            <w:shd w:val="clear" w:color="auto" w:fill="EAE8DA"/>
            <w:tcMar>
              <w:top w:w="0" w:type="dxa"/>
              <w:left w:w="108" w:type="dxa"/>
              <w:bottom w:w="0" w:type="dxa"/>
              <w:right w:w="108" w:type="dxa"/>
            </w:tcMar>
            <w:vAlign w:val="center"/>
            <w:hideMark/>
          </w:tcPr>
          <w:p w:rsidR="00F96799" w:rsidRDefault="00F96799">
            <w:pPr>
              <w:autoSpaceDE w:val="0"/>
              <w:autoSpaceDN w:val="0"/>
              <w:jc w:val="both"/>
              <w:rPr>
                <w:color w:val="000000"/>
              </w:rPr>
            </w:pPr>
            <w:r>
              <w:rPr>
                <w:b/>
                <w:bCs/>
                <w:color w:val="000000"/>
              </w:rPr>
              <w:t>Echéanceproposée</w:t>
            </w:r>
          </w:p>
        </w:tc>
        <w:tc>
          <w:tcPr>
            <w:tcW w:w="621" w:type="pct"/>
            <w:tcBorders>
              <w:top w:val="single" w:sz="8" w:space="0" w:color="000000"/>
              <w:left w:val="nil"/>
              <w:bottom w:val="single" w:sz="8" w:space="0" w:color="000000"/>
              <w:right w:val="single" w:sz="8" w:space="0" w:color="000000"/>
            </w:tcBorders>
            <w:shd w:val="clear" w:color="auto" w:fill="EAE8DA"/>
            <w:tcMar>
              <w:top w:w="0" w:type="dxa"/>
              <w:left w:w="108" w:type="dxa"/>
              <w:bottom w:w="0" w:type="dxa"/>
              <w:right w:w="108" w:type="dxa"/>
            </w:tcMar>
            <w:vAlign w:val="center"/>
            <w:hideMark/>
          </w:tcPr>
          <w:p w:rsidR="00F96799" w:rsidRDefault="00F96799">
            <w:pPr>
              <w:autoSpaceDE w:val="0"/>
              <w:autoSpaceDN w:val="0"/>
              <w:jc w:val="both"/>
              <w:rPr>
                <w:b/>
                <w:bCs/>
                <w:color w:val="000000"/>
              </w:rPr>
            </w:pPr>
            <w:r>
              <w:rPr>
                <w:b/>
                <w:bCs/>
                <w:color w:val="000000"/>
              </w:rPr>
              <w:t>Tranche de paiement</w:t>
            </w:r>
          </w:p>
        </w:tc>
      </w:tr>
      <w:tr w:rsidR="00F96799" w:rsidTr="00F96799">
        <w:trPr>
          <w:trHeight w:val="682"/>
        </w:trPr>
        <w:tc>
          <w:tcPr>
            <w:tcW w:w="336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6799" w:rsidRPr="00F96799" w:rsidRDefault="00F96799">
            <w:pPr>
              <w:jc w:val="both"/>
              <w:rPr>
                <w:color w:val="000000" w:themeColor="text1"/>
                <w:lang w:val="fr-FR"/>
              </w:rPr>
            </w:pPr>
            <w:r w:rsidRPr="00F96799">
              <w:rPr>
                <w:color w:val="000000" w:themeColor="text1"/>
                <w:lang w:val="fr-FR"/>
              </w:rPr>
              <w:t>Note de cadrage et calendrier de travail home based</w:t>
            </w:r>
          </w:p>
        </w:tc>
        <w:tc>
          <w:tcPr>
            <w:tcW w:w="101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6799" w:rsidRPr="00F96799" w:rsidRDefault="00F96799">
            <w:pPr>
              <w:autoSpaceDE w:val="0"/>
              <w:autoSpaceDN w:val="0"/>
              <w:rPr>
                <w:color w:val="000000" w:themeColor="text1"/>
                <w:lang w:val="fr-FR"/>
              </w:rPr>
            </w:pPr>
            <w:r w:rsidRPr="00F96799">
              <w:rPr>
                <w:color w:val="000000" w:themeColor="text1"/>
                <w:lang w:val="fr-FR"/>
              </w:rPr>
              <w:t xml:space="preserve">5 jours après signature du contrat </w:t>
            </w:r>
          </w:p>
        </w:tc>
        <w:tc>
          <w:tcPr>
            <w:tcW w:w="62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6799" w:rsidRPr="00F96799" w:rsidRDefault="00F96799">
            <w:pPr>
              <w:autoSpaceDE w:val="0"/>
              <w:autoSpaceDN w:val="0"/>
              <w:ind w:left="284"/>
              <w:rPr>
                <w:color w:val="000000" w:themeColor="text1"/>
              </w:rPr>
            </w:pPr>
            <w:r w:rsidRPr="00F96799">
              <w:rPr>
                <w:color w:val="000000" w:themeColor="text1"/>
              </w:rPr>
              <w:t>15 %</w:t>
            </w:r>
          </w:p>
        </w:tc>
      </w:tr>
      <w:tr w:rsidR="00F96799" w:rsidTr="00F96799">
        <w:tc>
          <w:tcPr>
            <w:tcW w:w="336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6799" w:rsidRPr="00F96799" w:rsidRDefault="00F96799">
            <w:pPr>
              <w:jc w:val="both"/>
              <w:rPr>
                <w:lang w:val="fr-FR"/>
              </w:rPr>
            </w:pPr>
            <w:r w:rsidRPr="00F96799">
              <w:rPr>
                <w:lang w:val="fr-FR"/>
              </w:rPr>
              <w:t>Gestion et mise en œuvre quotidiennes pour assurer l'atteinte des résultats du projet et la réalisation des extrants et des activités ; Fourniture de services d'appui technique aux intervenants et aux partenaires pour la réalisation de produits ;</w:t>
            </w:r>
            <w:r w:rsidRPr="00F96799">
              <w:rPr>
                <w:color w:val="000000" w:themeColor="text1"/>
                <w:lang w:val="fr-FR"/>
              </w:rPr>
              <w:t xml:space="preserve">rapport formations organisées et coaching des administrations locales </w:t>
            </w:r>
          </w:p>
          <w:p w:rsidR="00F96799" w:rsidRPr="00F96799" w:rsidRDefault="00F96799">
            <w:pPr>
              <w:jc w:val="both"/>
              <w:rPr>
                <w:lang w:val="fr-FR"/>
              </w:rPr>
            </w:pPr>
            <w:r w:rsidRPr="00F96799">
              <w:rPr>
                <w:lang w:val="fr-FR"/>
              </w:rPr>
              <w:t xml:space="preserve">Rapport d’activités et outils produits </w:t>
            </w:r>
          </w:p>
        </w:tc>
        <w:tc>
          <w:tcPr>
            <w:tcW w:w="101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6799" w:rsidRPr="00F96799" w:rsidRDefault="00F96799">
            <w:pPr>
              <w:autoSpaceDE w:val="0"/>
              <w:autoSpaceDN w:val="0"/>
              <w:rPr>
                <w:color w:val="000000" w:themeColor="text1"/>
                <w:lang w:val="fr-FR"/>
              </w:rPr>
            </w:pPr>
            <w:r w:rsidRPr="00F96799">
              <w:rPr>
                <w:color w:val="000000" w:themeColor="text1"/>
                <w:lang w:val="fr-FR"/>
              </w:rPr>
              <w:t xml:space="preserve">Chaque fin du mois pendant 3 mois </w:t>
            </w:r>
          </w:p>
        </w:tc>
        <w:tc>
          <w:tcPr>
            <w:tcW w:w="62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6799" w:rsidRDefault="00F96799">
            <w:pPr>
              <w:autoSpaceDE w:val="0"/>
              <w:autoSpaceDN w:val="0"/>
              <w:ind w:left="284"/>
              <w:rPr>
                <w:color w:val="000000"/>
              </w:rPr>
            </w:pPr>
            <w:r>
              <w:rPr>
                <w:color w:val="000000"/>
              </w:rPr>
              <w:t>20% par mois</w:t>
            </w:r>
          </w:p>
        </w:tc>
      </w:tr>
      <w:tr w:rsidR="00F96799" w:rsidTr="00F96799">
        <w:tc>
          <w:tcPr>
            <w:tcW w:w="336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96799" w:rsidRPr="00F96799" w:rsidRDefault="00F96799">
            <w:pPr>
              <w:jc w:val="both"/>
              <w:rPr>
                <w:lang w:val="fr-FR"/>
              </w:rPr>
            </w:pPr>
            <w:r w:rsidRPr="00F96799">
              <w:rPr>
                <w:lang w:val="fr-FR"/>
              </w:rPr>
              <w:t>Gestion des intervenants et des partenaires et établissement de nouveaux partenariats ;</w:t>
            </w:r>
            <w:r w:rsidRPr="00F96799">
              <w:rPr>
                <w:color w:val="000000" w:themeColor="text1"/>
                <w:lang w:val="fr-FR"/>
              </w:rPr>
              <w:t>rapport sur les nouveaux partenaires identifiés et liste</w:t>
            </w:r>
          </w:p>
        </w:tc>
        <w:tc>
          <w:tcPr>
            <w:tcW w:w="101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6799" w:rsidRPr="00F96799" w:rsidRDefault="00F96799">
            <w:pPr>
              <w:autoSpaceDE w:val="0"/>
              <w:autoSpaceDN w:val="0"/>
              <w:jc w:val="both"/>
              <w:rPr>
                <w:color w:val="000000" w:themeColor="text1"/>
              </w:rPr>
            </w:pPr>
            <w:r w:rsidRPr="00F96799">
              <w:rPr>
                <w:color w:val="000000" w:themeColor="text1"/>
              </w:rPr>
              <w:t>Après trois mois</w:t>
            </w:r>
          </w:p>
        </w:tc>
        <w:tc>
          <w:tcPr>
            <w:tcW w:w="62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6799" w:rsidRDefault="00F96799">
            <w:pPr>
              <w:autoSpaceDE w:val="0"/>
              <w:autoSpaceDN w:val="0"/>
              <w:ind w:left="284"/>
              <w:rPr>
                <w:color w:val="000000"/>
              </w:rPr>
            </w:pPr>
            <w:r>
              <w:rPr>
                <w:color w:val="000000"/>
              </w:rPr>
              <w:t>15 %</w:t>
            </w:r>
          </w:p>
        </w:tc>
      </w:tr>
      <w:tr w:rsidR="00F96799" w:rsidTr="00F96799">
        <w:tc>
          <w:tcPr>
            <w:tcW w:w="336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6799" w:rsidRPr="00F96799" w:rsidRDefault="00F96799">
            <w:pPr>
              <w:jc w:val="both"/>
              <w:rPr>
                <w:rFonts w:ascii="Calibri" w:hAnsi="Calibri" w:cs="Calibri"/>
                <w:color w:val="000000"/>
                <w:lang w:val="fr-FR"/>
              </w:rPr>
            </w:pPr>
            <w:r w:rsidRPr="00F96799">
              <w:rPr>
                <w:lang w:val="fr-FR"/>
              </w:rPr>
              <w:t xml:space="preserve">Supervision et orientation pour l'acquisition de connaissances, le partage et la documentation des résultats des projets, des pratiques exemplaires, </w:t>
            </w:r>
            <w:r w:rsidRPr="00F96799">
              <w:rPr>
                <w:color w:val="000000" w:themeColor="text1"/>
                <w:lang w:val="fr-FR"/>
              </w:rPr>
              <w:t xml:space="preserve">des études de cas, des leçons apprises, etc. Rapport final de la mission et élaboration de leçons apprises et bonnes </w:t>
            </w:r>
            <w:r w:rsidRPr="00F96799">
              <w:rPr>
                <w:color w:val="000000" w:themeColor="text1"/>
                <w:lang w:val="fr-FR"/>
              </w:rPr>
              <w:lastRenderedPageBreak/>
              <w:t>pratiques identifiées et recommandations sur le partenariat PNUD UNHCR e</w:t>
            </w:r>
          </w:p>
        </w:tc>
        <w:tc>
          <w:tcPr>
            <w:tcW w:w="101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F96799" w:rsidRPr="00F96799" w:rsidRDefault="00F96799">
            <w:pPr>
              <w:autoSpaceDE w:val="0"/>
              <w:autoSpaceDN w:val="0"/>
              <w:jc w:val="both"/>
              <w:rPr>
                <w:color w:val="000000"/>
                <w:lang w:val="fr-FR"/>
              </w:rPr>
            </w:pPr>
          </w:p>
        </w:tc>
        <w:tc>
          <w:tcPr>
            <w:tcW w:w="62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6799" w:rsidRDefault="00F96799">
            <w:pPr>
              <w:autoSpaceDE w:val="0"/>
              <w:autoSpaceDN w:val="0"/>
              <w:ind w:left="284"/>
              <w:rPr>
                <w:color w:val="000000"/>
              </w:rPr>
            </w:pPr>
            <w:r>
              <w:rPr>
                <w:color w:val="000000"/>
              </w:rPr>
              <w:t xml:space="preserve">10 % </w:t>
            </w:r>
          </w:p>
        </w:tc>
      </w:tr>
    </w:tbl>
    <w:p w:rsidR="008B2DF8" w:rsidRPr="004202D8" w:rsidRDefault="008B2DF8" w:rsidP="00916940">
      <w:pPr>
        <w:jc w:val="both"/>
        <w:rPr>
          <w:rFonts w:cstheme="minorHAnsi"/>
          <w:b/>
          <w:color w:val="000000" w:themeColor="text1"/>
          <w:u w:val="single"/>
          <w:lang w:val="fr-FR"/>
        </w:rPr>
      </w:pPr>
    </w:p>
    <w:p w:rsidR="00916940" w:rsidRPr="004202D8" w:rsidRDefault="008B2DF8" w:rsidP="00916940">
      <w:pPr>
        <w:jc w:val="both"/>
        <w:rPr>
          <w:rFonts w:cstheme="minorHAnsi"/>
          <w:b/>
          <w:color w:val="000000" w:themeColor="text1"/>
          <w:u w:val="single"/>
          <w:lang w:val="fr-FR"/>
        </w:rPr>
      </w:pPr>
      <w:r w:rsidRPr="004202D8">
        <w:rPr>
          <w:rFonts w:cstheme="minorHAnsi"/>
          <w:b/>
          <w:color w:val="000000" w:themeColor="text1"/>
          <w:u w:val="single"/>
          <w:lang w:val="fr-FR"/>
        </w:rPr>
        <w:t>5</w:t>
      </w:r>
      <w:r w:rsidR="00916940" w:rsidRPr="004202D8">
        <w:rPr>
          <w:rFonts w:cstheme="minorHAnsi"/>
          <w:b/>
          <w:color w:val="000000" w:themeColor="text1"/>
          <w:u w:val="single"/>
          <w:lang w:val="fr-FR"/>
        </w:rPr>
        <w:t xml:space="preserve">. </w:t>
      </w:r>
      <w:r w:rsidR="004B15FA" w:rsidRPr="004202D8">
        <w:rPr>
          <w:rFonts w:cstheme="minorHAnsi"/>
          <w:b/>
          <w:color w:val="000000" w:themeColor="text1"/>
          <w:u w:val="single"/>
          <w:lang w:val="fr-FR"/>
        </w:rPr>
        <w:t xml:space="preserve">Chronogramme </w:t>
      </w:r>
      <w:r w:rsidR="00916940" w:rsidRPr="004202D8">
        <w:rPr>
          <w:rFonts w:cstheme="minorHAnsi"/>
          <w:b/>
          <w:color w:val="000000" w:themeColor="text1"/>
          <w:u w:val="single"/>
          <w:lang w:val="fr-FR"/>
        </w:rPr>
        <w:t>Durée de la mission </w:t>
      </w:r>
    </w:p>
    <w:tbl>
      <w:tblPr>
        <w:tblStyle w:val="Grilledutableau"/>
        <w:tblW w:w="9360" w:type="dxa"/>
        <w:tblLook w:val="04A0"/>
      </w:tblPr>
      <w:tblGrid>
        <w:gridCol w:w="9360"/>
      </w:tblGrid>
      <w:tr w:rsidR="004F20E7" w:rsidRPr="004B2900" w:rsidTr="00BD6056">
        <w:tc>
          <w:tcPr>
            <w:tcW w:w="9360" w:type="dxa"/>
          </w:tcPr>
          <w:p w:rsidR="00E215EC" w:rsidRPr="004202D8" w:rsidRDefault="00EB6C4D" w:rsidP="00E215EC">
            <w:pPr>
              <w:jc w:val="both"/>
              <w:rPr>
                <w:rFonts w:eastAsia="Times New Roman" w:cstheme="majorHAnsi"/>
                <w:lang w:val="fr-FR"/>
              </w:rPr>
            </w:pPr>
            <w:r w:rsidRPr="004202D8">
              <w:rPr>
                <w:rFonts w:eastAsia="Calibri" w:cstheme="minorHAnsi"/>
                <w:color w:val="000000" w:themeColor="text1"/>
                <w:lang w:val="fr-FR"/>
              </w:rPr>
              <w:t xml:space="preserve">Le nombre total de jours de travail dans le cadre de ce contrat alloué au consultant </w:t>
            </w:r>
            <w:r w:rsidR="00E215EC" w:rsidRPr="004202D8">
              <w:rPr>
                <w:rFonts w:eastAsia="Calibri" w:cstheme="minorHAnsi"/>
                <w:color w:val="000000" w:themeColor="text1"/>
                <w:lang w:val="fr-FR"/>
              </w:rPr>
              <w:t>Expert</w:t>
            </w:r>
            <w:r w:rsidRPr="004202D8">
              <w:rPr>
                <w:rFonts w:eastAsia="Calibri" w:cstheme="minorHAnsi"/>
                <w:color w:val="000000" w:themeColor="text1"/>
                <w:lang w:val="fr-FR"/>
              </w:rPr>
              <w:t xml:space="preserve"> sera </w:t>
            </w:r>
            <w:r w:rsidR="00D256CE" w:rsidRPr="004202D8">
              <w:rPr>
                <w:rFonts w:eastAsia="Calibri" w:cstheme="minorHAnsi"/>
                <w:color w:val="000000" w:themeColor="text1"/>
                <w:lang w:val="fr-FR"/>
              </w:rPr>
              <w:t>d</w:t>
            </w:r>
            <w:r w:rsidR="0011093D" w:rsidRPr="004202D8">
              <w:rPr>
                <w:rFonts w:eastAsia="Calibri" w:cstheme="minorHAnsi"/>
                <w:color w:val="000000" w:themeColor="text1"/>
                <w:lang w:val="fr-FR"/>
              </w:rPr>
              <w:t>e 4</w:t>
            </w:r>
            <w:r w:rsidR="00E215EC" w:rsidRPr="004202D8">
              <w:rPr>
                <w:rFonts w:eastAsia="Calibri" w:cstheme="minorHAnsi"/>
                <w:color w:val="000000" w:themeColor="text1"/>
                <w:lang w:val="fr-FR"/>
              </w:rPr>
              <w:t xml:space="preserve"> mois/120</w:t>
            </w:r>
            <w:r w:rsidR="0011093D" w:rsidRPr="004202D8">
              <w:rPr>
                <w:rFonts w:eastAsia="Calibri" w:cstheme="minorHAnsi"/>
                <w:color w:val="000000" w:themeColor="text1"/>
                <w:lang w:val="fr-FR"/>
              </w:rPr>
              <w:t xml:space="preserve"> jour</w:t>
            </w:r>
            <w:r w:rsidR="00443D3E" w:rsidRPr="004202D8">
              <w:rPr>
                <w:rFonts w:eastAsia="Calibri" w:cstheme="minorHAnsi"/>
                <w:color w:val="000000" w:themeColor="text1"/>
                <w:lang w:val="fr-FR"/>
              </w:rPr>
              <w:t>s</w:t>
            </w:r>
            <w:r w:rsidR="0011093D" w:rsidRPr="004202D8">
              <w:rPr>
                <w:rFonts w:eastAsia="Calibri" w:cstheme="minorHAnsi"/>
                <w:color w:val="000000" w:themeColor="text1"/>
                <w:lang w:val="fr-FR"/>
              </w:rPr>
              <w:t xml:space="preserve"> ouvrable</w:t>
            </w:r>
            <w:r w:rsidR="00443D3E" w:rsidRPr="004202D8">
              <w:rPr>
                <w:rFonts w:eastAsia="Calibri" w:cstheme="minorHAnsi"/>
                <w:color w:val="000000" w:themeColor="text1"/>
                <w:lang w:val="fr-FR"/>
              </w:rPr>
              <w:t>s</w:t>
            </w:r>
            <w:r w:rsidR="00E215EC" w:rsidRPr="004202D8">
              <w:rPr>
                <w:rFonts w:eastAsia="Calibri" w:cstheme="minorHAnsi"/>
                <w:color w:val="000000" w:themeColor="text1"/>
                <w:lang w:val="fr-FR"/>
              </w:rPr>
              <w:t xml:space="preserve"> d’où p</w:t>
            </w:r>
            <w:r w:rsidR="00E215EC" w:rsidRPr="004202D8">
              <w:rPr>
                <w:rFonts w:eastAsia="Times New Roman" w:cstheme="majorHAnsi"/>
                <w:b/>
                <w:bCs/>
                <w:lang w:val="fr-FR"/>
              </w:rPr>
              <w:t>remière phase, travail à distance (home-based)</w:t>
            </w:r>
            <w:r w:rsidR="00E215EC" w:rsidRPr="004202D8">
              <w:rPr>
                <w:rFonts w:eastAsia="Times New Roman" w:cstheme="majorHAnsi"/>
                <w:lang w:val="fr-FR"/>
              </w:rPr>
              <w:t xml:space="preserve"> : 45 jours </w:t>
            </w:r>
          </w:p>
          <w:p w:rsidR="00916940" w:rsidRPr="004202D8" w:rsidRDefault="00916940" w:rsidP="00957EBD">
            <w:pPr>
              <w:tabs>
                <w:tab w:val="left" w:pos="2160"/>
              </w:tabs>
              <w:jc w:val="both"/>
              <w:rPr>
                <w:rFonts w:eastAsia="Calibri" w:cstheme="minorHAnsi"/>
                <w:color w:val="000000" w:themeColor="text1"/>
                <w:lang w:val="fr-FR"/>
              </w:rPr>
            </w:pPr>
          </w:p>
        </w:tc>
      </w:tr>
    </w:tbl>
    <w:p w:rsidR="00550CF0" w:rsidRPr="004202D8" w:rsidRDefault="00550CF0" w:rsidP="00A24134">
      <w:pPr>
        <w:rPr>
          <w:rFonts w:cstheme="minorHAnsi"/>
          <w:b/>
          <w:color w:val="000000" w:themeColor="text1"/>
          <w:lang w:val="fr-FR"/>
        </w:rPr>
      </w:pPr>
    </w:p>
    <w:p w:rsidR="002223E0" w:rsidRPr="004202D8" w:rsidRDefault="008B2DF8" w:rsidP="00A24134">
      <w:pPr>
        <w:rPr>
          <w:rFonts w:cstheme="minorHAnsi"/>
          <w:b/>
          <w:color w:val="000000" w:themeColor="text1"/>
          <w:u w:val="single"/>
          <w:lang w:val="fr-FR"/>
        </w:rPr>
      </w:pPr>
      <w:r w:rsidRPr="004202D8">
        <w:rPr>
          <w:rFonts w:cstheme="minorHAnsi"/>
          <w:b/>
          <w:color w:val="000000" w:themeColor="text1"/>
          <w:u w:val="single"/>
          <w:lang w:val="fr-FR"/>
        </w:rPr>
        <w:t>6</w:t>
      </w:r>
      <w:r w:rsidR="0008283A" w:rsidRPr="004202D8">
        <w:rPr>
          <w:rFonts w:cstheme="minorHAnsi"/>
          <w:b/>
          <w:color w:val="000000" w:themeColor="text1"/>
          <w:u w:val="single"/>
          <w:lang w:val="fr-FR"/>
        </w:rPr>
        <w:t xml:space="preserve">. </w:t>
      </w:r>
      <w:r w:rsidR="00550CF0" w:rsidRPr="004202D8">
        <w:rPr>
          <w:rFonts w:cstheme="minorHAnsi"/>
          <w:b/>
          <w:color w:val="000000" w:themeColor="text1"/>
          <w:u w:val="single"/>
          <w:lang w:val="fr-FR"/>
        </w:rPr>
        <w:t>Qualifications et Expérience requises</w:t>
      </w:r>
    </w:p>
    <w:tbl>
      <w:tblPr>
        <w:tblStyle w:val="Grilledutableau"/>
        <w:tblW w:w="9535" w:type="dxa"/>
        <w:tblLook w:val="04A0"/>
      </w:tblPr>
      <w:tblGrid>
        <w:gridCol w:w="9535"/>
      </w:tblGrid>
      <w:tr w:rsidR="004F20E7" w:rsidRPr="004B2900" w:rsidTr="00E54571">
        <w:tc>
          <w:tcPr>
            <w:tcW w:w="9535" w:type="dxa"/>
          </w:tcPr>
          <w:p w:rsidR="00EB6C4D" w:rsidRPr="004202D8" w:rsidRDefault="00A04203" w:rsidP="00A04203">
            <w:pPr>
              <w:spacing w:before="120" w:after="120" w:line="288" w:lineRule="auto"/>
              <w:jc w:val="both"/>
              <w:rPr>
                <w:rFonts w:cstheme="minorHAnsi"/>
                <w:color w:val="000000" w:themeColor="text1"/>
                <w:lang w:val="fr-FR"/>
              </w:rPr>
            </w:pPr>
            <w:r w:rsidRPr="004202D8">
              <w:rPr>
                <w:rFonts w:cstheme="minorHAnsi"/>
                <w:color w:val="000000" w:themeColor="text1"/>
                <w:u w:val="single"/>
                <w:lang w:val="fr-FR"/>
              </w:rPr>
              <w:t>I. Qualifications académiques :</w:t>
            </w:r>
          </w:p>
          <w:p w:rsidR="002F4646" w:rsidRPr="004202D8" w:rsidRDefault="000278A7" w:rsidP="00AC71DC">
            <w:pPr>
              <w:numPr>
                <w:ilvl w:val="0"/>
                <w:numId w:val="2"/>
              </w:numPr>
              <w:jc w:val="both"/>
              <w:rPr>
                <w:rFonts w:cs="Arial"/>
                <w:lang w:val="fr-BE"/>
              </w:rPr>
            </w:pPr>
            <w:r w:rsidRPr="004202D8">
              <w:rPr>
                <w:lang w:val="fr-FR"/>
              </w:rPr>
              <w:t xml:space="preserve">Être détenteur </w:t>
            </w:r>
            <w:r w:rsidR="004202D8">
              <w:rPr>
                <w:lang w:val="fr-FR"/>
              </w:rPr>
              <w:t>d’une licence</w:t>
            </w:r>
            <w:r w:rsidR="00737860" w:rsidRPr="004202D8">
              <w:rPr>
                <w:rFonts w:eastAsia="Times New Roman" w:cstheme="majorHAnsi"/>
                <w:lang w:val="fr-FR"/>
              </w:rPr>
              <w:t xml:space="preserve"> ou équivalent en administration des affaires, administration publique, économie, sciences politiques, sciences sociales ou domaine connexe.</w:t>
            </w:r>
          </w:p>
          <w:p w:rsidR="000278A7" w:rsidRPr="004202D8" w:rsidRDefault="00A04203" w:rsidP="000278A7">
            <w:pPr>
              <w:spacing w:before="120" w:after="120" w:line="288" w:lineRule="auto"/>
              <w:jc w:val="both"/>
              <w:rPr>
                <w:rFonts w:cstheme="minorHAnsi"/>
                <w:color w:val="000000" w:themeColor="text1"/>
                <w:u w:val="single"/>
                <w:lang w:val="fr-FR"/>
              </w:rPr>
            </w:pPr>
            <w:r w:rsidRPr="004202D8">
              <w:rPr>
                <w:rFonts w:cstheme="minorHAnsi"/>
                <w:color w:val="000000" w:themeColor="text1"/>
                <w:u w:val="single"/>
                <w:lang w:val="fr-FR"/>
              </w:rPr>
              <w:t>II. Expérience :</w:t>
            </w:r>
          </w:p>
          <w:p w:rsidR="00737860" w:rsidRPr="004202D8" w:rsidRDefault="00737860" w:rsidP="00737860">
            <w:pPr>
              <w:pStyle w:val="Paragraphedeliste"/>
              <w:numPr>
                <w:ilvl w:val="0"/>
                <w:numId w:val="15"/>
              </w:numPr>
              <w:jc w:val="both"/>
              <w:rPr>
                <w:rFonts w:eastAsia="Times New Roman" w:cstheme="majorHAnsi"/>
                <w:lang w:val="fr-FR"/>
              </w:rPr>
            </w:pPr>
            <w:r w:rsidRPr="004202D8">
              <w:rPr>
                <w:rFonts w:eastAsia="Times New Roman" w:cstheme="majorHAnsi"/>
                <w:lang w:val="fr-FR"/>
              </w:rPr>
              <w:t>5 ans d'expérience pertinente au niveau national ou international dans la Gouvernance locale ;</w:t>
            </w:r>
          </w:p>
          <w:p w:rsidR="00737860" w:rsidRPr="004202D8" w:rsidRDefault="00737860" w:rsidP="00737860">
            <w:pPr>
              <w:pStyle w:val="Paragraphedeliste"/>
              <w:numPr>
                <w:ilvl w:val="0"/>
                <w:numId w:val="15"/>
              </w:numPr>
              <w:jc w:val="both"/>
              <w:rPr>
                <w:rFonts w:eastAsia="Times New Roman" w:cstheme="majorHAnsi"/>
                <w:lang w:val="fr-FR"/>
              </w:rPr>
            </w:pPr>
            <w:r w:rsidRPr="004202D8">
              <w:rPr>
                <w:rFonts w:eastAsia="Times New Roman" w:cstheme="majorHAnsi"/>
                <w:lang w:val="fr-FR"/>
              </w:rPr>
              <w:t>Expérience pratique dans la conception, la gestion, le suivi et l'évaluation des programmes/projets de développement ;</w:t>
            </w:r>
          </w:p>
          <w:p w:rsidR="000278A7" w:rsidRPr="004202D8" w:rsidRDefault="000278A7" w:rsidP="000278A7">
            <w:pPr>
              <w:pStyle w:val="Paragraphedeliste"/>
              <w:jc w:val="both"/>
              <w:rPr>
                <w:lang w:val="fr-FR"/>
              </w:rPr>
            </w:pPr>
          </w:p>
          <w:p w:rsidR="00A04203" w:rsidRPr="004202D8" w:rsidRDefault="00A04203" w:rsidP="00EB6C4D">
            <w:pPr>
              <w:jc w:val="both"/>
              <w:rPr>
                <w:rFonts w:cstheme="minorHAnsi"/>
                <w:color w:val="000000" w:themeColor="text1"/>
                <w:u w:val="single"/>
                <w:lang w:val="fr-FR"/>
              </w:rPr>
            </w:pPr>
            <w:r w:rsidRPr="004202D8">
              <w:rPr>
                <w:rFonts w:cstheme="minorHAnsi"/>
                <w:color w:val="000000" w:themeColor="text1"/>
                <w:u w:val="single"/>
                <w:lang w:val="fr-FR"/>
              </w:rPr>
              <w:t>III. : Langues</w:t>
            </w:r>
          </w:p>
          <w:p w:rsidR="007E26CE" w:rsidRPr="004202D8" w:rsidRDefault="00737860" w:rsidP="00503C1A">
            <w:pPr>
              <w:jc w:val="both"/>
              <w:rPr>
                <w:rFonts w:eastAsia="Times New Roman" w:cstheme="majorHAnsi"/>
                <w:lang w:val="fr-FR"/>
              </w:rPr>
            </w:pPr>
            <w:r w:rsidRPr="004202D8">
              <w:rPr>
                <w:rFonts w:eastAsia="Times New Roman" w:cstheme="majorHAnsi"/>
                <w:lang w:val="fr-FR"/>
              </w:rPr>
              <w:t xml:space="preserve">Maîtrise indispensable des langues nationales du lieu d'affectation notamment le </w:t>
            </w:r>
            <w:r w:rsidRPr="004202D8">
              <w:rPr>
                <w:rFonts w:eastAsia="Times New Roman" w:cstheme="majorHAnsi"/>
                <w:b/>
                <w:bCs/>
                <w:lang w:val="fr-FR"/>
              </w:rPr>
              <w:t xml:space="preserve">Lingala </w:t>
            </w:r>
            <w:r w:rsidRPr="004202D8">
              <w:rPr>
                <w:rFonts w:eastAsia="Times New Roman" w:cstheme="majorHAnsi"/>
                <w:lang w:val="fr-FR"/>
              </w:rPr>
              <w:t xml:space="preserve">(Ituri) et le </w:t>
            </w:r>
            <w:r w:rsidRPr="004202D8">
              <w:rPr>
                <w:rFonts w:eastAsia="Times New Roman" w:cstheme="majorHAnsi"/>
                <w:b/>
                <w:bCs/>
                <w:lang w:val="fr-FR"/>
              </w:rPr>
              <w:t>Swahili</w:t>
            </w:r>
            <w:r w:rsidRPr="004202D8">
              <w:rPr>
                <w:rFonts w:eastAsia="Times New Roman" w:cstheme="majorHAnsi"/>
                <w:lang w:val="fr-FR"/>
              </w:rPr>
              <w:t xml:space="preserve"> (Nord-Kivu) et la connaissance des langues de l'ONU (notamment la </w:t>
            </w:r>
            <w:r w:rsidRPr="004202D8">
              <w:rPr>
                <w:rFonts w:eastAsia="Times New Roman" w:cstheme="majorHAnsi"/>
                <w:b/>
                <w:bCs/>
                <w:lang w:val="fr-FR"/>
              </w:rPr>
              <w:t>langue française</w:t>
            </w:r>
            <w:r w:rsidRPr="004202D8">
              <w:rPr>
                <w:rFonts w:eastAsia="Times New Roman" w:cstheme="majorHAnsi"/>
                <w:lang w:val="fr-FR"/>
              </w:rPr>
              <w:t>) tant à l’écrit qu’à l’oral est fortement recommandée.</w:t>
            </w:r>
          </w:p>
          <w:p w:rsidR="00737860" w:rsidRPr="004202D8" w:rsidRDefault="00737860" w:rsidP="00503C1A">
            <w:pPr>
              <w:jc w:val="both"/>
              <w:rPr>
                <w:rFonts w:eastAsia="Times New Roman" w:cstheme="majorHAnsi"/>
                <w:lang w:val="fr-FR"/>
              </w:rPr>
            </w:pPr>
          </w:p>
          <w:p w:rsidR="00737860" w:rsidRPr="004202D8" w:rsidRDefault="00737860" w:rsidP="00503C1A">
            <w:pPr>
              <w:jc w:val="both"/>
              <w:rPr>
                <w:rFonts w:eastAsia="Times New Roman" w:cs="Times New Roman"/>
                <w:color w:val="000000" w:themeColor="text1"/>
                <w:u w:val="single"/>
                <w:lang w:val="fr-FR"/>
              </w:rPr>
            </w:pPr>
            <w:r w:rsidRPr="004202D8">
              <w:rPr>
                <w:rFonts w:eastAsia="Times New Roman" w:cstheme="majorHAnsi"/>
                <w:u w:val="single"/>
                <w:lang w:val="fr-FR"/>
              </w:rPr>
              <w:t>VI. Compétences et facteurs clés de réussite</w:t>
            </w:r>
          </w:p>
          <w:p w:rsidR="00737860" w:rsidRPr="004202D8" w:rsidRDefault="00737860" w:rsidP="00503C1A">
            <w:pPr>
              <w:jc w:val="both"/>
              <w:rPr>
                <w:rFonts w:eastAsia="Times New Roman" w:cs="Times New Roman"/>
                <w:color w:val="000000" w:themeColor="text1"/>
                <w:lang w:val="fr-FR"/>
              </w:rPr>
            </w:pPr>
          </w:p>
          <w:p w:rsidR="00737860" w:rsidRPr="004202D8" w:rsidRDefault="00737860" w:rsidP="00737860">
            <w:pPr>
              <w:spacing w:line="276" w:lineRule="auto"/>
              <w:jc w:val="both"/>
              <w:rPr>
                <w:rFonts w:eastAsia="Times New Roman" w:cstheme="majorHAnsi"/>
                <w:b/>
              </w:rPr>
            </w:pPr>
            <w:r w:rsidRPr="004202D8">
              <w:rPr>
                <w:rFonts w:eastAsia="Times New Roman" w:cstheme="majorHAnsi"/>
                <w:b/>
              </w:rPr>
              <w:t>Compétencesgénérales</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Faire preuve d'intégrité à travers le respect des standards de l'ONU et de l’éthique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Promouvoir la vision, la mission et les objectifs stratégiques du PNUD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lang w:val="fr-FR"/>
              </w:rPr>
              <w:t>Faire preuve de respect et capacité d’adaptation par rapport aux personnes et leur culture, sexe, religion, race, nationalité et/ou âge </w:t>
            </w:r>
            <w:r w:rsidRPr="004202D8">
              <w:rPr>
                <w:rFonts w:eastAsia="Times New Roman" w:cstheme="majorHAnsi"/>
                <w:bCs/>
                <w:lang w:val="fr-FR"/>
              </w:rPr>
              <w:t>;</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S’adapter aux aspects relatifs à la culture, au sexe, à la religion, à la race, à la nationalité et à l'âge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Traiter tous les gens équitablement et sans favoritisme.</w:t>
            </w:r>
          </w:p>
          <w:p w:rsidR="00737860" w:rsidRPr="004202D8" w:rsidRDefault="00737860" w:rsidP="00737860">
            <w:pPr>
              <w:spacing w:line="276" w:lineRule="auto"/>
              <w:jc w:val="both"/>
              <w:rPr>
                <w:rFonts w:eastAsia="Times New Roman" w:cstheme="majorHAnsi"/>
                <w:bCs/>
                <w:lang w:val="fr-FR"/>
              </w:rPr>
            </w:pPr>
          </w:p>
          <w:p w:rsidR="00737860" w:rsidRPr="004202D8" w:rsidRDefault="00737860" w:rsidP="00737860">
            <w:pPr>
              <w:spacing w:line="276" w:lineRule="auto"/>
              <w:jc w:val="both"/>
              <w:rPr>
                <w:rFonts w:eastAsia="Times New Roman" w:cstheme="majorHAnsi"/>
                <w:bCs/>
                <w:u w:val="single"/>
                <w:lang w:val="fr-FR"/>
              </w:rPr>
            </w:pPr>
            <w:r w:rsidRPr="004202D8">
              <w:rPr>
                <w:rFonts w:eastAsia="Times New Roman" w:cstheme="majorHAnsi"/>
                <w:b/>
                <w:lang w:val="fr-FR"/>
              </w:rPr>
              <w:t>Compétences fonctionnelles :</w:t>
            </w:r>
          </w:p>
          <w:p w:rsidR="00737860" w:rsidRPr="004202D8" w:rsidRDefault="00737860" w:rsidP="00737860">
            <w:pPr>
              <w:spacing w:line="276" w:lineRule="auto"/>
              <w:ind w:left="360"/>
              <w:jc w:val="both"/>
              <w:rPr>
                <w:rFonts w:eastAsia="Times New Roman" w:cstheme="majorHAnsi"/>
                <w:bCs/>
                <w:u w:val="single"/>
                <w:lang w:val="fr-FR"/>
              </w:rPr>
            </w:pPr>
            <w:r w:rsidRPr="004202D8">
              <w:rPr>
                <w:rFonts w:eastAsia="Times New Roman" w:cstheme="majorHAnsi"/>
                <w:bCs/>
                <w:u w:val="single"/>
                <w:lang w:val="fr-FR"/>
              </w:rPr>
              <w:t>Gestion des connaissances et apprentissage</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Promouvoir un partage des connaissances et une culture d'apprentissage dans le Bureau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lastRenderedPageBreak/>
              <w:t>Connaissance approfondie des questions de développement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Capacité à défendre et à fournir des conseils stratégiques ;</w:t>
            </w:r>
          </w:p>
          <w:p w:rsidR="00737860" w:rsidRPr="004202D8" w:rsidRDefault="00737860" w:rsidP="00737860">
            <w:pPr>
              <w:numPr>
                <w:ilvl w:val="0"/>
                <w:numId w:val="17"/>
              </w:numPr>
              <w:tabs>
                <w:tab w:val="clear" w:pos="360"/>
              </w:tabs>
              <w:spacing w:line="276" w:lineRule="auto"/>
              <w:ind w:left="709"/>
              <w:jc w:val="both"/>
              <w:rPr>
                <w:rFonts w:eastAsia="Times New Roman" w:cstheme="majorHAnsi"/>
                <w:shd w:val="clear" w:color="auto" w:fill="FFFFFF"/>
                <w:lang w:val="fr-FR"/>
              </w:rPr>
            </w:pPr>
            <w:r w:rsidRPr="004202D8">
              <w:rPr>
                <w:rFonts w:eastAsia="Times New Roman" w:cstheme="majorHAnsi"/>
                <w:bCs/>
                <w:lang w:val="fr-FR"/>
              </w:rPr>
              <w:t>Travailler activement à l'apprentissage personnel continu et de développement dans un ou plusieurs domaines pratiques, agir pour le plan d'apprentissage et appliquer les compétences nouvellement acquises</w:t>
            </w:r>
          </w:p>
          <w:p w:rsidR="00737860" w:rsidRPr="004202D8" w:rsidRDefault="00737860" w:rsidP="00737860">
            <w:pPr>
              <w:spacing w:line="276" w:lineRule="auto"/>
              <w:ind w:left="360"/>
              <w:jc w:val="both"/>
              <w:rPr>
                <w:rFonts w:eastAsia="Times New Roman" w:cstheme="majorHAnsi"/>
                <w:b/>
                <w:lang w:val="fr-FR"/>
              </w:rPr>
            </w:pPr>
          </w:p>
          <w:p w:rsidR="00737860" w:rsidRPr="004202D8" w:rsidRDefault="00737860" w:rsidP="00737860">
            <w:pPr>
              <w:spacing w:line="276" w:lineRule="auto"/>
              <w:ind w:left="360"/>
              <w:jc w:val="both"/>
              <w:rPr>
                <w:rFonts w:eastAsia="Times New Roman" w:cstheme="majorHAnsi"/>
                <w:b/>
                <w:lang w:val="fr-FR"/>
              </w:rPr>
            </w:pPr>
            <w:r w:rsidRPr="004202D8">
              <w:rPr>
                <w:rFonts w:eastAsia="Times New Roman" w:cstheme="majorHAnsi"/>
                <w:bCs/>
                <w:u w:val="single"/>
                <w:lang w:val="fr-FR"/>
              </w:rPr>
              <w:t>Développement et efficacité opérationnelle</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Capacité de diriger la planification stratégique, la gestion basée sur les résultats et les rapports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Habilité à diriger la formulation, l'exécution, le suivi et l'évaluation des programmes et projets de développement, mobiliser les ressources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Bonne connaissance du Guide de Gestion des Résultats et des outils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Fortes compétences en Technologies d’Information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Capacité de diriger la mise en œuvre de nouveaux systèmes ou plans de développement et d’influencer positivement le changement de comportement / d'attitude du Staff</w:t>
            </w:r>
          </w:p>
          <w:p w:rsidR="00737860" w:rsidRPr="004202D8" w:rsidRDefault="00737860" w:rsidP="00737860">
            <w:pPr>
              <w:spacing w:line="276" w:lineRule="auto"/>
              <w:ind w:left="360"/>
              <w:jc w:val="both"/>
              <w:rPr>
                <w:rFonts w:eastAsia="Times New Roman" w:cstheme="majorHAnsi"/>
                <w:bCs/>
                <w:lang w:val="fr-FR"/>
              </w:rPr>
            </w:pPr>
          </w:p>
          <w:p w:rsidR="00737860" w:rsidRPr="004202D8" w:rsidRDefault="00737860" w:rsidP="00737860">
            <w:pPr>
              <w:spacing w:line="276" w:lineRule="auto"/>
              <w:ind w:left="360"/>
              <w:jc w:val="both"/>
              <w:rPr>
                <w:rFonts w:eastAsia="Times New Roman" w:cstheme="majorHAnsi"/>
                <w:b/>
                <w:lang w:val="fr-FR"/>
              </w:rPr>
            </w:pPr>
            <w:r w:rsidRPr="004202D8">
              <w:rPr>
                <w:rFonts w:eastAsia="Times New Roman" w:cstheme="majorHAnsi"/>
                <w:bCs/>
                <w:u w:val="single"/>
                <w:lang w:val="fr-FR"/>
              </w:rPr>
              <w:t>Gestion et Leadership</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Veiller à l’impact et aux résultats des projets / programmes sur les bénéficiaires (clients) et réagir positivement à leurs commentaires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Diriger les équipes de façon efficace et démontrer les compétences dans le domaine de la résolution des conflits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Avoir régulièrement les approches de travail énergique et une attitude positive et constructive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Démontrer de solides compétences en communication orale et écrite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Etablir des relations solides avec les bénéficiaires (clients) et les acteurs externes ;</w:t>
            </w:r>
          </w:p>
          <w:p w:rsidR="00737860" w:rsidRPr="004202D8" w:rsidRDefault="00737860" w:rsidP="00737860">
            <w:pPr>
              <w:numPr>
                <w:ilvl w:val="0"/>
                <w:numId w:val="17"/>
              </w:numPr>
              <w:tabs>
                <w:tab w:val="clear" w:pos="360"/>
              </w:tabs>
              <w:spacing w:line="276" w:lineRule="auto"/>
              <w:ind w:left="709"/>
              <w:jc w:val="both"/>
              <w:rPr>
                <w:rFonts w:eastAsia="Times New Roman" w:cstheme="majorHAnsi"/>
                <w:bCs/>
                <w:lang w:val="fr-FR"/>
              </w:rPr>
            </w:pPr>
            <w:r w:rsidRPr="004202D8">
              <w:rPr>
                <w:rFonts w:eastAsia="Times New Roman" w:cstheme="majorHAnsi"/>
                <w:bCs/>
                <w:lang w:val="fr-FR"/>
              </w:rPr>
              <w:t>Demeurer calme, en contrôle et de bonne humeur même sous pression ;</w:t>
            </w:r>
          </w:p>
          <w:p w:rsidR="005A3B34" w:rsidRPr="004202D8" w:rsidRDefault="00737860" w:rsidP="00737860">
            <w:pPr>
              <w:jc w:val="both"/>
              <w:rPr>
                <w:rFonts w:eastAsia="Times New Roman" w:cs="Times New Roman"/>
                <w:color w:val="000000" w:themeColor="text1"/>
                <w:lang w:val="fr-FR"/>
              </w:rPr>
            </w:pPr>
            <w:r w:rsidRPr="004202D8">
              <w:rPr>
                <w:rFonts w:eastAsia="Times New Roman" w:cstheme="majorHAnsi"/>
                <w:bCs/>
                <w:lang w:val="fr-FR"/>
              </w:rPr>
              <w:t>Démontrer une ouverture au changement et la capacité de gérer les complexités.</w:t>
            </w:r>
          </w:p>
        </w:tc>
      </w:tr>
    </w:tbl>
    <w:p w:rsidR="00916940" w:rsidRPr="004202D8" w:rsidRDefault="00916940" w:rsidP="00A24134">
      <w:pPr>
        <w:rPr>
          <w:rFonts w:cstheme="minorHAnsi"/>
          <w:b/>
          <w:color w:val="000000" w:themeColor="text1"/>
          <w:lang w:val="fr-FR"/>
        </w:rPr>
      </w:pPr>
    </w:p>
    <w:p w:rsidR="002223E0" w:rsidRPr="004202D8" w:rsidRDefault="008B2DF8" w:rsidP="00A24134">
      <w:pPr>
        <w:rPr>
          <w:rFonts w:cstheme="minorHAnsi"/>
          <w:b/>
          <w:color w:val="000000" w:themeColor="text1"/>
          <w:u w:val="single"/>
          <w:lang w:val="fr-FR"/>
        </w:rPr>
      </w:pPr>
      <w:r w:rsidRPr="004202D8">
        <w:rPr>
          <w:rFonts w:cstheme="minorHAnsi"/>
          <w:b/>
          <w:color w:val="000000" w:themeColor="text1"/>
          <w:u w:val="single"/>
        </w:rPr>
        <w:t>7</w:t>
      </w:r>
      <w:r w:rsidR="00D20044" w:rsidRPr="004202D8">
        <w:rPr>
          <w:rFonts w:cstheme="minorHAnsi"/>
          <w:b/>
          <w:color w:val="000000" w:themeColor="text1"/>
          <w:u w:val="single"/>
        </w:rPr>
        <w:t>.</w:t>
      </w:r>
      <w:r w:rsidR="000440EC" w:rsidRPr="004202D8">
        <w:rPr>
          <w:rFonts w:eastAsia="Calibri" w:cstheme="minorHAnsi"/>
          <w:b/>
          <w:color w:val="000000" w:themeColor="text1"/>
          <w:u w:val="single"/>
          <w:lang w:val="fr-FR"/>
        </w:rPr>
        <w:t>Documents constitutifs de l’offre</w:t>
      </w:r>
    </w:p>
    <w:tbl>
      <w:tblPr>
        <w:tblStyle w:val="Grilledutableau"/>
        <w:tblW w:w="0" w:type="auto"/>
        <w:tblLook w:val="04A0"/>
      </w:tblPr>
      <w:tblGrid>
        <w:gridCol w:w="9576"/>
      </w:tblGrid>
      <w:tr w:rsidR="004F20E7" w:rsidRPr="004B2900" w:rsidTr="007E3539">
        <w:trPr>
          <w:trHeight w:val="755"/>
        </w:trPr>
        <w:tc>
          <w:tcPr>
            <w:tcW w:w="9576" w:type="dxa"/>
          </w:tcPr>
          <w:p w:rsidR="00DB13D3" w:rsidRPr="004202D8" w:rsidRDefault="00845D5B" w:rsidP="0065710B">
            <w:pPr>
              <w:rPr>
                <w:rFonts w:cstheme="minorHAnsi"/>
                <w:color w:val="000000" w:themeColor="text1"/>
                <w:lang w:val="fr-FR"/>
              </w:rPr>
            </w:pPr>
            <w:r w:rsidRPr="004202D8">
              <w:rPr>
                <w:rFonts w:cstheme="minorHAnsi"/>
                <w:color w:val="000000" w:themeColor="text1"/>
                <w:lang w:val="fr-FR"/>
              </w:rPr>
              <w:t>Les consultants intéressés doivent inclure dans leurs offres les documents/informations ci-dessous :</w:t>
            </w:r>
          </w:p>
          <w:p w:rsidR="00845D5B" w:rsidRPr="004202D8" w:rsidRDefault="00845D5B" w:rsidP="0065710B">
            <w:pPr>
              <w:rPr>
                <w:rFonts w:cstheme="minorHAnsi"/>
                <w:color w:val="000000" w:themeColor="text1"/>
                <w:lang w:val="fr-FR"/>
              </w:rPr>
            </w:pPr>
          </w:p>
          <w:p w:rsidR="0065710B" w:rsidRPr="004202D8" w:rsidRDefault="000B254C" w:rsidP="0065710B">
            <w:pPr>
              <w:rPr>
                <w:rFonts w:cstheme="minorHAnsi"/>
                <w:b/>
                <w:color w:val="000000" w:themeColor="text1"/>
                <w:lang w:val="fr-FR"/>
              </w:rPr>
            </w:pPr>
            <w:r w:rsidRPr="004202D8">
              <w:rPr>
                <w:rFonts w:cstheme="minorHAnsi"/>
                <w:b/>
                <w:color w:val="000000" w:themeColor="text1"/>
                <w:lang w:val="fr-FR"/>
              </w:rPr>
              <w:t xml:space="preserve">1. Proposition </w:t>
            </w:r>
            <w:r w:rsidR="00845D5B" w:rsidRPr="004202D8">
              <w:rPr>
                <w:rFonts w:cstheme="minorHAnsi"/>
                <w:b/>
                <w:color w:val="000000" w:themeColor="text1"/>
                <w:lang w:val="fr-FR"/>
              </w:rPr>
              <w:t>technique :</w:t>
            </w:r>
          </w:p>
          <w:p w:rsidR="00200AA0" w:rsidRPr="004202D8" w:rsidRDefault="00200AA0" w:rsidP="0065710B">
            <w:pPr>
              <w:rPr>
                <w:rFonts w:cstheme="minorHAnsi"/>
                <w:color w:val="000000" w:themeColor="text1"/>
                <w:lang w:val="fr-FR"/>
              </w:rPr>
            </w:pPr>
          </w:p>
          <w:p w:rsidR="00550CF0" w:rsidRPr="004202D8" w:rsidRDefault="00550CF0" w:rsidP="00AC71DC">
            <w:pPr>
              <w:pStyle w:val="Paragraphedeliste"/>
              <w:numPr>
                <w:ilvl w:val="0"/>
                <w:numId w:val="1"/>
              </w:numPr>
              <w:rPr>
                <w:rFonts w:cstheme="minorHAnsi"/>
                <w:color w:val="000000" w:themeColor="text1"/>
                <w:lang w:val="fr-FR"/>
              </w:rPr>
            </w:pPr>
            <w:r w:rsidRPr="004202D8">
              <w:rPr>
                <w:rFonts w:cstheme="minorHAnsi"/>
                <w:color w:val="000000" w:themeColor="text1"/>
                <w:lang w:val="fr-FR"/>
              </w:rPr>
              <w:t>Une note explicative sur la compréhension des termes de référence et les raisons de la candidature ;</w:t>
            </w:r>
          </w:p>
          <w:p w:rsidR="00550CF0" w:rsidRPr="004202D8" w:rsidRDefault="00550CF0" w:rsidP="00AC71DC">
            <w:pPr>
              <w:pStyle w:val="Paragraphedeliste"/>
              <w:numPr>
                <w:ilvl w:val="0"/>
                <w:numId w:val="1"/>
              </w:numPr>
              <w:rPr>
                <w:rFonts w:cstheme="minorHAnsi"/>
                <w:color w:val="000000" w:themeColor="text1"/>
                <w:lang w:val="fr-FR"/>
              </w:rPr>
            </w:pPr>
            <w:r w:rsidRPr="004202D8">
              <w:rPr>
                <w:rFonts w:cstheme="minorHAnsi"/>
                <w:color w:val="000000" w:themeColor="text1"/>
                <w:lang w:val="fr-FR"/>
              </w:rPr>
              <w:t>Une brève présentation de l’approche méthodologique et de l’organisation envisagée de la mission</w:t>
            </w:r>
            <w:r w:rsidR="000247EB" w:rsidRPr="004202D8">
              <w:rPr>
                <w:rFonts w:cstheme="minorHAnsi"/>
                <w:color w:val="000000" w:themeColor="text1"/>
                <w:lang w:val="fr-FR"/>
              </w:rPr>
              <w:t xml:space="preserve"> (chronogramme et plan de travail)</w:t>
            </w:r>
            <w:r w:rsidRPr="004202D8">
              <w:rPr>
                <w:rFonts w:cstheme="minorHAnsi"/>
                <w:color w:val="000000" w:themeColor="text1"/>
                <w:lang w:val="fr-FR"/>
              </w:rPr>
              <w:t xml:space="preserve"> ; </w:t>
            </w:r>
          </w:p>
          <w:p w:rsidR="00FC096F" w:rsidRPr="004202D8" w:rsidRDefault="00550CF0" w:rsidP="00AC71DC">
            <w:pPr>
              <w:pStyle w:val="Paragraphedeliste"/>
              <w:numPr>
                <w:ilvl w:val="0"/>
                <w:numId w:val="1"/>
              </w:numPr>
              <w:rPr>
                <w:rFonts w:cstheme="minorHAnsi"/>
                <w:color w:val="000000" w:themeColor="text1"/>
                <w:lang w:val="fr-FR"/>
              </w:rPr>
            </w:pPr>
            <w:r w:rsidRPr="004202D8">
              <w:rPr>
                <w:rFonts w:cstheme="minorHAnsi"/>
                <w:color w:val="000000" w:themeColor="text1"/>
                <w:lang w:val="fr-FR"/>
              </w:rPr>
              <w:t>CV</w:t>
            </w:r>
            <w:r w:rsidR="009D4722" w:rsidRPr="004202D8">
              <w:rPr>
                <w:rFonts w:cstheme="minorHAnsi"/>
                <w:color w:val="000000" w:themeColor="text1"/>
                <w:lang w:val="fr-FR"/>
              </w:rPr>
              <w:t xml:space="preserve"> détaillé</w:t>
            </w:r>
            <w:r w:rsidRPr="004202D8">
              <w:rPr>
                <w:rFonts w:cstheme="minorHAnsi"/>
                <w:color w:val="000000" w:themeColor="text1"/>
                <w:lang w:val="fr-FR"/>
              </w:rPr>
              <w:t xml:space="preserve"> incluant notamment les expériences acquises dans les projets, domaines similaires ou connexes et 3 références. </w:t>
            </w:r>
          </w:p>
          <w:p w:rsidR="00550CF0" w:rsidRPr="004202D8" w:rsidRDefault="00550CF0" w:rsidP="00550CF0">
            <w:pPr>
              <w:pStyle w:val="Paragraphedeliste"/>
              <w:rPr>
                <w:rFonts w:cstheme="minorHAnsi"/>
                <w:color w:val="000000" w:themeColor="text1"/>
                <w:lang w:val="fr-FR"/>
              </w:rPr>
            </w:pPr>
          </w:p>
          <w:p w:rsidR="003A7D2F" w:rsidRPr="004202D8" w:rsidRDefault="003A7D2F" w:rsidP="003A7D2F">
            <w:pPr>
              <w:rPr>
                <w:rFonts w:cstheme="minorHAnsi"/>
                <w:b/>
                <w:color w:val="000000" w:themeColor="text1"/>
                <w:lang w:val="fr-FR"/>
              </w:rPr>
            </w:pPr>
            <w:r w:rsidRPr="004202D8">
              <w:rPr>
                <w:rFonts w:cstheme="minorHAnsi"/>
                <w:b/>
                <w:color w:val="000000" w:themeColor="text1"/>
                <w:lang w:val="fr-FR"/>
              </w:rPr>
              <w:t xml:space="preserve">2. Lettre d´offre avec une proposition financière – </w:t>
            </w:r>
            <w:r w:rsidRPr="004202D8">
              <w:rPr>
                <w:rFonts w:cstheme="minorHAnsi"/>
                <w:b/>
                <w:i/>
                <w:color w:val="000000" w:themeColor="text1"/>
                <w:lang w:val="fr-FR"/>
              </w:rPr>
              <w:t xml:space="preserve">Lettre de soumission au PNUD confirmant l´intérêt </w:t>
            </w:r>
            <w:r w:rsidRPr="004202D8">
              <w:rPr>
                <w:rFonts w:cstheme="minorHAnsi"/>
                <w:b/>
                <w:i/>
                <w:color w:val="000000" w:themeColor="text1"/>
                <w:lang w:val="fr-FR"/>
              </w:rPr>
              <w:lastRenderedPageBreak/>
              <w:t>et la disponibilité du prestataire individuel (IC) pour la mission</w:t>
            </w:r>
            <w:r w:rsidRPr="004202D8">
              <w:rPr>
                <w:rFonts w:cstheme="minorHAnsi"/>
                <w:b/>
                <w:color w:val="000000" w:themeColor="text1"/>
                <w:lang w:val="fr-FR"/>
              </w:rPr>
              <w:t xml:space="preserve"> – Annexe 2</w:t>
            </w:r>
          </w:p>
          <w:p w:rsidR="003A7D2F" w:rsidRPr="004202D8" w:rsidRDefault="003A7D2F" w:rsidP="003A7D2F">
            <w:pPr>
              <w:rPr>
                <w:rFonts w:cstheme="minorHAnsi"/>
                <w:color w:val="000000" w:themeColor="text1"/>
                <w:lang w:val="fr-FR"/>
              </w:rPr>
            </w:pPr>
          </w:p>
          <w:p w:rsidR="003A7D2F" w:rsidRPr="004202D8" w:rsidRDefault="003A7D2F" w:rsidP="00AC71DC">
            <w:pPr>
              <w:pStyle w:val="Paragraphedeliste"/>
              <w:numPr>
                <w:ilvl w:val="0"/>
                <w:numId w:val="3"/>
              </w:numPr>
              <w:rPr>
                <w:rFonts w:cstheme="minorHAnsi"/>
                <w:color w:val="000000" w:themeColor="text1"/>
                <w:lang w:val="fr-FR"/>
              </w:rPr>
            </w:pPr>
            <w:r w:rsidRPr="004202D8">
              <w:rPr>
                <w:rFonts w:cstheme="minorHAnsi"/>
                <w:color w:val="000000" w:themeColor="text1"/>
                <w:lang w:val="fr-FR"/>
              </w:rPr>
              <w:t>Le/la Consultant(e) doit</w:t>
            </w:r>
            <w:r w:rsidRPr="004202D8">
              <w:rPr>
                <w:color w:val="000000" w:themeColor="text1"/>
                <w:lang w:val="fr-FR"/>
              </w:rPr>
              <w:t xml:space="preserve"> remplir et signer la </w:t>
            </w:r>
            <w:r w:rsidRPr="004202D8">
              <w:rPr>
                <w:rFonts w:cstheme="minorHAnsi"/>
                <w:i/>
                <w:color w:val="000000" w:themeColor="text1"/>
                <w:lang w:val="fr-FR"/>
              </w:rPr>
              <w:t xml:space="preserve">Lettre de soumission au PNUD confirmant l´intérêt et la disponibilité du prestataire individuel (IC) pour la mission </w:t>
            </w:r>
            <w:r w:rsidRPr="004202D8">
              <w:rPr>
                <w:rFonts w:cstheme="minorHAnsi"/>
                <w:color w:val="000000" w:themeColor="text1"/>
                <w:lang w:val="fr-FR"/>
              </w:rPr>
              <w:t>– Annexe 2.</w:t>
            </w:r>
          </w:p>
          <w:p w:rsidR="003A7D2F" w:rsidRPr="004202D8" w:rsidRDefault="003A7D2F" w:rsidP="00AC71DC">
            <w:pPr>
              <w:pStyle w:val="Paragraphedeliste"/>
              <w:numPr>
                <w:ilvl w:val="0"/>
                <w:numId w:val="3"/>
              </w:numPr>
              <w:rPr>
                <w:rFonts w:cstheme="minorHAnsi"/>
                <w:color w:val="000000" w:themeColor="text1"/>
                <w:lang w:val="fr-FR"/>
              </w:rPr>
            </w:pPr>
            <w:r w:rsidRPr="004202D8">
              <w:rPr>
                <w:rFonts w:cstheme="minorHAnsi"/>
                <w:color w:val="000000" w:themeColor="text1"/>
                <w:lang w:val="fr-FR"/>
              </w:rPr>
              <w:t>Le/la Consultant(e) doit proposer un montant forfaitaire et présenter dans le Tableau des coûts</w:t>
            </w:r>
            <w:r w:rsidR="004A17C5" w:rsidRPr="004202D8">
              <w:rPr>
                <w:rFonts w:cstheme="minorHAnsi"/>
                <w:color w:val="000000" w:themeColor="text1"/>
                <w:lang w:val="fr-FR"/>
              </w:rPr>
              <w:t>,</w:t>
            </w:r>
            <w:r w:rsidRPr="004202D8">
              <w:rPr>
                <w:rFonts w:cstheme="minorHAnsi"/>
                <w:color w:val="000000" w:themeColor="text1"/>
                <w:lang w:val="fr-FR"/>
              </w:rPr>
              <w:t xml:space="preserve"> la ventilation de ce montant forfaitaire (le modèle du tableau des couts est joint à la Lettre de soumission – pages 4-5).</w:t>
            </w:r>
          </w:p>
          <w:p w:rsidR="00200AA0" w:rsidRPr="004202D8" w:rsidRDefault="00200AA0" w:rsidP="00A24134">
            <w:pPr>
              <w:rPr>
                <w:rFonts w:cstheme="minorHAnsi"/>
                <w:color w:val="000000" w:themeColor="text1"/>
                <w:lang w:val="fr-FR"/>
              </w:rPr>
            </w:pPr>
          </w:p>
        </w:tc>
      </w:tr>
    </w:tbl>
    <w:p w:rsidR="004F4F1B" w:rsidRPr="004202D8" w:rsidRDefault="004F4F1B" w:rsidP="00A24134">
      <w:pPr>
        <w:rPr>
          <w:rFonts w:cstheme="minorHAnsi"/>
          <w:b/>
          <w:color w:val="000000" w:themeColor="text1"/>
          <w:lang w:val="fr-FR"/>
        </w:rPr>
      </w:pPr>
    </w:p>
    <w:p w:rsidR="00E94857" w:rsidRPr="004202D8" w:rsidRDefault="00D52632" w:rsidP="00A24134">
      <w:pPr>
        <w:rPr>
          <w:rFonts w:cstheme="minorHAnsi"/>
          <w:b/>
          <w:color w:val="000000" w:themeColor="text1"/>
          <w:lang w:val="fr-FR"/>
        </w:rPr>
      </w:pPr>
      <w:r w:rsidRPr="004202D8">
        <w:rPr>
          <w:rFonts w:cstheme="minorHAnsi"/>
          <w:b/>
          <w:color w:val="000000" w:themeColor="text1"/>
          <w:lang w:val="fr-FR"/>
        </w:rPr>
        <w:t>8</w:t>
      </w:r>
      <w:r w:rsidR="00E94857" w:rsidRPr="004202D8">
        <w:rPr>
          <w:rFonts w:cstheme="minorHAnsi"/>
          <w:b/>
          <w:color w:val="000000" w:themeColor="text1"/>
          <w:lang w:val="fr-FR"/>
        </w:rPr>
        <w:t xml:space="preserve">. </w:t>
      </w:r>
      <w:r w:rsidR="00F64848" w:rsidRPr="004202D8">
        <w:rPr>
          <w:rFonts w:cstheme="minorHAnsi"/>
          <w:b/>
          <w:color w:val="000000" w:themeColor="text1"/>
          <w:lang w:val="fr-FR"/>
        </w:rPr>
        <w:t xml:space="preserve">Evaluation </w:t>
      </w:r>
    </w:p>
    <w:tbl>
      <w:tblPr>
        <w:tblStyle w:val="Grilledutableau"/>
        <w:tblW w:w="0" w:type="auto"/>
        <w:tblLook w:val="04A0"/>
      </w:tblPr>
      <w:tblGrid>
        <w:gridCol w:w="9576"/>
      </w:tblGrid>
      <w:tr w:rsidR="004F20E7" w:rsidRPr="004B2900" w:rsidTr="00443E94">
        <w:tc>
          <w:tcPr>
            <w:tcW w:w="9576" w:type="dxa"/>
          </w:tcPr>
          <w:p w:rsidR="003A195C" w:rsidRPr="004202D8" w:rsidRDefault="003A195C" w:rsidP="00E1301D">
            <w:pPr>
              <w:rPr>
                <w:color w:val="000000" w:themeColor="text1"/>
                <w:lang w:val="fr-FR"/>
              </w:rPr>
            </w:pPr>
          </w:p>
          <w:p w:rsidR="008F3E43" w:rsidRPr="004202D8" w:rsidRDefault="008F3E43" w:rsidP="008F3E43">
            <w:pPr>
              <w:rPr>
                <w:lang w:val="fr-FR"/>
              </w:rPr>
            </w:pPr>
            <w:r w:rsidRPr="004202D8">
              <w:rPr>
                <w:lang w:val="fr-FR"/>
              </w:rPr>
              <w:t>Le/la consultant/e individuel(le)sera évalué(e) sur la base de la méthodologie de Notation combinée. Lorsque cette méthode d’évaluation est utilisée, le contrat est attribué au consultant individuel dont l’offre a été évaluée et jugée :</w:t>
            </w:r>
          </w:p>
          <w:p w:rsidR="008F3E43" w:rsidRPr="004202D8" w:rsidRDefault="008F3E43" w:rsidP="008F3E43">
            <w:pPr>
              <w:rPr>
                <w:lang w:val="fr-FR"/>
              </w:rPr>
            </w:pPr>
          </w:p>
          <w:p w:rsidR="008F3E43" w:rsidRPr="004202D8" w:rsidRDefault="008F3E43" w:rsidP="00AC71DC">
            <w:pPr>
              <w:pStyle w:val="Paragraphedeliste"/>
              <w:numPr>
                <w:ilvl w:val="0"/>
                <w:numId w:val="4"/>
              </w:numPr>
              <w:rPr>
                <w:lang w:val="fr-FR"/>
              </w:rPr>
            </w:pPr>
            <w:r w:rsidRPr="004202D8">
              <w:rPr>
                <w:lang w:val="fr-FR"/>
              </w:rPr>
              <w:t>Répondante/conforme/ acceptable et,</w:t>
            </w:r>
          </w:p>
          <w:p w:rsidR="008F3E43" w:rsidRPr="004202D8" w:rsidRDefault="008F3E43" w:rsidP="00AC71DC">
            <w:pPr>
              <w:pStyle w:val="Paragraphedeliste"/>
              <w:numPr>
                <w:ilvl w:val="0"/>
                <w:numId w:val="4"/>
              </w:numPr>
              <w:rPr>
                <w:lang w:val="fr-FR"/>
              </w:rPr>
            </w:pPr>
            <w:r w:rsidRPr="004202D8">
              <w:rPr>
                <w:lang w:val="fr-FR"/>
              </w:rPr>
              <w:t>Ayant reçu la note globale pondérée la plus élevée sur la base des critères technique et financier spécifiés</w:t>
            </w:r>
          </w:p>
          <w:p w:rsidR="008F3E43" w:rsidRPr="004202D8" w:rsidRDefault="008F3E43" w:rsidP="008F3E43">
            <w:pPr>
              <w:rPr>
                <w:lang w:val="fr-FR"/>
              </w:rPr>
            </w:pPr>
          </w:p>
          <w:p w:rsidR="008F3E43" w:rsidRPr="004202D8" w:rsidRDefault="008F3E43" w:rsidP="00AC71DC">
            <w:pPr>
              <w:pStyle w:val="Paragraphedeliste"/>
              <w:numPr>
                <w:ilvl w:val="0"/>
                <w:numId w:val="7"/>
              </w:numPr>
              <w:rPr>
                <w:i/>
                <w:lang w:val="fr-FR"/>
              </w:rPr>
            </w:pPr>
            <w:r w:rsidRPr="004202D8">
              <w:rPr>
                <w:u w:val="single"/>
                <w:lang w:val="fr-FR"/>
              </w:rPr>
              <w:t xml:space="preserve">Pondération de l’évaluation technique : 70 % </w:t>
            </w:r>
          </w:p>
          <w:p w:rsidR="008F3E43" w:rsidRPr="004202D8" w:rsidRDefault="008F3E43" w:rsidP="00AC71DC">
            <w:pPr>
              <w:pStyle w:val="Paragraphedeliste"/>
              <w:numPr>
                <w:ilvl w:val="0"/>
                <w:numId w:val="7"/>
              </w:numPr>
              <w:rPr>
                <w:u w:val="single"/>
                <w:lang w:val="fr-FR"/>
              </w:rPr>
            </w:pPr>
            <w:r w:rsidRPr="004202D8">
              <w:rPr>
                <w:u w:val="single"/>
                <w:lang w:val="fr-FR"/>
              </w:rPr>
              <w:t>Pondération de l’évaluation financière : 30 %</w:t>
            </w:r>
          </w:p>
          <w:p w:rsidR="008F3E43" w:rsidRPr="004202D8" w:rsidRDefault="008F3E43" w:rsidP="008F3E43">
            <w:pPr>
              <w:rPr>
                <w:lang w:val="fr-FR"/>
              </w:rPr>
            </w:pPr>
          </w:p>
          <w:p w:rsidR="008F3E43" w:rsidRPr="004202D8" w:rsidRDefault="008F3E43" w:rsidP="008F3E43">
            <w:pPr>
              <w:rPr>
                <w:lang w:val="fr-FR"/>
              </w:rPr>
            </w:pPr>
            <w:r w:rsidRPr="004202D8">
              <w:rPr>
                <w:lang w:val="fr-FR"/>
              </w:rPr>
              <w:t>L’évaluation des offres se déroule en deux temps. L’évaluation des propositions techniques est achevée avant l’ouverture et la comparaison des propositions financières.</w:t>
            </w:r>
          </w:p>
          <w:p w:rsidR="008F3E43" w:rsidRPr="004202D8" w:rsidRDefault="008F3E43" w:rsidP="008F3E43">
            <w:pPr>
              <w:rPr>
                <w:lang w:val="fr-FR"/>
              </w:rPr>
            </w:pPr>
          </w:p>
          <w:p w:rsidR="008F3E43" w:rsidRPr="004202D8" w:rsidRDefault="008F3E43" w:rsidP="008F3E43">
            <w:pPr>
              <w:jc w:val="both"/>
              <w:rPr>
                <w:b/>
                <w:i/>
                <w:lang w:val="fr-FR"/>
              </w:rPr>
            </w:pPr>
            <w:r w:rsidRPr="004202D8">
              <w:rPr>
                <w:b/>
                <w:i/>
                <w:lang w:val="fr-FR"/>
              </w:rPr>
              <w:t xml:space="preserve">Seulement les candidats ayant obtenu la note minimale de 70/100 à l’évaluation de la proposition technique seront appelés à l´entretien technique. </w:t>
            </w:r>
          </w:p>
          <w:p w:rsidR="008F3E43" w:rsidRPr="004202D8" w:rsidRDefault="008F3E43" w:rsidP="008F3E43">
            <w:pPr>
              <w:jc w:val="both"/>
              <w:rPr>
                <w:b/>
                <w:i/>
                <w:lang w:val="fr-FR"/>
              </w:rPr>
            </w:pPr>
            <w:r w:rsidRPr="004202D8">
              <w:rPr>
                <w:b/>
                <w:i/>
                <w:lang w:val="fr-FR"/>
              </w:rPr>
              <w:t>Seulement les candidats ayant obtenu la note minimale combinée de 70/100 à l´évaluation technique (soumission technique + entretien technique) seront considérés pour l’évaluation financière.</w:t>
            </w:r>
          </w:p>
          <w:p w:rsidR="008F3E43" w:rsidRPr="004202D8" w:rsidRDefault="008F3E43" w:rsidP="008F3E43">
            <w:pPr>
              <w:rPr>
                <w:lang w:val="fr-FR"/>
              </w:rPr>
            </w:pPr>
          </w:p>
          <w:p w:rsidR="008F3E43" w:rsidRPr="004202D8" w:rsidRDefault="008F3E43" w:rsidP="008F3E43">
            <w:pPr>
              <w:rPr>
                <w:lang w:val="fr-FR"/>
              </w:rPr>
            </w:pPr>
            <w:r w:rsidRPr="004202D8">
              <w:rPr>
                <w:lang w:val="fr-FR"/>
              </w:rPr>
              <w:t>Le marché sera attribué au/à la Consultant(e) ayant présenté le meilleur score combiné (rapport qualité/prix, évaluation cumulative).</w:t>
            </w:r>
          </w:p>
          <w:p w:rsidR="008F3E43" w:rsidRPr="004202D8" w:rsidRDefault="008F3E43" w:rsidP="008F3E43">
            <w:pPr>
              <w:rPr>
                <w:lang w:val="fr-FR"/>
              </w:rPr>
            </w:pPr>
          </w:p>
          <w:p w:rsidR="008F3E43" w:rsidRPr="004202D8" w:rsidRDefault="008F3E43" w:rsidP="00AC71DC">
            <w:pPr>
              <w:pStyle w:val="Paragraphedeliste"/>
              <w:numPr>
                <w:ilvl w:val="0"/>
                <w:numId w:val="5"/>
              </w:numPr>
              <w:spacing w:after="200" w:line="276" w:lineRule="auto"/>
              <w:jc w:val="both"/>
              <w:rPr>
                <w:rFonts w:eastAsia="Times New Roman" w:cstheme="minorHAnsi"/>
                <w:b/>
                <w:bCs/>
                <w:i/>
                <w:u w:val="single"/>
                <w:lang w:eastAsia="rw-RW"/>
              </w:rPr>
            </w:pPr>
            <w:r w:rsidRPr="004202D8">
              <w:rPr>
                <w:rFonts w:eastAsia="Times New Roman" w:cstheme="minorHAnsi"/>
                <w:b/>
                <w:bCs/>
                <w:i/>
                <w:u w:val="single"/>
                <w:lang w:eastAsia="rw-RW"/>
              </w:rPr>
              <w:t>Les propositions techniques</w:t>
            </w:r>
          </w:p>
          <w:p w:rsidR="008F3E43" w:rsidRPr="004202D8" w:rsidRDefault="008F3E43" w:rsidP="008F3E43">
            <w:pPr>
              <w:rPr>
                <w:lang w:val="fr-FR"/>
              </w:rPr>
            </w:pPr>
            <w:r w:rsidRPr="004202D8">
              <w:rPr>
                <w:lang w:val="fr-FR"/>
              </w:rPr>
              <w:t xml:space="preserve">Les propositions techniques seront évaluées sur leur degré de réponse par rapport aux termes de référence et sur la base des critères suivants : </w:t>
            </w:r>
          </w:p>
          <w:p w:rsidR="00200AA0" w:rsidRPr="004202D8" w:rsidRDefault="00200AA0" w:rsidP="00EA697D">
            <w:pPr>
              <w:spacing w:line="360" w:lineRule="auto"/>
              <w:rPr>
                <w:rFonts w:cstheme="minorHAnsi"/>
                <w:i/>
                <w:color w:val="000000" w:themeColor="text1"/>
                <w:lang w:val="fr-FR"/>
              </w:rPr>
            </w:pPr>
          </w:p>
          <w:tbl>
            <w:tblPr>
              <w:tblW w:w="0" w:type="auto"/>
              <w:shd w:val="clear" w:color="auto" w:fill="FFFF00"/>
              <w:tblCellMar>
                <w:left w:w="0" w:type="dxa"/>
                <w:right w:w="0" w:type="dxa"/>
              </w:tblCellMar>
              <w:tblLook w:val="04A0"/>
            </w:tblPr>
            <w:tblGrid>
              <w:gridCol w:w="7979"/>
              <w:gridCol w:w="1135"/>
            </w:tblGrid>
            <w:tr w:rsidR="004F20E7" w:rsidRPr="004202D8" w:rsidTr="00AD3AE3">
              <w:trPr>
                <w:trHeight w:val="664"/>
              </w:trPr>
              <w:tc>
                <w:tcPr>
                  <w:tcW w:w="797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200AA0" w:rsidRPr="004202D8" w:rsidRDefault="00200AA0" w:rsidP="00200AA0">
                  <w:pPr>
                    <w:jc w:val="both"/>
                    <w:rPr>
                      <w:rFonts w:cstheme="minorHAnsi"/>
                      <w:b/>
                      <w:bCs/>
                      <w:snapToGrid w:val="0"/>
                      <w:color w:val="000000" w:themeColor="text1"/>
                      <w:lang w:eastAsia="fr-FR"/>
                    </w:rPr>
                  </w:pPr>
                  <w:r w:rsidRPr="004202D8">
                    <w:rPr>
                      <w:rFonts w:cstheme="minorHAnsi"/>
                      <w:b/>
                      <w:bCs/>
                      <w:snapToGrid w:val="0"/>
                      <w:color w:val="000000" w:themeColor="text1"/>
                    </w:rPr>
                    <w:t>Critères</w:t>
                  </w:r>
                  <w:r w:rsidR="007B467A" w:rsidRPr="004202D8">
                    <w:rPr>
                      <w:rFonts w:cstheme="minorHAnsi"/>
                      <w:b/>
                      <w:bCs/>
                      <w:snapToGrid w:val="0"/>
                      <w:color w:val="000000" w:themeColor="text1"/>
                    </w:rPr>
                    <w:t>d´</w:t>
                  </w:r>
                  <w:r w:rsidR="00003CF1" w:rsidRPr="004202D8">
                    <w:rPr>
                      <w:rFonts w:cstheme="minorHAnsi"/>
                      <w:b/>
                      <w:bCs/>
                      <w:snapToGrid w:val="0"/>
                      <w:color w:val="000000" w:themeColor="text1"/>
                    </w:rPr>
                    <w:t>é</w:t>
                  </w:r>
                  <w:r w:rsidR="007B467A" w:rsidRPr="004202D8">
                    <w:rPr>
                      <w:rFonts w:cstheme="minorHAnsi"/>
                      <w:b/>
                      <w:bCs/>
                      <w:snapToGrid w:val="0"/>
                      <w:color w:val="000000" w:themeColor="text1"/>
                    </w:rPr>
                    <w:t>valuation</w:t>
                  </w:r>
                </w:p>
              </w:tc>
              <w:tc>
                <w:tcPr>
                  <w:tcW w:w="113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200AA0" w:rsidRPr="004202D8" w:rsidRDefault="00200AA0" w:rsidP="00E54A8B">
                  <w:pPr>
                    <w:spacing w:line="240" w:lineRule="auto"/>
                    <w:jc w:val="both"/>
                    <w:rPr>
                      <w:rFonts w:cstheme="minorHAnsi"/>
                      <w:b/>
                      <w:bCs/>
                      <w:color w:val="000000" w:themeColor="text1"/>
                    </w:rPr>
                  </w:pPr>
                  <w:r w:rsidRPr="004202D8">
                    <w:rPr>
                      <w:rFonts w:cstheme="minorHAnsi"/>
                      <w:b/>
                      <w:bCs/>
                      <w:color w:val="000000" w:themeColor="text1"/>
                    </w:rPr>
                    <w:t>Points</w:t>
                  </w:r>
                  <w:r w:rsidR="00F30D52" w:rsidRPr="004202D8">
                    <w:rPr>
                      <w:rFonts w:cstheme="minorHAnsi"/>
                      <w:b/>
                      <w:bCs/>
                      <w:color w:val="000000" w:themeColor="text1"/>
                    </w:rPr>
                    <w:t xml:space="preserve"> maximum</w:t>
                  </w:r>
                </w:p>
              </w:tc>
            </w:tr>
            <w:tr w:rsidR="004F20E7" w:rsidRPr="004202D8" w:rsidTr="00AD3AE3">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0AA0" w:rsidRPr="004202D8" w:rsidRDefault="00200AA0" w:rsidP="004202D8">
                  <w:pPr>
                    <w:jc w:val="both"/>
                    <w:rPr>
                      <w:rFonts w:cs="Arial"/>
                      <w:lang w:val="fr-BE"/>
                    </w:rPr>
                  </w:pPr>
                  <w:r w:rsidRPr="004202D8">
                    <w:rPr>
                      <w:rFonts w:cstheme="minorHAnsi"/>
                      <w:snapToGrid w:val="0"/>
                      <w:color w:val="000000" w:themeColor="text1"/>
                      <w:lang w:val="fr-FR"/>
                    </w:rPr>
                    <w:t>Le/la soumissionnaire a-t-il/elle</w:t>
                  </w:r>
                  <w:r w:rsidR="00966B5D" w:rsidRPr="004202D8">
                    <w:rPr>
                      <w:lang w:val="fr-FR"/>
                    </w:rPr>
                    <w:t xml:space="preserve">au moins </w:t>
                  </w:r>
                  <w:r w:rsidR="004202D8">
                    <w:rPr>
                      <w:lang w:val="fr-FR"/>
                    </w:rPr>
                    <w:t>d’une licence</w:t>
                  </w:r>
                  <w:r w:rsidR="004202D8" w:rsidRPr="004202D8">
                    <w:rPr>
                      <w:rFonts w:eastAsia="Times New Roman" w:cstheme="majorHAnsi"/>
                      <w:lang w:val="fr-FR"/>
                    </w:rPr>
                    <w:t xml:space="preserve"> ou équivalent en </w:t>
                  </w:r>
                  <w:r w:rsidR="004202D8" w:rsidRPr="004202D8">
                    <w:rPr>
                      <w:rFonts w:eastAsia="Times New Roman" w:cstheme="majorHAnsi"/>
                      <w:lang w:val="fr-FR"/>
                    </w:rPr>
                    <w:lastRenderedPageBreak/>
                    <w:t>administration des affaires, administration publique, économie, sciences politiques, sciences sociales ou domaine connexe</w:t>
                  </w:r>
                  <w:r w:rsidR="004202D8">
                    <w:rPr>
                      <w:rFonts w:eastAsia="Times New Roman" w:cstheme="majorHAnsi"/>
                      <w:lang w:val="fr-FR"/>
                    </w:rPr>
                    <w:t>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0AA0" w:rsidRPr="004202D8" w:rsidRDefault="00EB6C4D" w:rsidP="00E54A8B">
                  <w:pPr>
                    <w:spacing w:line="240" w:lineRule="auto"/>
                    <w:jc w:val="both"/>
                    <w:rPr>
                      <w:rFonts w:cstheme="minorHAnsi"/>
                      <w:color w:val="000000" w:themeColor="text1"/>
                    </w:rPr>
                  </w:pPr>
                  <w:r w:rsidRPr="004202D8">
                    <w:rPr>
                      <w:rFonts w:cstheme="minorHAnsi"/>
                      <w:color w:val="000000" w:themeColor="text1"/>
                    </w:rPr>
                    <w:lastRenderedPageBreak/>
                    <w:t>2</w:t>
                  </w:r>
                  <w:r w:rsidR="000247EB" w:rsidRPr="004202D8">
                    <w:rPr>
                      <w:rFonts w:cstheme="minorHAnsi"/>
                      <w:color w:val="000000" w:themeColor="text1"/>
                    </w:rPr>
                    <w:t>0</w:t>
                  </w:r>
                </w:p>
              </w:tc>
            </w:tr>
            <w:tr w:rsidR="004F20E7" w:rsidRPr="004202D8" w:rsidTr="00AD3AE3">
              <w:trPr>
                <w:trHeight w:val="89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000D" w:rsidRDefault="00916940" w:rsidP="00DB5DEE">
                  <w:pPr>
                    <w:jc w:val="both"/>
                    <w:rPr>
                      <w:rFonts w:eastAsia="Times New Roman" w:cstheme="majorHAnsi"/>
                      <w:lang w:val="fr-FR"/>
                    </w:rPr>
                  </w:pPr>
                  <w:r w:rsidRPr="004202D8">
                    <w:rPr>
                      <w:snapToGrid w:val="0"/>
                      <w:color w:val="000000" w:themeColor="text1"/>
                      <w:lang w:val="fr-FR"/>
                    </w:rPr>
                    <w:lastRenderedPageBreak/>
                    <w:t>Le/la soumissionnaire a-t-il/elle</w:t>
                  </w:r>
                  <w:r w:rsidR="00DB5DEE" w:rsidRPr="004202D8">
                    <w:rPr>
                      <w:rFonts w:eastAsia="Times New Roman" w:cstheme="majorHAnsi"/>
                      <w:lang w:val="fr-FR"/>
                    </w:rPr>
                    <w:t>5 ans d'expérience pertinente au niveau national ou international dans la Gouvernance locale </w:t>
                  </w:r>
                  <w:r w:rsidR="00DB5DEE">
                    <w:rPr>
                      <w:rFonts w:eastAsia="Times New Roman" w:cstheme="majorHAnsi"/>
                      <w:lang w:val="fr-FR"/>
                    </w:rPr>
                    <w:t>?</w:t>
                  </w:r>
                  <w:r w:rsidR="00CB1FFD">
                    <w:rPr>
                      <w:rFonts w:eastAsia="Times New Roman" w:cstheme="majorHAnsi"/>
                      <w:lang w:val="fr-FR"/>
                    </w:rPr>
                    <w:t xml:space="preserve"> 15 pts</w:t>
                  </w:r>
                </w:p>
                <w:p w:rsidR="00CB1FFD" w:rsidRPr="00CB1FFD" w:rsidRDefault="00CB1FFD" w:rsidP="00CB1FFD">
                  <w:pPr>
                    <w:spacing w:after="0"/>
                    <w:jc w:val="both"/>
                    <w:rPr>
                      <w:rFonts w:eastAsia="Times New Roman" w:cstheme="majorHAnsi"/>
                      <w:lang w:val="fr-FR"/>
                    </w:rPr>
                  </w:pPr>
                  <w:r w:rsidRPr="004202D8">
                    <w:rPr>
                      <w:snapToGrid w:val="0"/>
                      <w:color w:val="000000" w:themeColor="text1"/>
                      <w:lang w:val="fr-FR"/>
                    </w:rPr>
                    <w:t xml:space="preserve">Le/la soumissionnaire a-t-il/elle </w:t>
                  </w:r>
                  <w:r>
                    <w:rPr>
                      <w:snapToGrid w:val="0"/>
                      <w:color w:val="000000" w:themeColor="text1"/>
                      <w:lang w:val="fr-FR"/>
                    </w:rPr>
                    <w:t>Une e</w:t>
                  </w:r>
                  <w:r w:rsidRPr="00CB1FFD">
                    <w:rPr>
                      <w:rFonts w:eastAsia="Times New Roman" w:cstheme="majorHAnsi"/>
                      <w:lang w:val="fr-FR"/>
                    </w:rPr>
                    <w:t>xpérience pratique dans la conception, la gestion, le suivi et l'évaluation des programmes/projets de développement</w:t>
                  </w:r>
                  <w:r>
                    <w:rPr>
                      <w:rFonts w:eastAsia="Times New Roman" w:cstheme="majorHAnsi"/>
                      <w:lang w:val="fr-FR"/>
                    </w:rPr>
                    <w:t> ? 15pts</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95583" w:rsidRPr="004202D8" w:rsidRDefault="00CB1FFD" w:rsidP="00E54A8B">
                  <w:pPr>
                    <w:spacing w:line="240" w:lineRule="auto"/>
                    <w:jc w:val="both"/>
                    <w:rPr>
                      <w:rFonts w:cstheme="minorHAnsi"/>
                      <w:color w:val="000000" w:themeColor="text1"/>
                      <w:lang w:val="fr-FR"/>
                    </w:rPr>
                  </w:pPr>
                  <w:r>
                    <w:rPr>
                      <w:rFonts w:cstheme="minorHAnsi"/>
                      <w:color w:val="000000" w:themeColor="text1"/>
                      <w:lang w:val="fr-FR"/>
                    </w:rPr>
                    <w:t>30</w:t>
                  </w:r>
                </w:p>
                <w:p w:rsidR="004A17C5" w:rsidRPr="004202D8" w:rsidRDefault="004A17C5" w:rsidP="00E54A8B">
                  <w:pPr>
                    <w:spacing w:line="240" w:lineRule="auto"/>
                    <w:jc w:val="both"/>
                    <w:rPr>
                      <w:rFonts w:cstheme="minorHAnsi"/>
                      <w:color w:val="000000" w:themeColor="text1"/>
                      <w:lang w:val="fr-FR"/>
                    </w:rPr>
                  </w:pPr>
                </w:p>
                <w:p w:rsidR="004A17C5" w:rsidRPr="004202D8" w:rsidRDefault="004A17C5" w:rsidP="00E54A8B">
                  <w:pPr>
                    <w:spacing w:line="240" w:lineRule="auto"/>
                    <w:jc w:val="both"/>
                    <w:rPr>
                      <w:rFonts w:cstheme="minorHAnsi"/>
                      <w:color w:val="000000" w:themeColor="text1"/>
                      <w:lang w:val="fr-FR"/>
                    </w:rPr>
                  </w:pPr>
                </w:p>
              </w:tc>
            </w:tr>
            <w:tr w:rsidR="004F20E7" w:rsidRPr="004202D8" w:rsidTr="00AD3AE3">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0AA0" w:rsidRPr="004202D8" w:rsidRDefault="00200AA0" w:rsidP="00E54A8B">
                  <w:pPr>
                    <w:spacing w:line="240" w:lineRule="auto"/>
                    <w:jc w:val="both"/>
                    <w:rPr>
                      <w:rFonts w:cstheme="minorHAnsi"/>
                      <w:snapToGrid w:val="0"/>
                      <w:color w:val="000000" w:themeColor="text1"/>
                      <w:lang w:val="fr-FR"/>
                    </w:rPr>
                  </w:pPr>
                  <w:r w:rsidRPr="004202D8">
                    <w:rPr>
                      <w:rFonts w:cstheme="minorHAnsi"/>
                      <w:snapToGrid w:val="0"/>
                      <w:color w:val="000000" w:themeColor="text1"/>
                      <w:lang w:val="fr-FR"/>
                    </w:rPr>
                    <w:t>L</w:t>
                  </w:r>
                  <w:r w:rsidR="00976D3C" w:rsidRPr="004202D8">
                    <w:rPr>
                      <w:rFonts w:cstheme="minorHAnsi"/>
                      <w:snapToGrid w:val="0"/>
                      <w:color w:val="000000" w:themeColor="text1"/>
                      <w:lang w:val="fr-FR"/>
                    </w:rPr>
                    <w:t xml:space="preserve">´approche </w:t>
                  </w:r>
                  <w:r w:rsidRPr="004202D8">
                    <w:rPr>
                      <w:rFonts w:cstheme="minorHAnsi"/>
                      <w:snapToGrid w:val="0"/>
                      <w:color w:val="000000" w:themeColor="text1"/>
                      <w:lang w:val="fr-FR"/>
                    </w:rPr>
                    <w:t>méthodologi</w:t>
                  </w:r>
                  <w:r w:rsidR="00976D3C" w:rsidRPr="004202D8">
                    <w:rPr>
                      <w:rFonts w:cstheme="minorHAnsi"/>
                      <w:snapToGrid w:val="0"/>
                      <w:color w:val="000000" w:themeColor="text1"/>
                      <w:lang w:val="fr-FR"/>
                    </w:rPr>
                    <w:t>que</w:t>
                  </w:r>
                  <w:r w:rsidR="00AB3424" w:rsidRPr="004202D8">
                    <w:rPr>
                      <w:rFonts w:cstheme="minorHAnsi"/>
                      <w:snapToGrid w:val="0"/>
                      <w:color w:val="000000" w:themeColor="text1"/>
                      <w:lang w:val="fr-FR"/>
                    </w:rPr>
                    <w:t>proposé</w:t>
                  </w:r>
                  <w:r w:rsidR="004A17C5" w:rsidRPr="004202D8">
                    <w:rPr>
                      <w:rFonts w:cstheme="minorHAnsi"/>
                      <w:snapToGrid w:val="0"/>
                      <w:color w:val="000000" w:themeColor="text1"/>
                      <w:lang w:val="fr-FR"/>
                    </w:rPr>
                    <w:t>e</w:t>
                  </w:r>
                  <w:r w:rsidR="00AB3424" w:rsidRPr="004202D8">
                    <w:rPr>
                      <w:rFonts w:cstheme="minorHAnsi"/>
                      <w:snapToGrid w:val="0"/>
                      <w:color w:val="000000" w:themeColor="text1"/>
                      <w:lang w:val="fr-FR"/>
                    </w:rPr>
                    <w:t xml:space="preserve"> est-elle claire et appropriée</w:t>
                  </w:r>
                  <w:r w:rsidRPr="004202D8">
                    <w:rPr>
                      <w:rFonts w:cstheme="minorHAnsi"/>
                      <w:snapToGrid w:val="0"/>
                      <w:color w:val="000000" w:themeColor="text1"/>
                      <w:lang w:val="fr-FR"/>
                    </w:rPr>
                    <w:t xml:space="preserve"> aux produits décrits/attendus dans les </w:t>
                  </w:r>
                  <w:r w:rsidR="007C60BB" w:rsidRPr="004202D8">
                    <w:rPr>
                      <w:rFonts w:cstheme="minorHAnsi"/>
                      <w:snapToGrid w:val="0"/>
                      <w:color w:val="000000" w:themeColor="text1"/>
                      <w:lang w:val="fr-FR"/>
                    </w:rPr>
                    <w:t>termes de référence ?</w:t>
                  </w:r>
                  <w:r w:rsidRPr="004202D8">
                    <w:rPr>
                      <w:rFonts w:cstheme="minorHAnsi"/>
                      <w:snapToGrid w:val="0"/>
                      <w:color w:val="000000" w:themeColor="text1"/>
                      <w:lang w:val="fr-FR"/>
                    </w:rPr>
                    <w:t xml:space="preserve">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0AA0" w:rsidRPr="004202D8" w:rsidRDefault="00742944" w:rsidP="00E54A8B">
                  <w:pPr>
                    <w:spacing w:line="240" w:lineRule="auto"/>
                    <w:jc w:val="both"/>
                    <w:rPr>
                      <w:rFonts w:cstheme="minorHAnsi"/>
                      <w:color w:val="000000" w:themeColor="text1"/>
                    </w:rPr>
                  </w:pPr>
                  <w:r w:rsidRPr="004202D8">
                    <w:rPr>
                      <w:rFonts w:cstheme="minorHAnsi"/>
                      <w:color w:val="000000" w:themeColor="text1"/>
                    </w:rPr>
                    <w:t>2</w:t>
                  </w:r>
                  <w:r w:rsidR="00CB1FFD">
                    <w:rPr>
                      <w:rFonts w:cstheme="minorHAnsi"/>
                      <w:color w:val="000000" w:themeColor="text1"/>
                    </w:rPr>
                    <w:t>0</w:t>
                  </w:r>
                </w:p>
              </w:tc>
            </w:tr>
            <w:tr w:rsidR="004F20E7" w:rsidRPr="004B2900" w:rsidTr="00AD3AE3">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8325D" w:rsidRPr="004202D8" w:rsidRDefault="0018325D" w:rsidP="00E54A8B">
                  <w:pPr>
                    <w:spacing w:line="240" w:lineRule="auto"/>
                    <w:jc w:val="both"/>
                    <w:rPr>
                      <w:snapToGrid w:val="0"/>
                      <w:color w:val="000000" w:themeColor="text1"/>
                      <w:lang w:val="fr-FR"/>
                    </w:rPr>
                  </w:pPr>
                  <w:r w:rsidRPr="004202D8">
                    <w:rPr>
                      <w:snapToGrid w:val="0"/>
                      <w:color w:val="000000" w:themeColor="text1"/>
                      <w:lang w:val="fr-FR"/>
                    </w:rPr>
                    <w:t>Le chronogramme</w:t>
                  </w:r>
                  <w:r w:rsidR="000247EB" w:rsidRPr="004202D8">
                    <w:rPr>
                      <w:snapToGrid w:val="0"/>
                      <w:color w:val="000000" w:themeColor="text1"/>
                      <w:lang w:val="fr-FR"/>
                    </w:rPr>
                    <w:t xml:space="preserve">/plan de travail </w:t>
                  </w:r>
                  <w:r w:rsidRPr="004202D8">
                    <w:rPr>
                      <w:snapToGrid w:val="0"/>
                      <w:color w:val="000000" w:themeColor="text1"/>
                      <w:lang w:val="fr-FR"/>
                    </w:rPr>
                    <w:t>proposé est-il cohérent et réaliste pour garantir la réalisation effective des principaux livrables attendus de la mission comme explicité dans les TDR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8325D" w:rsidRPr="004202D8" w:rsidRDefault="00CB1FFD" w:rsidP="00E54A8B">
                  <w:pPr>
                    <w:spacing w:line="240" w:lineRule="auto"/>
                    <w:jc w:val="both"/>
                    <w:rPr>
                      <w:rFonts w:cstheme="minorHAnsi"/>
                      <w:color w:val="000000" w:themeColor="text1"/>
                      <w:lang w:val="fr-FR"/>
                    </w:rPr>
                  </w:pPr>
                  <w:r>
                    <w:rPr>
                      <w:rFonts w:cstheme="minorHAnsi"/>
                      <w:color w:val="000000" w:themeColor="text1"/>
                      <w:lang w:val="fr-FR"/>
                    </w:rPr>
                    <w:t>30</w:t>
                  </w:r>
                </w:p>
              </w:tc>
            </w:tr>
            <w:tr w:rsidR="004F20E7" w:rsidRPr="004B2900" w:rsidTr="00AD3AE3">
              <w:trPr>
                <w:trHeight w:val="253"/>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8325D" w:rsidRPr="004202D8" w:rsidRDefault="0018325D" w:rsidP="00E54A8B">
                  <w:pPr>
                    <w:spacing w:line="240" w:lineRule="auto"/>
                    <w:jc w:val="both"/>
                    <w:rPr>
                      <w:rFonts w:cstheme="minorHAnsi"/>
                      <w:b/>
                      <w:bCs/>
                      <w:snapToGrid w:val="0"/>
                      <w:color w:val="000000" w:themeColor="text1"/>
                      <w:lang w:val="fr-FR"/>
                    </w:rPr>
                  </w:pPr>
                  <w:r w:rsidRPr="004202D8">
                    <w:rPr>
                      <w:rFonts w:cstheme="minorHAnsi"/>
                      <w:b/>
                      <w:bCs/>
                      <w:snapToGrid w:val="0"/>
                      <w:color w:val="000000" w:themeColor="text1"/>
                      <w:lang w:val="fr-FR"/>
                    </w:rPr>
                    <w:t xml:space="preserve">Total note proposition technique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8325D" w:rsidRPr="004202D8" w:rsidRDefault="0018325D" w:rsidP="00E54A8B">
                  <w:pPr>
                    <w:spacing w:line="240" w:lineRule="auto"/>
                    <w:jc w:val="both"/>
                    <w:rPr>
                      <w:rFonts w:cstheme="minorHAnsi"/>
                      <w:b/>
                      <w:bCs/>
                      <w:color w:val="000000" w:themeColor="text1"/>
                      <w:lang w:val="fr-FR"/>
                    </w:rPr>
                  </w:pPr>
                  <w:r w:rsidRPr="004202D8">
                    <w:rPr>
                      <w:rFonts w:cstheme="minorHAnsi"/>
                      <w:b/>
                      <w:bCs/>
                      <w:color w:val="000000" w:themeColor="text1"/>
                      <w:lang w:val="fr-FR"/>
                    </w:rPr>
                    <w:t>100</w:t>
                  </w:r>
                </w:p>
              </w:tc>
            </w:tr>
          </w:tbl>
          <w:p w:rsidR="00FA000D" w:rsidRPr="004202D8" w:rsidRDefault="00FA000D" w:rsidP="00E41813">
            <w:pPr>
              <w:jc w:val="both"/>
              <w:rPr>
                <w:rFonts w:cstheme="minorHAnsi"/>
                <w:bCs/>
                <w:color w:val="000000" w:themeColor="text1"/>
                <w:lang w:val="fr-FR"/>
              </w:rPr>
            </w:pPr>
          </w:p>
          <w:p w:rsidR="00E41813" w:rsidRPr="004202D8" w:rsidRDefault="00E41813" w:rsidP="00E41813">
            <w:pPr>
              <w:jc w:val="both"/>
              <w:rPr>
                <w:rFonts w:cstheme="minorHAnsi"/>
                <w:bCs/>
                <w:color w:val="000000" w:themeColor="text1"/>
                <w:lang w:val="fr-FR"/>
              </w:rPr>
            </w:pPr>
            <w:r w:rsidRPr="004202D8">
              <w:rPr>
                <w:rFonts w:cstheme="minorHAnsi"/>
                <w:bCs/>
                <w:color w:val="000000" w:themeColor="text1"/>
                <w:lang w:val="fr-FR"/>
              </w:rPr>
              <w:t>Seront jugées qualifiées, les propositions techniques qui obtiendront 70% de la note maximale de 100 points</w:t>
            </w:r>
            <w:r w:rsidR="00F30D52" w:rsidRPr="004202D8">
              <w:rPr>
                <w:rFonts w:cstheme="minorHAnsi"/>
                <w:bCs/>
                <w:color w:val="000000" w:themeColor="text1"/>
                <w:lang w:val="fr-FR"/>
              </w:rPr>
              <w:t xml:space="preserve">, </w:t>
            </w:r>
            <w:r w:rsidRPr="004202D8">
              <w:rPr>
                <w:rFonts w:cstheme="minorHAnsi"/>
                <w:bCs/>
                <w:color w:val="000000" w:themeColor="text1"/>
                <w:lang w:val="fr-FR"/>
              </w:rPr>
              <w:t>cette note technique sera pondérée a 70%.</w:t>
            </w:r>
          </w:p>
          <w:p w:rsidR="00E41813" w:rsidRPr="004202D8" w:rsidRDefault="00E41813" w:rsidP="00E41813">
            <w:pPr>
              <w:jc w:val="both"/>
              <w:rPr>
                <w:rFonts w:cstheme="minorHAnsi"/>
                <w:b/>
                <w:color w:val="000000" w:themeColor="text1"/>
                <w:lang w:val="fr-FR"/>
              </w:rPr>
            </w:pPr>
          </w:p>
          <w:p w:rsidR="003A195C" w:rsidRPr="004202D8" w:rsidRDefault="003A195C" w:rsidP="00AC71DC">
            <w:pPr>
              <w:pStyle w:val="Paragraphedeliste"/>
              <w:numPr>
                <w:ilvl w:val="0"/>
                <w:numId w:val="5"/>
              </w:numPr>
              <w:jc w:val="both"/>
              <w:rPr>
                <w:rFonts w:eastAsia="Times New Roman" w:cstheme="minorHAnsi"/>
                <w:b/>
                <w:bCs/>
                <w:i/>
                <w:color w:val="000000" w:themeColor="text1"/>
                <w:u w:val="single"/>
                <w:lang w:eastAsia="rw-RW"/>
              </w:rPr>
            </w:pPr>
            <w:r w:rsidRPr="004202D8">
              <w:rPr>
                <w:rFonts w:eastAsia="Times New Roman" w:cstheme="minorHAnsi"/>
                <w:b/>
                <w:bCs/>
                <w:i/>
                <w:color w:val="000000" w:themeColor="text1"/>
                <w:u w:val="single"/>
                <w:lang w:eastAsia="rw-RW"/>
              </w:rPr>
              <w:t>Les propositions financières</w:t>
            </w:r>
          </w:p>
          <w:p w:rsidR="003A195C" w:rsidRPr="004202D8" w:rsidRDefault="003A195C" w:rsidP="003A195C">
            <w:pPr>
              <w:jc w:val="both"/>
              <w:rPr>
                <w:rFonts w:eastAsia="Times New Roman" w:cstheme="minorHAnsi"/>
                <w:bCs/>
                <w:color w:val="000000" w:themeColor="text1"/>
                <w:lang w:eastAsia="rw-RW"/>
              </w:rPr>
            </w:pPr>
          </w:p>
          <w:p w:rsidR="003A195C" w:rsidRPr="004202D8" w:rsidRDefault="003A195C" w:rsidP="003A195C">
            <w:pPr>
              <w:jc w:val="both"/>
              <w:rPr>
                <w:rFonts w:eastAsia="Times New Roman" w:cstheme="minorHAnsi"/>
                <w:color w:val="000000" w:themeColor="text1"/>
                <w:lang w:val="fr-FR" w:eastAsia="rw-RW"/>
              </w:rPr>
            </w:pPr>
            <w:r w:rsidRPr="004202D8">
              <w:rPr>
                <w:rFonts w:eastAsia="Times New Roman" w:cstheme="minorHAnsi"/>
                <w:color w:val="000000" w:themeColor="text1"/>
                <w:lang w:val="fr-FR" w:eastAsia="rw-RW"/>
              </w:rPr>
              <w:t>Dans une deuxième étape du processus d’évaluation, les enveloppes financières seront ouvertes et les offres financières comparées. Une note financière sera calculée pour chaque proposition sur la base de la formule :</w:t>
            </w:r>
          </w:p>
          <w:p w:rsidR="00F30D52" w:rsidRPr="004202D8" w:rsidRDefault="00F30D52" w:rsidP="003A195C">
            <w:pPr>
              <w:jc w:val="both"/>
              <w:rPr>
                <w:rFonts w:eastAsia="Times New Roman" w:cstheme="minorHAnsi"/>
                <w:color w:val="000000" w:themeColor="text1"/>
                <w:lang w:val="fr-FR" w:eastAsia="rw-RW"/>
              </w:rPr>
            </w:pPr>
          </w:p>
          <w:p w:rsidR="003A195C" w:rsidRPr="004202D8" w:rsidRDefault="003A195C" w:rsidP="00AC71DC">
            <w:pPr>
              <w:pStyle w:val="Paragraphedeliste"/>
              <w:numPr>
                <w:ilvl w:val="0"/>
                <w:numId w:val="6"/>
              </w:numPr>
              <w:jc w:val="both"/>
              <w:rPr>
                <w:rFonts w:eastAsia="Times New Roman" w:cstheme="minorHAnsi"/>
                <w:b/>
                <w:i/>
                <w:color w:val="000000" w:themeColor="text1"/>
                <w:lang w:val="fr-FR" w:eastAsia="rw-RW"/>
              </w:rPr>
            </w:pPr>
            <w:r w:rsidRPr="004202D8">
              <w:rPr>
                <w:rFonts w:eastAsia="Times New Roman" w:cstheme="minorHAnsi"/>
                <w:b/>
                <w:i/>
                <w:color w:val="000000" w:themeColor="text1"/>
                <w:lang w:val="fr-FR" w:eastAsia="rw-RW"/>
              </w:rPr>
              <w:t>Note financière A = [(Offre financière la moins disante) /Offre financière de A] x 30</w:t>
            </w:r>
          </w:p>
          <w:p w:rsidR="003A195C" w:rsidRPr="004202D8" w:rsidRDefault="003A195C" w:rsidP="003A195C">
            <w:pPr>
              <w:pStyle w:val="Paragraphedeliste"/>
              <w:jc w:val="both"/>
              <w:rPr>
                <w:rFonts w:eastAsia="Times New Roman" w:cstheme="minorHAnsi"/>
                <w:b/>
                <w:i/>
                <w:color w:val="000000" w:themeColor="text1"/>
                <w:lang w:val="fr-FR" w:eastAsia="rw-RW"/>
              </w:rPr>
            </w:pPr>
          </w:p>
          <w:p w:rsidR="003A195C" w:rsidRPr="004202D8" w:rsidRDefault="003A195C" w:rsidP="003A195C">
            <w:pPr>
              <w:jc w:val="both"/>
              <w:rPr>
                <w:rFonts w:eastAsia="Times New Roman" w:cstheme="minorHAnsi"/>
                <w:b/>
                <w:color w:val="000000" w:themeColor="text1"/>
                <w:lang w:val="fr-FR" w:eastAsia="rw-RW"/>
              </w:rPr>
            </w:pPr>
            <w:r w:rsidRPr="004202D8">
              <w:rPr>
                <w:rFonts w:eastAsia="Times New Roman" w:cstheme="minorHAnsi"/>
                <w:b/>
                <w:color w:val="000000" w:themeColor="text1"/>
                <w:lang w:val="fr-FR" w:eastAsia="rw-RW"/>
              </w:rPr>
              <w:t>Le/la Consultant (e) avec le cumul de notes (Technique + Financière) le plus élevé sera retenu pour le contrat.</w:t>
            </w:r>
          </w:p>
          <w:p w:rsidR="003A195C" w:rsidRPr="004202D8" w:rsidRDefault="003A195C" w:rsidP="003A195C">
            <w:pPr>
              <w:jc w:val="both"/>
              <w:rPr>
                <w:rFonts w:cstheme="minorHAnsi"/>
                <w:b/>
                <w:i/>
                <w:color w:val="000000" w:themeColor="text1"/>
                <w:lang w:val="fr-FR"/>
              </w:rPr>
            </w:pPr>
          </w:p>
          <w:p w:rsidR="003A195C" w:rsidRPr="004202D8" w:rsidRDefault="003A195C" w:rsidP="003A195C">
            <w:pPr>
              <w:jc w:val="both"/>
              <w:rPr>
                <w:rFonts w:eastAsia="Times New Roman"/>
                <w:bCs/>
                <w:color w:val="000000" w:themeColor="text1"/>
                <w:lang w:val="fr-FR" w:eastAsia="rw-RW"/>
              </w:rPr>
            </w:pPr>
            <w:r w:rsidRPr="004202D8">
              <w:rPr>
                <w:rFonts w:eastAsia="Times New Roman"/>
                <w:bCs/>
                <w:color w:val="000000" w:themeColor="text1"/>
                <w:lang w:val="fr-FR" w:eastAsia="rw-RW"/>
              </w:rPr>
              <w:t>Le/la Consultant(e) fait sa proposition financière suivant le Tableau des coûts dans l´Annexe II (Lettre de soumission au PNUD). Il doit proposer un montant forfaitaire et présenter, dans le Tableau des coûts, la ventilation de ce montant forfaitaire.</w:t>
            </w:r>
          </w:p>
          <w:p w:rsidR="003A195C" w:rsidRPr="004202D8" w:rsidRDefault="003A195C" w:rsidP="003A195C">
            <w:pPr>
              <w:jc w:val="both"/>
              <w:rPr>
                <w:rFonts w:eastAsia="Times New Roman"/>
                <w:bCs/>
                <w:color w:val="000000" w:themeColor="text1"/>
                <w:lang w:val="fr-FR" w:eastAsia="rw-RW"/>
              </w:rPr>
            </w:pPr>
          </w:p>
          <w:p w:rsidR="00EF31F4" w:rsidRPr="004202D8" w:rsidRDefault="003A195C" w:rsidP="003A195C">
            <w:pPr>
              <w:jc w:val="both"/>
              <w:rPr>
                <w:rFonts w:eastAsia="Times New Roman"/>
                <w:bCs/>
                <w:color w:val="000000" w:themeColor="text1"/>
                <w:lang w:val="fr-FR" w:eastAsia="rw-RW"/>
              </w:rPr>
            </w:pPr>
            <w:r w:rsidRPr="004202D8">
              <w:rPr>
                <w:rFonts w:eastAsia="Times New Roman"/>
                <w:bCs/>
                <w:color w:val="000000" w:themeColor="text1"/>
                <w:lang w:val="fr-FR" w:eastAsia="rw-RW"/>
              </w:rPr>
              <w:t xml:space="preserve">Le/la consultant/e devra inclure tous les frais lui permettant d’exécuter la mission suivant la durée prévue. </w:t>
            </w:r>
          </w:p>
          <w:p w:rsidR="00EF31F4" w:rsidRPr="004202D8" w:rsidRDefault="00EF31F4" w:rsidP="003A195C">
            <w:pPr>
              <w:jc w:val="both"/>
              <w:rPr>
                <w:rFonts w:eastAsia="Times New Roman"/>
                <w:bCs/>
                <w:color w:val="000000" w:themeColor="text1"/>
                <w:lang w:val="fr-FR" w:eastAsia="rw-RW"/>
              </w:rPr>
            </w:pPr>
          </w:p>
          <w:p w:rsidR="003A195C" w:rsidRPr="004202D8" w:rsidRDefault="003A195C" w:rsidP="003A195C">
            <w:pPr>
              <w:jc w:val="both"/>
              <w:rPr>
                <w:rFonts w:eastAsia="Times New Roman"/>
                <w:bCs/>
                <w:color w:val="000000" w:themeColor="text1"/>
                <w:lang w:val="fr-FR" w:eastAsia="rw-RW"/>
              </w:rPr>
            </w:pPr>
            <w:r w:rsidRPr="004202D8">
              <w:rPr>
                <w:rFonts w:eastAsia="Times New Roman"/>
                <w:bCs/>
                <w:color w:val="000000" w:themeColor="text1"/>
                <w:lang w:val="fr-FR" w:eastAsia="rw-RW"/>
              </w:rPr>
              <w:t>Les paiements seront effectués sur la base de la production des livrables tels que mentionné dans la Section 3 – Livrables et Tranches de Paiement.</w:t>
            </w:r>
          </w:p>
          <w:p w:rsidR="003A195C" w:rsidRPr="004202D8" w:rsidRDefault="003A195C" w:rsidP="003A195C">
            <w:pPr>
              <w:jc w:val="both"/>
              <w:rPr>
                <w:rFonts w:cstheme="minorHAnsi"/>
                <w:b/>
                <w:i/>
                <w:color w:val="000000" w:themeColor="text1"/>
                <w:lang w:val="fr-FR"/>
              </w:rPr>
            </w:pPr>
          </w:p>
          <w:p w:rsidR="00443E94" w:rsidRPr="004202D8" w:rsidRDefault="003A195C" w:rsidP="003A195C">
            <w:pPr>
              <w:jc w:val="both"/>
              <w:rPr>
                <w:rFonts w:cstheme="minorHAnsi"/>
                <w:b/>
                <w:i/>
                <w:color w:val="000000" w:themeColor="text1"/>
                <w:lang w:val="fr-FR"/>
              </w:rPr>
            </w:pPr>
            <w:r w:rsidRPr="004202D8">
              <w:rPr>
                <w:rFonts w:cstheme="minorHAnsi"/>
                <w:b/>
                <w:i/>
                <w:color w:val="000000" w:themeColor="text1"/>
                <w:lang w:val="fr-FR"/>
              </w:rPr>
              <w:t>Seulement les candidats ayant obtenu la note minimale combinée de 70/100 à l´évaluation technique seront considérés pour l’évaluation financière.</w:t>
            </w:r>
          </w:p>
        </w:tc>
      </w:tr>
    </w:tbl>
    <w:p w:rsidR="003A195C" w:rsidRPr="004202D8" w:rsidRDefault="003A195C" w:rsidP="00C3053C">
      <w:pPr>
        <w:rPr>
          <w:rFonts w:cstheme="minorHAnsi"/>
          <w:b/>
          <w:color w:val="000000" w:themeColor="text1"/>
          <w:lang w:val="fr-FR"/>
        </w:rPr>
      </w:pPr>
    </w:p>
    <w:p w:rsidR="00C3053C" w:rsidRPr="004202D8" w:rsidRDefault="00D52632" w:rsidP="00C3053C">
      <w:pPr>
        <w:rPr>
          <w:rFonts w:cstheme="minorHAnsi"/>
          <w:b/>
          <w:color w:val="000000" w:themeColor="text1"/>
          <w:lang w:val="fr-FR"/>
        </w:rPr>
      </w:pPr>
      <w:r w:rsidRPr="004202D8">
        <w:rPr>
          <w:rFonts w:cstheme="minorHAnsi"/>
          <w:b/>
          <w:color w:val="000000" w:themeColor="text1"/>
        </w:rPr>
        <w:lastRenderedPageBreak/>
        <w:t>9</w:t>
      </w:r>
      <w:r w:rsidR="00C3053C" w:rsidRPr="004202D8">
        <w:rPr>
          <w:rFonts w:cstheme="minorHAnsi"/>
          <w:b/>
          <w:color w:val="000000" w:themeColor="text1"/>
        </w:rPr>
        <w:t xml:space="preserve">. </w:t>
      </w:r>
      <w:r w:rsidR="00C3053C" w:rsidRPr="004202D8">
        <w:rPr>
          <w:rFonts w:eastAsia="Calibri" w:cstheme="minorHAnsi"/>
          <w:b/>
          <w:color w:val="000000" w:themeColor="text1"/>
          <w:lang w:val="fr-FR"/>
        </w:rPr>
        <w:t xml:space="preserve">Autres </w:t>
      </w:r>
      <w:r w:rsidR="00FA000D" w:rsidRPr="004202D8">
        <w:rPr>
          <w:rFonts w:eastAsia="Calibri" w:cstheme="minorHAnsi"/>
          <w:b/>
          <w:color w:val="000000" w:themeColor="text1"/>
          <w:lang w:val="fr-FR"/>
        </w:rPr>
        <w:t>information</w:t>
      </w:r>
      <w:r w:rsidR="00C3053C" w:rsidRPr="004202D8">
        <w:rPr>
          <w:rFonts w:eastAsia="Calibri" w:cstheme="minorHAnsi"/>
          <w:b/>
          <w:color w:val="000000" w:themeColor="text1"/>
          <w:lang w:val="fr-FR"/>
        </w:rPr>
        <w:t xml:space="preserve"> pertinentes</w:t>
      </w:r>
    </w:p>
    <w:tbl>
      <w:tblPr>
        <w:tblStyle w:val="Grilledutableau"/>
        <w:tblW w:w="0" w:type="auto"/>
        <w:tblLook w:val="04A0"/>
      </w:tblPr>
      <w:tblGrid>
        <w:gridCol w:w="9576"/>
      </w:tblGrid>
      <w:tr w:rsidR="004F20E7" w:rsidRPr="004B2900" w:rsidTr="003A195C">
        <w:trPr>
          <w:trHeight w:val="2006"/>
        </w:trPr>
        <w:tc>
          <w:tcPr>
            <w:tcW w:w="9576" w:type="dxa"/>
          </w:tcPr>
          <w:p w:rsidR="00C3053C" w:rsidRPr="004202D8" w:rsidRDefault="00C3053C" w:rsidP="00C3053C">
            <w:pPr>
              <w:rPr>
                <w:rFonts w:cstheme="minorHAnsi"/>
                <w:color w:val="000000" w:themeColor="text1"/>
                <w:lang w:val="fr-FR"/>
              </w:rPr>
            </w:pPr>
            <w:r w:rsidRPr="004202D8">
              <w:rPr>
                <w:rFonts w:cstheme="minorHAnsi"/>
                <w:color w:val="000000" w:themeColor="text1"/>
                <w:lang w:val="fr-FR"/>
              </w:rPr>
              <w:t xml:space="preserve">Le soumissionnaire retenu de 65 ans ou plus sera appelé à présenter un certificat médical complet ainsi qu´un certificat d’aptitude physique à travailler et à voyager. Les frais des examens seront à sa charge et le rapport médical devra être approuvé par un médecin approuvé par les Nations Unis. </w:t>
            </w:r>
          </w:p>
          <w:p w:rsidR="00C3053C" w:rsidRPr="004202D8" w:rsidRDefault="00C3053C" w:rsidP="00C3053C">
            <w:pPr>
              <w:rPr>
                <w:rFonts w:cstheme="minorHAnsi"/>
                <w:color w:val="000000" w:themeColor="text1"/>
                <w:lang w:val="fr-FR"/>
              </w:rPr>
            </w:pPr>
          </w:p>
          <w:p w:rsidR="00C3053C" w:rsidRPr="004202D8" w:rsidRDefault="00C3053C" w:rsidP="00DC6C23">
            <w:pPr>
              <w:rPr>
                <w:rFonts w:cstheme="minorHAnsi"/>
                <w:color w:val="000000" w:themeColor="text1"/>
                <w:lang w:val="fr-FR"/>
              </w:rPr>
            </w:pPr>
            <w:r w:rsidRPr="004202D8">
              <w:rPr>
                <w:rFonts w:cstheme="minorHAnsi"/>
                <w:color w:val="000000" w:themeColor="text1"/>
                <w:lang w:val="fr-FR"/>
              </w:rPr>
              <w:t xml:space="preserve">Le </w:t>
            </w:r>
            <w:r w:rsidR="000120DD" w:rsidRPr="004202D8">
              <w:rPr>
                <w:rFonts w:cstheme="minorHAnsi"/>
                <w:color w:val="000000" w:themeColor="text1"/>
                <w:lang w:val="fr-FR"/>
              </w:rPr>
              <w:t xml:space="preserve">(la) </w:t>
            </w:r>
            <w:r w:rsidRPr="004202D8">
              <w:rPr>
                <w:rFonts w:cstheme="minorHAnsi"/>
                <w:color w:val="000000" w:themeColor="text1"/>
                <w:lang w:val="fr-FR"/>
              </w:rPr>
              <w:t>consultant</w:t>
            </w:r>
            <w:r w:rsidR="000120DD" w:rsidRPr="004202D8">
              <w:rPr>
                <w:rFonts w:cstheme="minorHAnsi"/>
                <w:color w:val="000000" w:themeColor="text1"/>
                <w:lang w:val="fr-FR"/>
              </w:rPr>
              <w:t>(e)</w:t>
            </w:r>
            <w:r w:rsidRPr="004202D8">
              <w:rPr>
                <w:rFonts w:cstheme="minorHAnsi"/>
                <w:color w:val="000000" w:themeColor="text1"/>
                <w:lang w:val="fr-FR"/>
              </w:rPr>
              <w:t xml:space="preserve"> retenu</w:t>
            </w:r>
            <w:r w:rsidR="000120DD" w:rsidRPr="004202D8">
              <w:rPr>
                <w:rFonts w:cstheme="minorHAnsi"/>
                <w:color w:val="000000" w:themeColor="text1"/>
                <w:lang w:val="fr-FR"/>
              </w:rPr>
              <w:t>(e)</w:t>
            </w:r>
            <w:r w:rsidRPr="004202D8">
              <w:rPr>
                <w:rFonts w:cstheme="minorHAnsi"/>
                <w:color w:val="000000" w:themeColor="text1"/>
                <w:lang w:val="fr-FR"/>
              </w:rPr>
              <w:t xml:space="preserve"> devra prendre toutes les dispositions nécessaires pour faire les </w:t>
            </w:r>
            <w:r w:rsidRPr="004202D8">
              <w:rPr>
                <w:rFonts w:cstheme="minorHAnsi"/>
                <w:b/>
                <w:color w:val="000000" w:themeColor="text1"/>
                <w:lang w:val="fr-FR"/>
              </w:rPr>
              <w:t xml:space="preserve">formations sécuritaires requises </w:t>
            </w:r>
            <w:r w:rsidRPr="004202D8">
              <w:rPr>
                <w:rFonts w:cstheme="minorHAnsi"/>
                <w:color w:val="000000" w:themeColor="text1"/>
                <w:lang w:val="fr-FR"/>
              </w:rPr>
              <w:t>avant tout démarrage de mission (ces certificats sont obtenus en ligne, le PNUD fournira tous les détails au consultant retenu au moment de l´attribution du contrat).</w:t>
            </w:r>
          </w:p>
        </w:tc>
      </w:tr>
    </w:tbl>
    <w:p w:rsidR="0018325D" w:rsidRPr="004202D8" w:rsidRDefault="0018325D" w:rsidP="00A24134">
      <w:pPr>
        <w:rPr>
          <w:rFonts w:cstheme="minorHAnsi"/>
          <w:b/>
          <w:color w:val="000000" w:themeColor="text1"/>
          <w:u w:val="single"/>
          <w:lang w:val="fr-FR"/>
        </w:rPr>
      </w:pPr>
    </w:p>
    <w:p w:rsidR="00EA50D0" w:rsidRPr="004202D8" w:rsidRDefault="002A1486" w:rsidP="00A24134">
      <w:pPr>
        <w:rPr>
          <w:rFonts w:cstheme="minorHAnsi"/>
          <w:b/>
          <w:color w:val="000000" w:themeColor="text1"/>
          <w:u w:val="single"/>
          <w:lang w:val="fr-FR"/>
        </w:rPr>
      </w:pPr>
      <w:r w:rsidRPr="004202D8">
        <w:rPr>
          <w:rFonts w:cstheme="minorHAnsi"/>
          <w:b/>
          <w:color w:val="000000" w:themeColor="text1"/>
          <w:u w:val="single"/>
          <w:lang w:val="fr-FR"/>
        </w:rPr>
        <w:t>ANNEX</w:t>
      </w:r>
      <w:r w:rsidR="00852471" w:rsidRPr="004202D8">
        <w:rPr>
          <w:rFonts w:cstheme="minorHAnsi"/>
          <w:b/>
          <w:color w:val="000000" w:themeColor="text1"/>
          <w:u w:val="single"/>
          <w:lang w:val="fr-FR"/>
        </w:rPr>
        <w:t>ES</w:t>
      </w:r>
    </w:p>
    <w:p w:rsidR="00103276" w:rsidRPr="004202D8" w:rsidRDefault="0082245E" w:rsidP="00A24134">
      <w:pPr>
        <w:rPr>
          <w:rFonts w:cstheme="minorHAnsi"/>
          <w:b/>
          <w:color w:val="000000" w:themeColor="text1"/>
          <w:lang w:val="fr-FR"/>
        </w:rPr>
      </w:pPr>
      <w:r w:rsidRPr="004202D8">
        <w:rPr>
          <w:rFonts w:cstheme="minorHAnsi"/>
          <w:b/>
          <w:color w:val="000000" w:themeColor="text1"/>
          <w:lang w:val="fr-FR"/>
        </w:rPr>
        <w:t>ANNEX</w:t>
      </w:r>
      <w:r w:rsidR="003A195C" w:rsidRPr="004202D8">
        <w:rPr>
          <w:rFonts w:cstheme="minorHAnsi"/>
          <w:b/>
          <w:color w:val="000000" w:themeColor="text1"/>
          <w:lang w:val="fr-FR"/>
        </w:rPr>
        <w:t>E</w:t>
      </w:r>
      <w:r w:rsidRPr="004202D8">
        <w:rPr>
          <w:rFonts w:cstheme="minorHAnsi"/>
          <w:b/>
          <w:color w:val="000000" w:themeColor="text1"/>
          <w:lang w:val="fr-FR"/>
        </w:rPr>
        <w:t xml:space="preserve"> 1</w:t>
      </w:r>
      <w:r w:rsidR="00167362" w:rsidRPr="004202D8">
        <w:rPr>
          <w:rFonts w:cstheme="minorHAnsi"/>
          <w:b/>
          <w:color w:val="000000" w:themeColor="text1"/>
          <w:lang w:val="fr-FR"/>
        </w:rPr>
        <w:t xml:space="preserve"> – Termes et Conditions des contrats IC (IndividualContracts)</w:t>
      </w:r>
    </w:p>
    <w:bookmarkStart w:id="12" w:name="_MON_1440321617"/>
    <w:bookmarkEnd w:id="12"/>
    <w:p w:rsidR="004B1614" w:rsidRPr="004202D8" w:rsidRDefault="00A24A6D" w:rsidP="00A24134">
      <w:pPr>
        <w:rPr>
          <w:rFonts w:cstheme="minorHAnsi"/>
          <w:b/>
          <w:color w:val="000000" w:themeColor="text1"/>
          <w:lang w:val="fr-FR"/>
        </w:rPr>
      </w:pPr>
      <w:r w:rsidRPr="004202D8">
        <w:rPr>
          <w:rFonts w:eastAsia="Times New Roman" w:cstheme="minorHAnsi"/>
          <w:b/>
          <w:noProof/>
          <w:color w:val="000000" w:themeColor="text1"/>
          <w:lang w:eastAsia="rw-RW"/>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75pt;height:50.4pt;mso-width-percent:0;mso-height-percent:0;mso-width-percent:0;mso-height-percent:0" o:ole="">
            <v:imagedata r:id="rId14" o:title=""/>
          </v:shape>
          <o:OLEObject Type="Embed" ProgID="Word.Document.12" ShapeID="_x0000_i1025" DrawAspect="Icon" ObjectID="_1655814675" r:id="rId15">
            <o:FieldCodes>\s</o:FieldCodes>
          </o:OLEObject>
        </w:object>
      </w:r>
    </w:p>
    <w:p w:rsidR="003A195C" w:rsidRPr="004202D8" w:rsidRDefault="003A195C" w:rsidP="003A195C">
      <w:pPr>
        <w:rPr>
          <w:rFonts w:eastAsia="Times New Roman" w:cstheme="minorHAnsi"/>
          <w:b/>
          <w:noProof/>
          <w:color w:val="000000" w:themeColor="text1"/>
          <w:lang w:val="fr-FR" w:eastAsia="rw-RW"/>
        </w:rPr>
      </w:pPr>
      <w:r w:rsidRPr="004202D8">
        <w:rPr>
          <w:rFonts w:cstheme="minorHAnsi"/>
          <w:b/>
          <w:color w:val="000000" w:themeColor="text1"/>
          <w:lang w:val="fr-FR"/>
        </w:rPr>
        <w:t>ANNEXE 2 – Lettre de soumission au PNUD confirmant l´intérêt et la disponibilité du prestataire individuel (IC) pour la mission (y compris le tableau des couts)</w:t>
      </w:r>
    </w:p>
    <w:bookmarkStart w:id="13" w:name="_MON_1642487187"/>
    <w:bookmarkEnd w:id="13"/>
    <w:p w:rsidR="003A195C" w:rsidRPr="004202D8" w:rsidRDefault="003A195C" w:rsidP="003A195C">
      <w:pPr>
        <w:rPr>
          <w:rFonts w:cstheme="minorHAnsi"/>
          <w:b/>
          <w:noProof/>
          <w:color w:val="000000" w:themeColor="text1"/>
          <w:lang w:val="fr-FR"/>
        </w:rPr>
      </w:pPr>
      <w:r w:rsidRPr="004202D8">
        <w:rPr>
          <w:rFonts w:cstheme="minorHAnsi"/>
          <w:b/>
          <w:noProof/>
          <w:color w:val="000000" w:themeColor="text1"/>
          <w:lang w:val="fr-FR"/>
        </w:rPr>
        <w:object w:dxaOrig="1478" w:dyaOrig="973">
          <v:shape id="_x0000_i1026" type="#_x0000_t75" style="width:1in;height:50.4pt" o:ole="">
            <v:imagedata r:id="rId16" o:title=""/>
          </v:shape>
          <o:OLEObject Type="Embed" ProgID="Word.Document.12" ShapeID="_x0000_i1026" DrawAspect="Icon" ObjectID="_1655814676" r:id="rId17">
            <o:FieldCodes>\s</o:FieldCodes>
          </o:OLEObject>
        </w:object>
      </w:r>
    </w:p>
    <w:p w:rsidR="00240981" w:rsidRPr="004202D8" w:rsidRDefault="00240981" w:rsidP="00C3053C">
      <w:pPr>
        <w:rPr>
          <w:rFonts w:cstheme="minorHAnsi"/>
          <w:b/>
          <w:color w:val="000000" w:themeColor="text1"/>
          <w:lang w:val="fr-FR"/>
        </w:rPr>
      </w:pPr>
    </w:p>
    <w:p w:rsidR="00EB6C4D" w:rsidRPr="004202D8" w:rsidRDefault="00EB6C4D" w:rsidP="00EB6C4D">
      <w:pPr>
        <w:rPr>
          <w:rFonts w:cstheme="minorHAnsi"/>
          <w:color w:val="000000" w:themeColor="text1"/>
          <w:lang w:val="fr-FR"/>
        </w:rPr>
      </w:pPr>
    </w:p>
    <w:p w:rsidR="00EB6C4D" w:rsidRPr="004202D8" w:rsidRDefault="00EB6C4D" w:rsidP="00EB6C4D">
      <w:pPr>
        <w:rPr>
          <w:rFonts w:cstheme="minorHAnsi"/>
          <w:color w:val="000000" w:themeColor="text1"/>
          <w:lang w:val="fr-FR"/>
        </w:rPr>
      </w:pPr>
    </w:p>
    <w:p w:rsidR="00EB6C4D" w:rsidRPr="004202D8" w:rsidRDefault="00EB6C4D" w:rsidP="00EB6C4D">
      <w:pPr>
        <w:tabs>
          <w:tab w:val="left" w:pos="3210"/>
        </w:tabs>
        <w:rPr>
          <w:rFonts w:cstheme="minorHAnsi"/>
          <w:color w:val="000000" w:themeColor="text1"/>
          <w:lang w:val="fr-FR"/>
        </w:rPr>
      </w:pPr>
      <w:r w:rsidRPr="004202D8">
        <w:rPr>
          <w:rFonts w:cstheme="minorHAnsi"/>
          <w:color w:val="000000" w:themeColor="text1"/>
          <w:lang w:val="fr-FR"/>
        </w:rPr>
        <w:tab/>
      </w:r>
    </w:p>
    <w:p w:rsidR="00737860" w:rsidRPr="004202D8" w:rsidRDefault="00737860" w:rsidP="00737860">
      <w:pPr>
        <w:rPr>
          <w:rFonts w:cstheme="minorHAnsi"/>
          <w:lang w:val="fr-FR"/>
        </w:rPr>
      </w:pPr>
    </w:p>
    <w:p w:rsidR="00737860" w:rsidRPr="004202D8" w:rsidRDefault="00737860" w:rsidP="00737860">
      <w:pPr>
        <w:rPr>
          <w:rFonts w:cstheme="minorHAnsi"/>
          <w:lang w:val="fr-FR"/>
        </w:rPr>
      </w:pPr>
    </w:p>
    <w:p w:rsidR="00737860" w:rsidRPr="004202D8" w:rsidRDefault="00737860" w:rsidP="00737860">
      <w:pPr>
        <w:tabs>
          <w:tab w:val="left" w:pos="2866"/>
        </w:tabs>
        <w:rPr>
          <w:rFonts w:cstheme="minorHAnsi"/>
          <w:lang w:val="fr-FR"/>
        </w:rPr>
      </w:pPr>
      <w:r w:rsidRPr="004202D8">
        <w:rPr>
          <w:rFonts w:cstheme="minorHAnsi"/>
          <w:lang w:val="fr-FR"/>
        </w:rPr>
        <w:tab/>
      </w:r>
    </w:p>
    <w:sectPr w:rsidR="00737860" w:rsidRPr="004202D8" w:rsidSect="008429D1">
      <w:headerReference w:type="default" r:id="rId18"/>
      <w:footerReference w:type="default" r:id="rId19"/>
      <w:pgSz w:w="12240" w:h="15840"/>
      <w:pgMar w:top="1440" w:right="1440" w:bottom="99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0E7" w:rsidRDefault="003730E7" w:rsidP="00A24134">
      <w:pPr>
        <w:spacing w:after="0" w:line="240" w:lineRule="auto"/>
      </w:pPr>
      <w:r>
        <w:separator/>
      </w:r>
    </w:p>
  </w:endnote>
  <w:endnote w:type="continuationSeparator" w:id="1">
    <w:p w:rsidR="003730E7" w:rsidRDefault="003730E7" w:rsidP="00A24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CF" w:rsidRPr="002E54A1" w:rsidRDefault="00A064CF" w:rsidP="00A064CF">
    <w:pPr>
      <w:spacing w:after="0" w:line="240" w:lineRule="auto"/>
      <w:rPr>
        <w:rFonts w:eastAsia="Times New Roman"/>
        <w:b/>
        <w:lang w:val="fr-FR" w:eastAsia="rw-RW"/>
      </w:rPr>
    </w:pPr>
    <w:r w:rsidRPr="002E54A1">
      <w:rPr>
        <w:rFonts w:eastAsia="Times New Roman"/>
        <w:b/>
        <w:lang w:val="fr-FR" w:eastAsia="rw-RW"/>
      </w:rPr>
      <w:t>Référence du dossier :</w:t>
    </w:r>
    <w:r w:rsidR="00880E75" w:rsidRPr="005A3B34">
      <w:rPr>
        <w:rFonts w:eastAsia="Times New Roman"/>
        <w:b/>
        <w:color w:val="000000" w:themeColor="text1"/>
        <w:sz w:val="24"/>
        <w:szCs w:val="24"/>
        <w:lang w:val="fr-FR" w:eastAsia="rw-RW"/>
      </w:rPr>
      <w:t>03</w:t>
    </w:r>
    <w:r w:rsidR="00737860">
      <w:rPr>
        <w:rFonts w:eastAsia="Times New Roman"/>
        <w:b/>
        <w:color w:val="000000" w:themeColor="text1"/>
        <w:sz w:val="24"/>
        <w:szCs w:val="24"/>
        <w:lang w:val="fr-FR" w:eastAsia="rw-RW"/>
      </w:rPr>
      <w:t>8</w:t>
    </w:r>
    <w:r w:rsidR="00880E75" w:rsidRPr="005A3B34">
      <w:rPr>
        <w:rFonts w:eastAsia="Times New Roman"/>
        <w:b/>
        <w:color w:val="000000" w:themeColor="text1"/>
        <w:sz w:val="24"/>
        <w:szCs w:val="24"/>
        <w:lang w:val="fr-FR" w:eastAsia="rw-RW"/>
      </w:rPr>
      <w:t>/IC-</w:t>
    </w:r>
    <w:r w:rsidR="00880E75">
      <w:rPr>
        <w:rFonts w:eastAsia="Times New Roman"/>
        <w:b/>
        <w:color w:val="000000" w:themeColor="text1"/>
        <w:sz w:val="24"/>
        <w:szCs w:val="24"/>
        <w:lang w:val="fr-FR" w:eastAsia="rw-RW"/>
      </w:rPr>
      <w:t>NAT-</w:t>
    </w:r>
    <w:r w:rsidR="00880E75" w:rsidRPr="005A3B34">
      <w:rPr>
        <w:rFonts w:eastAsia="Times New Roman"/>
        <w:b/>
        <w:color w:val="000000" w:themeColor="text1"/>
        <w:sz w:val="24"/>
        <w:szCs w:val="24"/>
        <w:lang w:val="fr-FR" w:eastAsia="rw-RW"/>
      </w:rPr>
      <w:t>P</w:t>
    </w:r>
    <w:r w:rsidR="00880E75">
      <w:rPr>
        <w:rFonts w:eastAsia="Times New Roman"/>
        <w:b/>
        <w:color w:val="000000" w:themeColor="text1"/>
        <w:sz w:val="24"/>
        <w:szCs w:val="24"/>
        <w:lang w:val="fr-FR" w:eastAsia="rw-RW"/>
      </w:rPr>
      <w:t>NUD-UNHCR</w:t>
    </w:r>
    <w:r w:rsidR="00880E75" w:rsidRPr="005A3B34">
      <w:rPr>
        <w:rFonts w:eastAsia="Times New Roman"/>
        <w:b/>
        <w:color w:val="000000" w:themeColor="text1"/>
        <w:sz w:val="24"/>
        <w:szCs w:val="24"/>
        <w:lang w:val="fr-FR" w:eastAsia="rw-RW"/>
      </w:rPr>
      <w:t>/2020</w:t>
    </w:r>
  </w:p>
  <w:p w:rsidR="003343CB" w:rsidRPr="00A064CF" w:rsidRDefault="003343CB" w:rsidP="003F640F">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0E7" w:rsidRDefault="003730E7" w:rsidP="00A24134">
      <w:pPr>
        <w:spacing w:after="0" w:line="240" w:lineRule="auto"/>
      </w:pPr>
      <w:r>
        <w:separator/>
      </w:r>
    </w:p>
  </w:footnote>
  <w:footnote w:type="continuationSeparator" w:id="1">
    <w:p w:rsidR="003730E7" w:rsidRDefault="003730E7" w:rsidP="00A24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263" w:rsidRDefault="00BF6263" w:rsidP="00D56C11">
    <w:pPr>
      <w:pStyle w:val="En-tte"/>
      <w:jc w:val="right"/>
    </w:pPr>
    <w:r w:rsidRPr="001C0978">
      <w:rPr>
        <w:rFonts w:ascii="Times New Roman" w:hAnsi="Times New Roman"/>
        <w:b/>
        <w:noProof/>
        <w:sz w:val="28"/>
        <w:szCs w:val="28"/>
        <w:lang w:val="fr-FR" w:eastAsia="fr-FR"/>
      </w:rPr>
      <w:drawing>
        <wp:inline distT="0" distB="0" distL="0" distR="0">
          <wp:extent cx="409569" cy="105752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531" cy="1093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69C7"/>
    <w:multiLevelType w:val="hybridMultilevel"/>
    <w:tmpl w:val="956CDB38"/>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601578"/>
    <w:multiLevelType w:val="multilevel"/>
    <w:tmpl w:val="A84A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D522F"/>
    <w:multiLevelType w:val="hybridMultilevel"/>
    <w:tmpl w:val="D026E012"/>
    <w:lvl w:ilvl="0" w:tplc="B246A23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56F57"/>
    <w:multiLevelType w:val="hybridMultilevel"/>
    <w:tmpl w:val="58E82010"/>
    <w:lvl w:ilvl="0" w:tplc="9AF63C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1C5C0E"/>
    <w:multiLevelType w:val="hybridMultilevel"/>
    <w:tmpl w:val="70BA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4167B"/>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8BD87E46">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1141DF"/>
    <w:multiLevelType w:val="hybridMultilevel"/>
    <w:tmpl w:val="0B424D48"/>
    <w:lvl w:ilvl="0" w:tplc="DB2E27C4">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912D04"/>
    <w:multiLevelType w:val="multilevel"/>
    <w:tmpl w:val="3ABC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3C49B0"/>
    <w:multiLevelType w:val="hybridMultilevel"/>
    <w:tmpl w:val="4730859A"/>
    <w:lvl w:ilvl="0" w:tplc="35EE704A">
      <w:start w:val="1"/>
      <w:numFmt w:val="upperLetter"/>
      <w:lvlText w:val="%1)"/>
      <w:lvlJc w:val="left"/>
      <w:pPr>
        <w:ind w:left="1004" w:hanging="360"/>
      </w:pPr>
      <w:rPr>
        <w:rFonts w:ascii="Arial" w:eastAsia="Times New Roman" w:hAnsi="Arial" w:cs="Times New Roman"/>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5DB81937"/>
    <w:multiLevelType w:val="hybridMultilevel"/>
    <w:tmpl w:val="624A412E"/>
    <w:lvl w:ilvl="0" w:tplc="0409000F">
      <w:start w:val="1"/>
      <w:numFmt w:val="decimal"/>
      <w:lvlText w:val="%1."/>
      <w:lvlJc w:val="left"/>
      <w:pPr>
        <w:ind w:left="720" w:hanging="360"/>
      </w:pPr>
    </w:lvl>
    <w:lvl w:ilvl="1" w:tplc="D4B257B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7836BC"/>
    <w:multiLevelType w:val="hybridMultilevel"/>
    <w:tmpl w:val="57386182"/>
    <w:lvl w:ilvl="0" w:tplc="3AE4CB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22F759B"/>
    <w:multiLevelType w:val="hybridMultilevel"/>
    <w:tmpl w:val="FCE2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790DCA"/>
    <w:multiLevelType w:val="hybridMultilevel"/>
    <w:tmpl w:val="C0E6E622"/>
    <w:lvl w:ilvl="0" w:tplc="35EE704A">
      <w:start w:val="1"/>
      <w:numFmt w:val="upperLetter"/>
      <w:lvlText w:val="%1)"/>
      <w:lvlJc w:val="left"/>
      <w:pPr>
        <w:ind w:left="1004" w:hanging="360"/>
      </w:pPr>
      <w:rPr>
        <w:rFonts w:ascii="Arial" w:eastAsia="Times New Roman" w:hAnsi="Arial" w:cs="Times New Roman"/>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68F25FFD"/>
    <w:multiLevelType w:val="hybridMultilevel"/>
    <w:tmpl w:val="79F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A1557"/>
    <w:multiLevelType w:val="hybridMultilevel"/>
    <w:tmpl w:val="982C4C7E"/>
    <w:lvl w:ilvl="0" w:tplc="209EC7F4">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5">
    <w:nsid w:val="6E6E3227"/>
    <w:multiLevelType w:val="hybridMultilevel"/>
    <w:tmpl w:val="1EBC5A9C"/>
    <w:lvl w:ilvl="0" w:tplc="879A9A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E457CDC"/>
    <w:multiLevelType w:val="multilevel"/>
    <w:tmpl w:val="C2A6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13"/>
  </w:num>
  <w:num w:numId="5">
    <w:abstractNumId w:val="14"/>
  </w:num>
  <w:num w:numId="6">
    <w:abstractNumId w:val="4"/>
  </w:num>
  <w:num w:numId="7">
    <w:abstractNumId w:val="0"/>
  </w:num>
  <w:num w:numId="8">
    <w:abstractNumId w:val="6"/>
  </w:num>
  <w:num w:numId="9">
    <w:abstractNumId w:val="7"/>
  </w:num>
  <w:num w:numId="10">
    <w:abstractNumId w:val="16"/>
  </w:num>
  <w:num w:numId="11">
    <w:abstractNumId w:val="1"/>
  </w:num>
  <w:num w:numId="12">
    <w:abstractNumId w:val="10"/>
  </w:num>
  <w:num w:numId="13">
    <w:abstractNumId w:val="15"/>
  </w:num>
  <w:num w:numId="14">
    <w:abstractNumId w:val="8"/>
  </w:num>
  <w:num w:numId="15">
    <w:abstractNumId w:val="2"/>
  </w:num>
  <w:num w:numId="16">
    <w:abstractNumId w:val="12"/>
  </w:num>
  <w:num w:numId="17">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footnotePr>
    <w:footnote w:id="0"/>
    <w:footnote w:id="1"/>
  </w:footnotePr>
  <w:endnotePr>
    <w:endnote w:id="0"/>
    <w:endnote w:id="1"/>
  </w:endnotePr>
  <w:compat/>
  <w:rsids>
    <w:rsidRoot w:val="009E2B22"/>
    <w:rsid w:val="00003CF1"/>
    <w:rsid w:val="00005A87"/>
    <w:rsid w:val="0001012F"/>
    <w:rsid w:val="000120DD"/>
    <w:rsid w:val="000121F0"/>
    <w:rsid w:val="0001469E"/>
    <w:rsid w:val="0002284B"/>
    <w:rsid w:val="00023420"/>
    <w:rsid w:val="000247EB"/>
    <w:rsid w:val="000278A7"/>
    <w:rsid w:val="00033771"/>
    <w:rsid w:val="000440EC"/>
    <w:rsid w:val="0005010B"/>
    <w:rsid w:val="000562F1"/>
    <w:rsid w:val="00057DA8"/>
    <w:rsid w:val="00066891"/>
    <w:rsid w:val="00076BC5"/>
    <w:rsid w:val="0008283A"/>
    <w:rsid w:val="000853CD"/>
    <w:rsid w:val="00086485"/>
    <w:rsid w:val="00092DBB"/>
    <w:rsid w:val="000964DE"/>
    <w:rsid w:val="00097CE8"/>
    <w:rsid w:val="000A6107"/>
    <w:rsid w:val="000A6993"/>
    <w:rsid w:val="000B254C"/>
    <w:rsid w:val="000D2201"/>
    <w:rsid w:val="000D52AE"/>
    <w:rsid w:val="000D682F"/>
    <w:rsid w:val="000D7BD3"/>
    <w:rsid w:val="000E1EB5"/>
    <w:rsid w:val="000E2C6B"/>
    <w:rsid w:val="000E45E5"/>
    <w:rsid w:val="000E6FDF"/>
    <w:rsid w:val="00103276"/>
    <w:rsid w:val="0010664C"/>
    <w:rsid w:val="0011093D"/>
    <w:rsid w:val="00121461"/>
    <w:rsid w:val="00123982"/>
    <w:rsid w:val="00134850"/>
    <w:rsid w:val="00134A66"/>
    <w:rsid w:val="001354D5"/>
    <w:rsid w:val="001446F6"/>
    <w:rsid w:val="00144DE7"/>
    <w:rsid w:val="001473B3"/>
    <w:rsid w:val="00151CC7"/>
    <w:rsid w:val="00157D70"/>
    <w:rsid w:val="00164555"/>
    <w:rsid w:val="00167362"/>
    <w:rsid w:val="00170654"/>
    <w:rsid w:val="00170915"/>
    <w:rsid w:val="00173BB8"/>
    <w:rsid w:val="00174B83"/>
    <w:rsid w:val="00180DF8"/>
    <w:rsid w:val="0018325D"/>
    <w:rsid w:val="00191323"/>
    <w:rsid w:val="001922DD"/>
    <w:rsid w:val="001922FE"/>
    <w:rsid w:val="001A0DCE"/>
    <w:rsid w:val="001A7B70"/>
    <w:rsid w:val="001C10E0"/>
    <w:rsid w:val="001C2F5F"/>
    <w:rsid w:val="001C3587"/>
    <w:rsid w:val="001C7567"/>
    <w:rsid w:val="001D3BD5"/>
    <w:rsid w:val="001D4432"/>
    <w:rsid w:val="001D5105"/>
    <w:rsid w:val="001D6CD5"/>
    <w:rsid w:val="001E0176"/>
    <w:rsid w:val="001E22BC"/>
    <w:rsid w:val="001E30BA"/>
    <w:rsid w:val="00200AA0"/>
    <w:rsid w:val="00210248"/>
    <w:rsid w:val="0021101E"/>
    <w:rsid w:val="00211905"/>
    <w:rsid w:val="00213A46"/>
    <w:rsid w:val="00213D4A"/>
    <w:rsid w:val="00215236"/>
    <w:rsid w:val="00221BAA"/>
    <w:rsid w:val="002223E0"/>
    <w:rsid w:val="00240981"/>
    <w:rsid w:val="002526AF"/>
    <w:rsid w:val="002574C3"/>
    <w:rsid w:val="00270AEA"/>
    <w:rsid w:val="002778D9"/>
    <w:rsid w:val="00277E8A"/>
    <w:rsid w:val="00287F49"/>
    <w:rsid w:val="0029243B"/>
    <w:rsid w:val="002A0E25"/>
    <w:rsid w:val="002A1486"/>
    <w:rsid w:val="002A3FDC"/>
    <w:rsid w:val="002A40BE"/>
    <w:rsid w:val="002A57CC"/>
    <w:rsid w:val="002A5E51"/>
    <w:rsid w:val="002A6182"/>
    <w:rsid w:val="002A64C5"/>
    <w:rsid w:val="002A7413"/>
    <w:rsid w:val="002B0A5E"/>
    <w:rsid w:val="002B15F7"/>
    <w:rsid w:val="002B197A"/>
    <w:rsid w:val="002B3E24"/>
    <w:rsid w:val="002C2C8E"/>
    <w:rsid w:val="002C745A"/>
    <w:rsid w:val="002D4965"/>
    <w:rsid w:val="002E057C"/>
    <w:rsid w:val="002E54A1"/>
    <w:rsid w:val="002E583E"/>
    <w:rsid w:val="002E6AFF"/>
    <w:rsid w:val="002F1A11"/>
    <w:rsid w:val="002F4646"/>
    <w:rsid w:val="002F6BC3"/>
    <w:rsid w:val="002F799A"/>
    <w:rsid w:val="002F7B77"/>
    <w:rsid w:val="00314F51"/>
    <w:rsid w:val="00316503"/>
    <w:rsid w:val="003230F4"/>
    <w:rsid w:val="003231AD"/>
    <w:rsid w:val="00325928"/>
    <w:rsid w:val="0033218C"/>
    <w:rsid w:val="003322B0"/>
    <w:rsid w:val="00332354"/>
    <w:rsid w:val="0033411B"/>
    <w:rsid w:val="003342A2"/>
    <w:rsid w:val="003343CB"/>
    <w:rsid w:val="00336E59"/>
    <w:rsid w:val="00336EF8"/>
    <w:rsid w:val="00343717"/>
    <w:rsid w:val="00343852"/>
    <w:rsid w:val="00343A62"/>
    <w:rsid w:val="0034697D"/>
    <w:rsid w:val="003500EF"/>
    <w:rsid w:val="00350D76"/>
    <w:rsid w:val="00354655"/>
    <w:rsid w:val="00356381"/>
    <w:rsid w:val="0035741E"/>
    <w:rsid w:val="00363A5E"/>
    <w:rsid w:val="003671FF"/>
    <w:rsid w:val="003730E7"/>
    <w:rsid w:val="00373BEB"/>
    <w:rsid w:val="00374D57"/>
    <w:rsid w:val="003754C3"/>
    <w:rsid w:val="00377996"/>
    <w:rsid w:val="0038031A"/>
    <w:rsid w:val="003812A9"/>
    <w:rsid w:val="003836C0"/>
    <w:rsid w:val="00391FFF"/>
    <w:rsid w:val="00392954"/>
    <w:rsid w:val="00393024"/>
    <w:rsid w:val="00394B99"/>
    <w:rsid w:val="003A195C"/>
    <w:rsid w:val="003A22D4"/>
    <w:rsid w:val="003A6891"/>
    <w:rsid w:val="003A7D2F"/>
    <w:rsid w:val="003B0C3C"/>
    <w:rsid w:val="003B189C"/>
    <w:rsid w:val="003F0258"/>
    <w:rsid w:val="003F478C"/>
    <w:rsid w:val="003F640F"/>
    <w:rsid w:val="00402CB5"/>
    <w:rsid w:val="004202D8"/>
    <w:rsid w:val="00422872"/>
    <w:rsid w:val="00431ED4"/>
    <w:rsid w:val="00432027"/>
    <w:rsid w:val="0043355E"/>
    <w:rsid w:val="00436656"/>
    <w:rsid w:val="00440ECE"/>
    <w:rsid w:val="00443D3E"/>
    <w:rsid w:val="00443E94"/>
    <w:rsid w:val="00445903"/>
    <w:rsid w:val="004459C6"/>
    <w:rsid w:val="0046111A"/>
    <w:rsid w:val="00461EAB"/>
    <w:rsid w:val="0046439C"/>
    <w:rsid w:val="00464661"/>
    <w:rsid w:val="00473B49"/>
    <w:rsid w:val="004758AA"/>
    <w:rsid w:val="004762C8"/>
    <w:rsid w:val="00480E36"/>
    <w:rsid w:val="0048306B"/>
    <w:rsid w:val="004830B9"/>
    <w:rsid w:val="00487BDB"/>
    <w:rsid w:val="00497F1C"/>
    <w:rsid w:val="004A1263"/>
    <w:rsid w:val="004A17C5"/>
    <w:rsid w:val="004A2B79"/>
    <w:rsid w:val="004B0834"/>
    <w:rsid w:val="004B15FA"/>
    <w:rsid w:val="004B1614"/>
    <w:rsid w:val="004B2900"/>
    <w:rsid w:val="004D3D94"/>
    <w:rsid w:val="004D3F24"/>
    <w:rsid w:val="004E1860"/>
    <w:rsid w:val="004E6556"/>
    <w:rsid w:val="004F20E7"/>
    <w:rsid w:val="004F3DB2"/>
    <w:rsid w:val="004F4F1B"/>
    <w:rsid w:val="004F50EA"/>
    <w:rsid w:val="00503C1A"/>
    <w:rsid w:val="00504B1D"/>
    <w:rsid w:val="005063F9"/>
    <w:rsid w:val="005131C5"/>
    <w:rsid w:val="0051337F"/>
    <w:rsid w:val="00526069"/>
    <w:rsid w:val="005342F9"/>
    <w:rsid w:val="00540BD0"/>
    <w:rsid w:val="0054271A"/>
    <w:rsid w:val="00550CF0"/>
    <w:rsid w:val="0055219C"/>
    <w:rsid w:val="00552801"/>
    <w:rsid w:val="00557FCC"/>
    <w:rsid w:val="0056423A"/>
    <w:rsid w:val="005747F3"/>
    <w:rsid w:val="00590689"/>
    <w:rsid w:val="0059285A"/>
    <w:rsid w:val="005A3B34"/>
    <w:rsid w:val="005B00D9"/>
    <w:rsid w:val="005B038A"/>
    <w:rsid w:val="005B06EA"/>
    <w:rsid w:val="005B24BB"/>
    <w:rsid w:val="005C5B19"/>
    <w:rsid w:val="005D6C46"/>
    <w:rsid w:val="005E0BC5"/>
    <w:rsid w:val="005E36BC"/>
    <w:rsid w:val="005E7853"/>
    <w:rsid w:val="005F1B65"/>
    <w:rsid w:val="005F1C17"/>
    <w:rsid w:val="005F5DD8"/>
    <w:rsid w:val="005F64C1"/>
    <w:rsid w:val="00605B7A"/>
    <w:rsid w:val="006060A5"/>
    <w:rsid w:val="00611464"/>
    <w:rsid w:val="00615FB7"/>
    <w:rsid w:val="0061692B"/>
    <w:rsid w:val="00627043"/>
    <w:rsid w:val="0063524A"/>
    <w:rsid w:val="00637859"/>
    <w:rsid w:val="00637F68"/>
    <w:rsid w:val="00642CC7"/>
    <w:rsid w:val="006453EC"/>
    <w:rsid w:val="00650FEE"/>
    <w:rsid w:val="00653D95"/>
    <w:rsid w:val="0065681E"/>
    <w:rsid w:val="0065710B"/>
    <w:rsid w:val="0066198E"/>
    <w:rsid w:val="00661AF9"/>
    <w:rsid w:val="00662312"/>
    <w:rsid w:val="00666EED"/>
    <w:rsid w:val="00670C85"/>
    <w:rsid w:val="00671528"/>
    <w:rsid w:val="00676AD5"/>
    <w:rsid w:val="006822FB"/>
    <w:rsid w:val="00684307"/>
    <w:rsid w:val="00691E54"/>
    <w:rsid w:val="006A6303"/>
    <w:rsid w:val="006B5946"/>
    <w:rsid w:val="006C012B"/>
    <w:rsid w:val="006C2880"/>
    <w:rsid w:val="006C491D"/>
    <w:rsid w:val="006C5D0B"/>
    <w:rsid w:val="006E1090"/>
    <w:rsid w:val="006E4092"/>
    <w:rsid w:val="006E4DAC"/>
    <w:rsid w:val="006F32E7"/>
    <w:rsid w:val="006F4513"/>
    <w:rsid w:val="006F536B"/>
    <w:rsid w:val="00701CFA"/>
    <w:rsid w:val="0070241B"/>
    <w:rsid w:val="00706773"/>
    <w:rsid w:val="00711A47"/>
    <w:rsid w:val="00711F0F"/>
    <w:rsid w:val="00714D65"/>
    <w:rsid w:val="00715DF6"/>
    <w:rsid w:val="00717476"/>
    <w:rsid w:val="007216DB"/>
    <w:rsid w:val="007222BB"/>
    <w:rsid w:val="00724CB4"/>
    <w:rsid w:val="007260D6"/>
    <w:rsid w:val="00726A53"/>
    <w:rsid w:val="00733BAA"/>
    <w:rsid w:val="00733DDF"/>
    <w:rsid w:val="007354EA"/>
    <w:rsid w:val="00737860"/>
    <w:rsid w:val="00741FDD"/>
    <w:rsid w:val="0074230B"/>
    <w:rsid w:val="00742944"/>
    <w:rsid w:val="00743936"/>
    <w:rsid w:val="00752F33"/>
    <w:rsid w:val="007541A2"/>
    <w:rsid w:val="00763D8C"/>
    <w:rsid w:val="00764FD8"/>
    <w:rsid w:val="007650C2"/>
    <w:rsid w:val="007654A8"/>
    <w:rsid w:val="00765B08"/>
    <w:rsid w:val="00776FB1"/>
    <w:rsid w:val="007A00F5"/>
    <w:rsid w:val="007B467A"/>
    <w:rsid w:val="007B4EEB"/>
    <w:rsid w:val="007B6AE2"/>
    <w:rsid w:val="007C4235"/>
    <w:rsid w:val="007C60BB"/>
    <w:rsid w:val="007D382E"/>
    <w:rsid w:val="007E26CE"/>
    <w:rsid w:val="007E3539"/>
    <w:rsid w:val="007E4F76"/>
    <w:rsid w:val="00806135"/>
    <w:rsid w:val="00810FC3"/>
    <w:rsid w:val="00816B78"/>
    <w:rsid w:val="0081777B"/>
    <w:rsid w:val="008221DF"/>
    <w:rsid w:val="0082245E"/>
    <w:rsid w:val="00833C42"/>
    <w:rsid w:val="00834D1A"/>
    <w:rsid w:val="0083711D"/>
    <w:rsid w:val="00837F09"/>
    <w:rsid w:val="008429D1"/>
    <w:rsid w:val="00845D5B"/>
    <w:rsid w:val="00852471"/>
    <w:rsid w:val="008567E4"/>
    <w:rsid w:val="00866D57"/>
    <w:rsid w:val="00875DF3"/>
    <w:rsid w:val="008800F4"/>
    <w:rsid w:val="00880E75"/>
    <w:rsid w:val="00881645"/>
    <w:rsid w:val="00882780"/>
    <w:rsid w:val="00885D39"/>
    <w:rsid w:val="0088741C"/>
    <w:rsid w:val="00896000"/>
    <w:rsid w:val="008A0260"/>
    <w:rsid w:val="008A277A"/>
    <w:rsid w:val="008A4E69"/>
    <w:rsid w:val="008A6F73"/>
    <w:rsid w:val="008B2DF8"/>
    <w:rsid w:val="008B33D2"/>
    <w:rsid w:val="008B4DB7"/>
    <w:rsid w:val="008B6321"/>
    <w:rsid w:val="008D024C"/>
    <w:rsid w:val="008E10A2"/>
    <w:rsid w:val="008E128B"/>
    <w:rsid w:val="008E21EC"/>
    <w:rsid w:val="008E31C7"/>
    <w:rsid w:val="008F3E43"/>
    <w:rsid w:val="008F751B"/>
    <w:rsid w:val="00916940"/>
    <w:rsid w:val="00916E2F"/>
    <w:rsid w:val="009208E8"/>
    <w:rsid w:val="00922409"/>
    <w:rsid w:val="00922731"/>
    <w:rsid w:val="00935DF2"/>
    <w:rsid w:val="00943F13"/>
    <w:rsid w:val="00944F40"/>
    <w:rsid w:val="0094779C"/>
    <w:rsid w:val="00950611"/>
    <w:rsid w:val="00950C7B"/>
    <w:rsid w:val="00950F59"/>
    <w:rsid w:val="009546DB"/>
    <w:rsid w:val="0095565B"/>
    <w:rsid w:val="00957EBD"/>
    <w:rsid w:val="0096237A"/>
    <w:rsid w:val="009630B9"/>
    <w:rsid w:val="00966B5D"/>
    <w:rsid w:val="009723CE"/>
    <w:rsid w:val="00976D3C"/>
    <w:rsid w:val="00977742"/>
    <w:rsid w:val="00982BAD"/>
    <w:rsid w:val="00983F96"/>
    <w:rsid w:val="009912B9"/>
    <w:rsid w:val="00991F1B"/>
    <w:rsid w:val="00993E07"/>
    <w:rsid w:val="0099678D"/>
    <w:rsid w:val="009A4FA9"/>
    <w:rsid w:val="009B1B67"/>
    <w:rsid w:val="009B45BD"/>
    <w:rsid w:val="009B61EA"/>
    <w:rsid w:val="009B7373"/>
    <w:rsid w:val="009C7263"/>
    <w:rsid w:val="009C7D23"/>
    <w:rsid w:val="009D4722"/>
    <w:rsid w:val="009D7A82"/>
    <w:rsid w:val="009E2B22"/>
    <w:rsid w:val="009E74E7"/>
    <w:rsid w:val="00A030A0"/>
    <w:rsid w:val="00A04203"/>
    <w:rsid w:val="00A04F9B"/>
    <w:rsid w:val="00A064CF"/>
    <w:rsid w:val="00A0735A"/>
    <w:rsid w:val="00A10267"/>
    <w:rsid w:val="00A12830"/>
    <w:rsid w:val="00A13950"/>
    <w:rsid w:val="00A20ADD"/>
    <w:rsid w:val="00A24134"/>
    <w:rsid w:val="00A24A6D"/>
    <w:rsid w:val="00A30AAC"/>
    <w:rsid w:val="00A35C84"/>
    <w:rsid w:val="00A4217E"/>
    <w:rsid w:val="00A538B9"/>
    <w:rsid w:val="00A5450E"/>
    <w:rsid w:val="00A62FDC"/>
    <w:rsid w:val="00A6756E"/>
    <w:rsid w:val="00A7215E"/>
    <w:rsid w:val="00A766AD"/>
    <w:rsid w:val="00A76DA9"/>
    <w:rsid w:val="00A83454"/>
    <w:rsid w:val="00A84AEE"/>
    <w:rsid w:val="00A90D06"/>
    <w:rsid w:val="00A9194C"/>
    <w:rsid w:val="00A91D81"/>
    <w:rsid w:val="00A932C0"/>
    <w:rsid w:val="00A9494D"/>
    <w:rsid w:val="00A97E38"/>
    <w:rsid w:val="00AA449A"/>
    <w:rsid w:val="00AA4872"/>
    <w:rsid w:val="00AA5BAE"/>
    <w:rsid w:val="00AA76B6"/>
    <w:rsid w:val="00AB24DE"/>
    <w:rsid w:val="00AB3424"/>
    <w:rsid w:val="00AB3D7E"/>
    <w:rsid w:val="00AB6727"/>
    <w:rsid w:val="00AC6EA2"/>
    <w:rsid w:val="00AC6F4C"/>
    <w:rsid w:val="00AC71DC"/>
    <w:rsid w:val="00AD129C"/>
    <w:rsid w:val="00AD3AE3"/>
    <w:rsid w:val="00AD5158"/>
    <w:rsid w:val="00AE7270"/>
    <w:rsid w:val="00AF1B68"/>
    <w:rsid w:val="00AF28E5"/>
    <w:rsid w:val="00AF3C0C"/>
    <w:rsid w:val="00AF6929"/>
    <w:rsid w:val="00B00EF2"/>
    <w:rsid w:val="00B043A7"/>
    <w:rsid w:val="00B138A9"/>
    <w:rsid w:val="00B2445F"/>
    <w:rsid w:val="00B24D48"/>
    <w:rsid w:val="00B26159"/>
    <w:rsid w:val="00B277B2"/>
    <w:rsid w:val="00B27830"/>
    <w:rsid w:val="00B3038B"/>
    <w:rsid w:val="00B31408"/>
    <w:rsid w:val="00B31E98"/>
    <w:rsid w:val="00B33B7F"/>
    <w:rsid w:val="00B376C7"/>
    <w:rsid w:val="00B42DD4"/>
    <w:rsid w:val="00B438A3"/>
    <w:rsid w:val="00B43A67"/>
    <w:rsid w:val="00B4412E"/>
    <w:rsid w:val="00B460B2"/>
    <w:rsid w:val="00B47D9C"/>
    <w:rsid w:val="00B5352D"/>
    <w:rsid w:val="00B53585"/>
    <w:rsid w:val="00B60FD8"/>
    <w:rsid w:val="00B703AD"/>
    <w:rsid w:val="00B7066E"/>
    <w:rsid w:val="00B825D0"/>
    <w:rsid w:val="00B85129"/>
    <w:rsid w:val="00B871A7"/>
    <w:rsid w:val="00B879BD"/>
    <w:rsid w:val="00BC623E"/>
    <w:rsid w:val="00BC73BD"/>
    <w:rsid w:val="00BD09E0"/>
    <w:rsid w:val="00BD1F4C"/>
    <w:rsid w:val="00BD4537"/>
    <w:rsid w:val="00BD7CD8"/>
    <w:rsid w:val="00BE6FC2"/>
    <w:rsid w:val="00BF3197"/>
    <w:rsid w:val="00BF32D9"/>
    <w:rsid w:val="00BF3F19"/>
    <w:rsid w:val="00BF6263"/>
    <w:rsid w:val="00C025E0"/>
    <w:rsid w:val="00C03793"/>
    <w:rsid w:val="00C037AE"/>
    <w:rsid w:val="00C04A2F"/>
    <w:rsid w:val="00C05F12"/>
    <w:rsid w:val="00C13782"/>
    <w:rsid w:val="00C14E79"/>
    <w:rsid w:val="00C16D93"/>
    <w:rsid w:val="00C22E07"/>
    <w:rsid w:val="00C3053C"/>
    <w:rsid w:val="00C371B2"/>
    <w:rsid w:val="00C40A32"/>
    <w:rsid w:val="00C464B3"/>
    <w:rsid w:val="00C564EB"/>
    <w:rsid w:val="00C615FD"/>
    <w:rsid w:val="00C62F49"/>
    <w:rsid w:val="00C64099"/>
    <w:rsid w:val="00C641FE"/>
    <w:rsid w:val="00C73042"/>
    <w:rsid w:val="00C74855"/>
    <w:rsid w:val="00C75B64"/>
    <w:rsid w:val="00C82325"/>
    <w:rsid w:val="00C949C8"/>
    <w:rsid w:val="00C94C3F"/>
    <w:rsid w:val="00C95583"/>
    <w:rsid w:val="00C978E6"/>
    <w:rsid w:val="00CA2CE9"/>
    <w:rsid w:val="00CA75FC"/>
    <w:rsid w:val="00CB0DEA"/>
    <w:rsid w:val="00CB1FFD"/>
    <w:rsid w:val="00CB68B7"/>
    <w:rsid w:val="00CC1E8E"/>
    <w:rsid w:val="00CC6B79"/>
    <w:rsid w:val="00CD14E5"/>
    <w:rsid w:val="00CD41C8"/>
    <w:rsid w:val="00CF2E06"/>
    <w:rsid w:val="00CF50C0"/>
    <w:rsid w:val="00CF522C"/>
    <w:rsid w:val="00D0095F"/>
    <w:rsid w:val="00D02344"/>
    <w:rsid w:val="00D14FE9"/>
    <w:rsid w:val="00D1513C"/>
    <w:rsid w:val="00D17475"/>
    <w:rsid w:val="00D20044"/>
    <w:rsid w:val="00D256CE"/>
    <w:rsid w:val="00D2659A"/>
    <w:rsid w:val="00D4402B"/>
    <w:rsid w:val="00D50C2F"/>
    <w:rsid w:val="00D52632"/>
    <w:rsid w:val="00D54A05"/>
    <w:rsid w:val="00D56C11"/>
    <w:rsid w:val="00D56C66"/>
    <w:rsid w:val="00D63242"/>
    <w:rsid w:val="00D72CA7"/>
    <w:rsid w:val="00D73823"/>
    <w:rsid w:val="00D758FB"/>
    <w:rsid w:val="00D92FCE"/>
    <w:rsid w:val="00DA646F"/>
    <w:rsid w:val="00DA6EEB"/>
    <w:rsid w:val="00DB0EB6"/>
    <w:rsid w:val="00DB13D3"/>
    <w:rsid w:val="00DB4E3B"/>
    <w:rsid w:val="00DB5DEE"/>
    <w:rsid w:val="00DB77DD"/>
    <w:rsid w:val="00DB7F57"/>
    <w:rsid w:val="00DC2CB2"/>
    <w:rsid w:val="00DD14A6"/>
    <w:rsid w:val="00DD3BA3"/>
    <w:rsid w:val="00DE06E3"/>
    <w:rsid w:val="00DE1432"/>
    <w:rsid w:val="00DE3AD8"/>
    <w:rsid w:val="00DE7CD6"/>
    <w:rsid w:val="00DF1DC4"/>
    <w:rsid w:val="00DF61A0"/>
    <w:rsid w:val="00DF6DA2"/>
    <w:rsid w:val="00DF7FCF"/>
    <w:rsid w:val="00E1301D"/>
    <w:rsid w:val="00E1553B"/>
    <w:rsid w:val="00E215EC"/>
    <w:rsid w:val="00E2515E"/>
    <w:rsid w:val="00E26507"/>
    <w:rsid w:val="00E31EF3"/>
    <w:rsid w:val="00E33760"/>
    <w:rsid w:val="00E35467"/>
    <w:rsid w:val="00E37E01"/>
    <w:rsid w:val="00E41813"/>
    <w:rsid w:val="00E430E5"/>
    <w:rsid w:val="00E43E7F"/>
    <w:rsid w:val="00E44214"/>
    <w:rsid w:val="00E533DA"/>
    <w:rsid w:val="00E53AB2"/>
    <w:rsid w:val="00E54571"/>
    <w:rsid w:val="00E54A8B"/>
    <w:rsid w:val="00E55437"/>
    <w:rsid w:val="00E56341"/>
    <w:rsid w:val="00E57459"/>
    <w:rsid w:val="00E67628"/>
    <w:rsid w:val="00E678BF"/>
    <w:rsid w:val="00E737CC"/>
    <w:rsid w:val="00E73D68"/>
    <w:rsid w:val="00E75675"/>
    <w:rsid w:val="00E75BBA"/>
    <w:rsid w:val="00E76CD1"/>
    <w:rsid w:val="00E8310E"/>
    <w:rsid w:val="00E83614"/>
    <w:rsid w:val="00E849D6"/>
    <w:rsid w:val="00E84CA5"/>
    <w:rsid w:val="00E90323"/>
    <w:rsid w:val="00E90434"/>
    <w:rsid w:val="00E94857"/>
    <w:rsid w:val="00E94CCB"/>
    <w:rsid w:val="00EA50D0"/>
    <w:rsid w:val="00EA697D"/>
    <w:rsid w:val="00EB0719"/>
    <w:rsid w:val="00EB1B71"/>
    <w:rsid w:val="00EB217C"/>
    <w:rsid w:val="00EB6C4D"/>
    <w:rsid w:val="00EC2E68"/>
    <w:rsid w:val="00ED319C"/>
    <w:rsid w:val="00ED41F9"/>
    <w:rsid w:val="00ED649B"/>
    <w:rsid w:val="00ED7C12"/>
    <w:rsid w:val="00EE2470"/>
    <w:rsid w:val="00EF31F4"/>
    <w:rsid w:val="00F06319"/>
    <w:rsid w:val="00F130EA"/>
    <w:rsid w:val="00F22E57"/>
    <w:rsid w:val="00F2411C"/>
    <w:rsid w:val="00F30D52"/>
    <w:rsid w:val="00F35A73"/>
    <w:rsid w:val="00F40EEB"/>
    <w:rsid w:val="00F563FB"/>
    <w:rsid w:val="00F57204"/>
    <w:rsid w:val="00F64848"/>
    <w:rsid w:val="00F65F9E"/>
    <w:rsid w:val="00F66064"/>
    <w:rsid w:val="00F662A3"/>
    <w:rsid w:val="00F75DB1"/>
    <w:rsid w:val="00F7753E"/>
    <w:rsid w:val="00F80ED3"/>
    <w:rsid w:val="00F824B4"/>
    <w:rsid w:val="00F84875"/>
    <w:rsid w:val="00F9130D"/>
    <w:rsid w:val="00F918E6"/>
    <w:rsid w:val="00F92DEC"/>
    <w:rsid w:val="00F96799"/>
    <w:rsid w:val="00FA000D"/>
    <w:rsid w:val="00FA6913"/>
    <w:rsid w:val="00FB0472"/>
    <w:rsid w:val="00FB2748"/>
    <w:rsid w:val="00FC096F"/>
    <w:rsid w:val="00FC23F2"/>
    <w:rsid w:val="00FC2EB1"/>
    <w:rsid w:val="00FC38CC"/>
    <w:rsid w:val="00FC5CF1"/>
    <w:rsid w:val="00FD5024"/>
    <w:rsid w:val="00FD63F5"/>
    <w:rsid w:val="00FD7496"/>
    <w:rsid w:val="00FE0AD6"/>
    <w:rsid w:val="00FE0BB1"/>
    <w:rsid w:val="00FE54A5"/>
    <w:rsid w:val="00FE7440"/>
    <w:rsid w:val="00FE7C9D"/>
    <w:rsid w:val="00FF06CC"/>
    <w:rsid w:val="00FF0CD6"/>
    <w:rsid w:val="00FF1BA8"/>
    <w:rsid w:val="00FF2D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A9"/>
  </w:style>
  <w:style w:type="paragraph" w:styleId="Titre1">
    <w:name w:val="heading 1"/>
    <w:basedOn w:val="Normal"/>
    <w:next w:val="Normal"/>
    <w:link w:val="Titre1Car"/>
    <w:uiPriority w:val="9"/>
    <w:qFormat/>
    <w:rsid w:val="00213A46"/>
    <w:pPr>
      <w:spacing w:before="200" w:after="0" w:line="240" w:lineRule="auto"/>
      <w:jc w:val="both"/>
      <w:outlineLvl w:val="0"/>
    </w:pPr>
    <w:rPr>
      <w:rFonts w:ascii="Calibri" w:eastAsia="Times New Roman" w:hAnsi="Calibri" w:cs="Times New Roman"/>
      <w:b/>
      <w:bCs/>
      <w:sz w:val="20"/>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B22"/>
    <w:rPr>
      <w:rFonts w:ascii="Tahoma" w:hAnsi="Tahoma" w:cs="Tahoma"/>
      <w:sz w:val="16"/>
      <w:szCs w:val="16"/>
    </w:rPr>
  </w:style>
  <w:style w:type="paragraph" w:styleId="En-tte">
    <w:name w:val="header"/>
    <w:basedOn w:val="Normal"/>
    <w:link w:val="En-tteCar"/>
    <w:uiPriority w:val="99"/>
    <w:unhideWhenUsed/>
    <w:rsid w:val="00A24134"/>
    <w:pPr>
      <w:tabs>
        <w:tab w:val="center" w:pos="4680"/>
        <w:tab w:val="right" w:pos="9360"/>
      </w:tabs>
      <w:spacing w:after="0" w:line="240" w:lineRule="auto"/>
    </w:pPr>
  </w:style>
  <w:style w:type="character" w:customStyle="1" w:styleId="En-tteCar">
    <w:name w:val="En-tête Car"/>
    <w:basedOn w:val="Policepardfaut"/>
    <w:link w:val="En-tte"/>
    <w:uiPriority w:val="99"/>
    <w:rsid w:val="00A24134"/>
  </w:style>
  <w:style w:type="paragraph" w:styleId="Pieddepage">
    <w:name w:val="footer"/>
    <w:basedOn w:val="Normal"/>
    <w:link w:val="PieddepageCar"/>
    <w:uiPriority w:val="99"/>
    <w:unhideWhenUsed/>
    <w:rsid w:val="00A241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24134"/>
  </w:style>
  <w:style w:type="paragraph" w:styleId="Paragraphedeliste">
    <w:name w:val="List Paragraph"/>
    <w:aliases w:val="References,Listes,List Paragraph (bulleted list),Bullet 1 List,Indent Paragraph,Liste couleur - Accent 111,List Paragraph1,Dot pt,Bullet Points,List Paragraph Char Char Char,Indicator Text,Numbered Para 1,Bullet 1,MAIN CONTENT"/>
    <w:basedOn w:val="Normal"/>
    <w:link w:val="ParagraphedelisteCar"/>
    <w:uiPriority w:val="34"/>
    <w:qFormat/>
    <w:rsid w:val="00FF2D1B"/>
    <w:pPr>
      <w:ind w:left="720"/>
      <w:contextualSpacing/>
    </w:pPr>
  </w:style>
  <w:style w:type="table" w:styleId="Grilledutableau">
    <w:name w:val="Table Grid"/>
    <w:basedOn w:val="TableauNormal"/>
    <w:uiPriority w:val="59"/>
    <w:rsid w:val="00475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C64099"/>
    <w:rPr>
      <w:b/>
      <w:bCs/>
    </w:rPr>
  </w:style>
  <w:style w:type="character" w:styleId="Marquedecommentaire">
    <w:name w:val="annotation reference"/>
    <w:basedOn w:val="Policepardfaut"/>
    <w:uiPriority w:val="99"/>
    <w:semiHidden/>
    <w:unhideWhenUsed/>
    <w:rsid w:val="00F918E6"/>
    <w:rPr>
      <w:sz w:val="16"/>
      <w:szCs w:val="16"/>
    </w:rPr>
  </w:style>
  <w:style w:type="paragraph" w:styleId="Commentaire">
    <w:name w:val="annotation text"/>
    <w:basedOn w:val="Normal"/>
    <w:link w:val="CommentaireCar"/>
    <w:uiPriority w:val="99"/>
    <w:semiHidden/>
    <w:unhideWhenUsed/>
    <w:rsid w:val="00F918E6"/>
    <w:pPr>
      <w:spacing w:line="240" w:lineRule="auto"/>
    </w:pPr>
    <w:rPr>
      <w:sz w:val="20"/>
      <w:szCs w:val="20"/>
    </w:rPr>
  </w:style>
  <w:style w:type="character" w:customStyle="1" w:styleId="CommentaireCar">
    <w:name w:val="Commentaire Car"/>
    <w:basedOn w:val="Policepardfaut"/>
    <w:link w:val="Commentaire"/>
    <w:uiPriority w:val="99"/>
    <w:semiHidden/>
    <w:rsid w:val="00F918E6"/>
    <w:rPr>
      <w:sz w:val="20"/>
      <w:szCs w:val="20"/>
    </w:rPr>
  </w:style>
  <w:style w:type="paragraph" w:styleId="Objetducommentaire">
    <w:name w:val="annotation subject"/>
    <w:basedOn w:val="Commentaire"/>
    <w:next w:val="Commentaire"/>
    <w:link w:val="ObjetducommentaireCar"/>
    <w:uiPriority w:val="99"/>
    <w:semiHidden/>
    <w:unhideWhenUsed/>
    <w:rsid w:val="00F918E6"/>
    <w:rPr>
      <w:b/>
      <w:bCs/>
    </w:rPr>
  </w:style>
  <w:style w:type="character" w:customStyle="1" w:styleId="ObjetducommentaireCar">
    <w:name w:val="Objet du commentaire Car"/>
    <w:basedOn w:val="CommentaireCar"/>
    <w:link w:val="Objetducommentaire"/>
    <w:uiPriority w:val="99"/>
    <w:semiHidden/>
    <w:rsid w:val="00F918E6"/>
    <w:rPr>
      <w:b/>
      <w:bCs/>
      <w:sz w:val="20"/>
      <w:szCs w:val="20"/>
    </w:rPr>
  </w:style>
  <w:style w:type="character" w:styleId="Lienhypertexte">
    <w:name w:val="Hyperlink"/>
    <w:basedOn w:val="Policepardfaut"/>
    <w:uiPriority w:val="99"/>
    <w:unhideWhenUsed/>
    <w:rsid w:val="00086485"/>
    <w:rPr>
      <w:color w:val="0000FF" w:themeColor="hyperlink"/>
      <w:u w:val="single"/>
    </w:rPr>
  </w:style>
  <w:style w:type="character" w:customStyle="1" w:styleId="Mentionnonrsolue1">
    <w:name w:val="Mention non résolue1"/>
    <w:basedOn w:val="Policepardfaut"/>
    <w:uiPriority w:val="99"/>
    <w:semiHidden/>
    <w:unhideWhenUsed/>
    <w:rsid w:val="00FC5CF1"/>
    <w:rPr>
      <w:color w:val="808080"/>
      <w:shd w:val="clear" w:color="auto" w:fill="E6E6E6"/>
    </w:rPr>
  </w:style>
  <w:style w:type="character" w:customStyle="1" w:styleId="ParagraphedelisteCar">
    <w:name w:val="Paragraphe de liste Car"/>
    <w:aliases w:val="References Car,Listes Car,List Paragraph (bulleted list) Car,Bullet 1 List Car,Indent Paragraph Car,Liste couleur - Accent 111 Car,List Paragraph1 Car,Dot pt Car,Bullet Points Car,List Paragraph Char Char Char Car,Bullet 1 Car"/>
    <w:link w:val="Paragraphedeliste"/>
    <w:uiPriority w:val="34"/>
    <w:qFormat/>
    <w:rsid w:val="00D758FB"/>
  </w:style>
  <w:style w:type="paragraph" w:styleId="PrformatHTML">
    <w:name w:val="HTML Preformatted"/>
    <w:basedOn w:val="Normal"/>
    <w:link w:val="PrformatHTMLCar"/>
    <w:uiPriority w:val="99"/>
    <w:semiHidden/>
    <w:unhideWhenUsed/>
    <w:rsid w:val="00E7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E73D68"/>
    <w:rPr>
      <w:rFonts w:ascii="Courier New" w:eastAsia="Times New Roman" w:hAnsi="Courier New" w:cs="Courier New"/>
      <w:sz w:val="20"/>
      <w:szCs w:val="20"/>
      <w:lang w:val="fr-FR" w:eastAsia="fr-FR"/>
    </w:rPr>
  </w:style>
  <w:style w:type="paragraph" w:customStyle="1" w:styleId="BankNormal">
    <w:name w:val="BankNormal"/>
    <w:basedOn w:val="Normal"/>
    <w:rsid w:val="00CA2CE9"/>
    <w:pPr>
      <w:spacing w:after="240" w:line="240" w:lineRule="auto"/>
    </w:pPr>
    <w:rPr>
      <w:rFonts w:ascii="Times New Roman" w:eastAsia="Times New Roman" w:hAnsi="Times New Roman" w:cs="Times New Roman"/>
      <w:sz w:val="24"/>
      <w:szCs w:val="20"/>
    </w:rPr>
  </w:style>
  <w:style w:type="character" w:styleId="CitationHTML">
    <w:name w:val="HTML Cite"/>
    <w:basedOn w:val="Policepardfaut"/>
    <w:uiPriority w:val="99"/>
    <w:semiHidden/>
    <w:unhideWhenUsed/>
    <w:rsid w:val="00FC096F"/>
    <w:rPr>
      <w:i/>
      <w:iCs/>
    </w:rPr>
  </w:style>
  <w:style w:type="character" w:styleId="Lienhypertextesuivivisit">
    <w:name w:val="FollowedHyperlink"/>
    <w:basedOn w:val="Policepardfaut"/>
    <w:uiPriority w:val="99"/>
    <w:semiHidden/>
    <w:unhideWhenUsed/>
    <w:rsid w:val="00FC096F"/>
    <w:rPr>
      <w:color w:val="800080" w:themeColor="followedHyperlink"/>
      <w:u w:val="single"/>
    </w:rPr>
  </w:style>
  <w:style w:type="character" w:customStyle="1" w:styleId="Titre1Car">
    <w:name w:val="Titre 1 Car"/>
    <w:basedOn w:val="Policepardfaut"/>
    <w:link w:val="Titre1"/>
    <w:uiPriority w:val="9"/>
    <w:rsid w:val="00213A46"/>
    <w:rPr>
      <w:rFonts w:ascii="Calibri" w:eastAsia="Times New Roman" w:hAnsi="Calibri" w:cs="Times New Roman"/>
      <w:b/>
      <w:bCs/>
      <w:sz w:val="20"/>
      <w:szCs w:val="27"/>
      <w:lang w:eastAsia="fr-BE"/>
    </w:rPr>
  </w:style>
  <w:style w:type="paragraph" w:styleId="Retraitcorpsdetexte">
    <w:name w:val="Body Text Indent"/>
    <w:basedOn w:val="Normal"/>
    <w:link w:val="RetraitcorpsdetexteCar"/>
    <w:rsid w:val="00D56C11"/>
    <w:pPr>
      <w:spacing w:after="0" w:line="240" w:lineRule="auto"/>
      <w:ind w:left="1440"/>
    </w:pPr>
    <w:rPr>
      <w:rFonts w:ascii="Times New Roman" w:eastAsia="Times New Roman" w:hAnsi="Times New Roman" w:cs="Times New Roman"/>
      <w:sz w:val="24"/>
      <w:szCs w:val="24"/>
      <w:lang w:val="fr-FR" w:eastAsia="rw-RW"/>
    </w:rPr>
  </w:style>
  <w:style w:type="character" w:customStyle="1" w:styleId="RetraitcorpsdetexteCar">
    <w:name w:val="Retrait corps de texte Car"/>
    <w:basedOn w:val="Policepardfaut"/>
    <w:link w:val="Retraitcorpsdetexte"/>
    <w:rsid w:val="00D56C11"/>
    <w:rPr>
      <w:rFonts w:ascii="Times New Roman" w:eastAsia="Times New Roman" w:hAnsi="Times New Roman" w:cs="Times New Roman"/>
      <w:sz w:val="24"/>
      <w:szCs w:val="24"/>
      <w:lang w:val="fr-FR" w:eastAsia="rw-RW"/>
    </w:rPr>
  </w:style>
  <w:style w:type="paragraph" w:styleId="NormalWeb">
    <w:name w:val="Normal (Web)"/>
    <w:basedOn w:val="Normal"/>
    <w:uiPriority w:val="99"/>
    <w:unhideWhenUsed/>
    <w:rsid w:val="002C745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aliases w:val="Geneva 9,Font: Geneva 9,Boston 10,f,single space,footnote text,Footnote,otnote Text,Footnote Text Char Char1,Footnote Text Char Char Char,Footnote Text Char Char,Texto nota pie IIRSA Car,Texto nota pie IIRSA,FOOTNOTES,fn,ft,Fußnote"/>
    <w:basedOn w:val="Normal"/>
    <w:link w:val="NotedebasdepageCar"/>
    <w:uiPriority w:val="99"/>
    <w:unhideWhenUsed/>
    <w:qFormat/>
    <w:rsid w:val="00174B83"/>
    <w:pPr>
      <w:spacing w:after="0" w:line="240" w:lineRule="auto"/>
    </w:pPr>
    <w:rPr>
      <w:rFonts w:ascii="Calibri" w:eastAsia="Calibri" w:hAnsi="Calibri" w:cs="Times New Roman"/>
      <w:sz w:val="20"/>
      <w:szCs w:val="20"/>
      <w:lang w:val="en-PH"/>
    </w:rPr>
  </w:style>
  <w:style w:type="character" w:customStyle="1" w:styleId="NotedebasdepageCar">
    <w:name w:val="Note de bas de page Car"/>
    <w:aliases w:val="Geneva 9 Car,Font: Geneva 9 Car,Boston 10 Car,f Car,single space Car,footnote text Car,Footnote Car,otnote Text Car,Footnote Text Char Char1 Car,Footnote Text Char Char Char Car,Footnote Text Char Char Car,FOOTNOTES Car,fn Car"/>
    <w:basedOn w:val="Policepardfaut"/>
    <w:link w:val="Notedebasdepage"/>
    <w:uiPriority w:val="99"/>
    <w:rsid w:val="00174B83"/>
    <w:rPr>
      <w:rFonts w:ascii="Calibri" w:eastAsia="Calibri" w:hAnsi="Calibri" w:cs="Times New Roman"/>
      <w:sz w:val="20"/>
      <w:szCs w:val="20"/>
      <w:lang w:val="en-PH"/>
    </w:rPr>
  </w:style>
  <w:style w:type="character" w:styleId="Appelnotedebasdep">
    <w:name w:val="footnote reference"/>
    <w:uiPriority w:val="99"/>
    <w:semiHidden/>
    <w:unhideWhenUsed/>
    <w:qFormat/>
    <w:rsid w:val="00174B83"/>
    <w:rPr>
      <w:vertAlign w:val="superscript"/>
    </w:rPr>
  </w:style>
  <w:style w:type="paragraph" w:customStyle="1" w:styleId="Default">
    <w:name w:val="Default"/>
    <w:rsid w:val="002A57CC"/>
    <w:pPr>
      <w:autoSpaceDE w:val="0"/>
      <w:autoSpaceDN w:val="0"/>
      <w:adjustRightInd w:val="0"/>
      <w:spacing w:after="0" w:line="240" w:lineRule="auto"/>
    </w:pPr>
    <w:rPr>
      <w:rFonts w:ascii="Nyala" w:hAnsi="Nyala" w:cs="Nyala"/>
      <w:color w:val="000000"/>
      <w:sz w:val="24"/>
      <w:szCs w:val="24"/>
      <w:lang w:val="fr-CD"/>
    </w:rPr>
  </w:style>
  <w:style w:type="character" w:customStyle="1" w:styleId="fontstyle01">
    <w:name w:val="fontstyle01"/>
    <w:basedOn w:val="Policepardfaut"/>
    <w:rsid w:val="00A064CF"/>
    <w:rPr>
      <w:rFonts w:ascii="Arial" w:hAnsi="Arial" w:cs="Arial"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13908047">
      <w:bodyDiv w:val="1"/>
      <w:marLeft w:val="0"/>
      <w:marRight w:val="0"/>
      <w:marTop w:val="0"/>
      <w:marBottom w:val="0"/>
      <w:divBdr>
        <w:top w:val="none" w:sz="0" w:space="0" w:color="auto"/>
        <w:left w:val="none" w:sz="0" w:space="0" w:color="auto"/>
        <w:bottom w:val="none" w:sz="0" w:space="0" w:color="auto"/>
        <w:right w:val="none" w:sz="0" w:space="0" w:color="auto"/>
      </w:divBdr>
    </w:div>
    <w:div w:id="826556854">
      <w:bodyDiv w:val="1"/>
      <w:marLeft w:val="0"/>
      <w:marRight w:val="0"/>
      <w:marTop w:val="0"/>
      <w:marBottom w:val="0"/>
      <w:divBdr>
        <w:top w:val="none" w:sz="0" w:space="0" w:color="auto"/>
        <w:left w:val="none" w:sz="0" w:space="0" w:color="auto"/>
        <w:bottom w:val="none" w:sz="0" w:space="0" w:color="auto"/>
        <w:right w:val="none" w:sz="0" w:space="0" w:color="auto"/>
      </w:divBdr>
      <w:divsChild>
        <w:div w:id="97213976">
          <w:marLeft w:val="0"/>
          <w:marRight w:val="0"/>
          <w:marTop w:val="0"/>
          <w:marBottom w:val="0"/>
          <w:divBdr>
            <w:top w:val="none" w:sz="0" w:space="0" w:color="auto"/>
            <w:left w:val="none" w:sz="0" w:space="0" w:color="auto"/>
            <w:bottom w:val="none" w:sz="0" w:space="0" w:color="auto"/>
            <w:right w:val="none" w:sz="0" w:space="0" w:color="auto"/>
          </w:divBdr>
        </w:div>
        <w:div w:id="284626246">
          <w:marLeft w:val="0"/>
          <w:marRight w:val="0"/>
          <w:marTop w:val="0"/>
          <w:marBottom w:val="0"/>
          <w:divBdr>
            <w:top w:val="none" w:sz="0" w:space="0" w:color="auto"/>
            <w:left w:val="none" w:sz="0" w:space="0" w:color="auto"/>
            <w:bottom w:val="none" w:sz="0" w:space="0" w:color="auto"/>
            <w:right w:val="none" w:sz="0" w:space="0" w:color="auto"/>
          </w:divBdr>
        </w:div>
        <w:div w:id="489709597">
          <w:marLeft w:val="0"/>
          <w:marRight w:val="0"/>
          <w:marTop w:val="0"/>
          <w:marBottom w:val="0"/>
          <w:divBdr>
            <w:top w:val="none" w:sz="0" w:space="0" w:color="auto"/>
            <w:left w:val="none" w:sz="0" w:space="0" w:color="auto"/>
            <w:bottom w:val="none" w:sz="0" w:space="0" w:color="auto"/>
            <w:right w:val="none" w:sz="0" w:space="0" w:color="auto"/>
          </w:divBdr>
        </w:div>
        <w:div w:id="514808388">
          <w:marLeft w:val="0"/>
          <w:marRight w:val="0"/>
          <w:marTop w:val="0"/>
          <w:marBottom w:val="0"/>
          <w:divBdr>
            <w:top w:val="none" w:sz="0" w:space="0" w:color="auto"/>
            <w:left w:val="none" w:sz="0" w:space="0" w:color="auto"/>
            <w:bottom w:val="none" w:sz="0" w:space="0" w:color="auto"/>
            <w:right w:val="none" w:sz="0" w:space="0" w:color="auto"/>
          </w:divBdr>
        </w:div>
        <w:div w:id="581185812">
          <w:marLeft w:val="0"/>
          <w:marRight w:val="0"/>
          <w:marTop w:val="0"/>
          <w:marBottom w:val="0"/>
          <w:divBdr>
            <w:top w:val="none" w:sz="0" w:space="0" w:color="auto"/>
            <w:left w:val="none" w:sz="0" w:space="0" w:color="auto"/>
            <w:bottom w:val="none" w:sz="0" w:space="0" w:color="auto"/>
            <w:right w:val="none" w:sz="0" w:space="0" w:color="auto"/>
          </w:divBdr>
        </w:div>
        <w:div w:id="630867649">
          <w:marLeft w:val="0"/>
          <w:marRight w:val="0"/>
          <w:marTop w:val="0"/>
          <w:marBottom w:val="0"/>
          <w:divBdr>
            <w:top w:val="none" w:sz="0" w:space="0" w:color="auto"/>
            <w:left w:val="none" w:sz="0" w:space="0" w:color="auto"/>
            <w:bottom w:val="none" w:sz="0" w:space="0" w:color="auto"/>
            <w:right w:val="none" w:sz="0" w:space="0" w:color="auto"/>
          </w:divBdr>
        </w:div>
        <w:div w:id="869294344">
          <w:marLeft w:val="0"/>
          <w:marRight w:val="0"/>
          <w:marTop w:val="0"/>
          <w:marBottom w:val="0"/>
          <w:divBdr>
            <w:top w:val="none" w:sz="0" w:space="0" w:color="auto"/>
            <w:left w:val="none" w:sz="0" w:space="0" w:color="auto"/>
            <w:bottom w:val="none" w:sz="0" w:space="0" w:color="auto"/>
            <w:right w:val="none" w:sz="0" w:space="0" w:color="auto"/>
          </w:divBdr>
        </w:div>
        <w:div w:id="1112893884">
          <w:marLeft w:val="0"/>
          <w:marRight w:val="0"/>
          <w:marTop w:val="0"/>
          <w:marBottom w:val="0"/>
          <w:divBdr>
            <w:top w:val="none" w:sz="0" w:space="0" w:color="auto"/>
            <w:left w:val="none" w:sz="0" w:space="0" w:color="auto"/>
            <w:bottom w:val="none" w:sz="0" w:space="0" w:color="auto"/>
            <w:right w:val="none" w:sz="0" w:space="0" w:color="auto"/>
          </w:divBdr>
        </w:div>
        <w:div w:id="1270428515">
          <w:marLeft w:val="0"/>
          <w:marRight w:val="0"/>
          <w:marTop w:val="0"/>
          <w:marBottom w:val="0"/>
          <w:divBdr>
            <w:top w:val="none" w:sz="0" w:space="0" w:color="auto"/>
            <w:left w:val="none" w:sz="0" w:space="0" w:color="auto"/>
            <w:bottom w:val="none" w:sz="0" w:space="0" w:color="auto"/>
            <w:right w:val="none" w:sz="0" w:space="0" w:color="auto"/>
          </w:divBdr>
        </w:div>
        <w:div w:id="1412461260">
          <w:marLeft w:val="0"/>
          <w:marRight w:val="0"/>
          <w:marTop w:val="0"/>
          <w:marBottom w:val="0"/>
          <w:divBdr>
            <w:top w:val="none" w:sz="0" w:space="0" w:color="auto"/>
            <w:left w:val="none" w:sz="0" w:space="0" w:color="auto"/>
            <w:bottom w:val="none" w:sz="0" w:space="0" w:color="auto"/>
            <w:right w:val="none" w:sz="0" w:space="0" w:color="auto"/>
          </w:divBdr>
        </w:div>
        <w:div w:id="1455292489">
          <w:marLeft w:val="0"/>
          <w:marRight w:val="0"/>
          <w:marTop w:val="0"/>
          <w:marBottom w:val="0"/>
          <w:divBdr>
            <w:top w:val="none" w:sz="0" w:space="0" w:color="auto"/>
            <w:left w:val="none" w:sz="0" w:space="0" w:color="auto"/>
            <w:bottom w:val="none" w:sz="0" w:space="0" w:color="auto"/>
            <w:right w:val="none" w:sz="0" w:space="0" w:color="auto"/>
          </w:divBdr>
        </w:div>
        <w:div w:id="1471442460">
          <w:marLeft w:val="0"/>
          <w:marRight w:val="0"/>
          <w:marTop w:val="0"/>
          <w:marBottom w:val="0"/>
          <w:divBdr>
            <w:top w:val="none" w:sz="0" w:space="0" w:color="auto"/>
            <w:left w:val="none" w:sz="0" w:space="0" w:color="auto"/>
            <w:bottom w:val="none" w:sz="0" w:space="0" w:color="auto"/>
            <w:right w:val="none" w:sz="0" w:space="0" w:color="auto"/>
          </w:divBdr>
        </w:div>
        <w:div w:id="1509757750">
          <w:marLeft w:val="0"/>
          <w:marRight w:val="0"/>
          <w:marTop w:val="0"/>
          <w:marBottom w:val="0"/>
          <w:divBdr>
            <w:top w:val="none" w:sz="0" w:space="0" w:color="auto"/>
            <w:left w:val="none" w:sz="0" w:space="0" w:color="auto"/>
            <w:bottom w:val="none" w:sz="0" w:space="0" w:color="auto"/>
            <w:right w:val="none" w:sz="0" w:space="0" w:color="auto"/>
          </w:divBdr>
        </w:div>
        <w:div w:id="1611083374">
          <w:marLeft w:val="0"/>
          <w:marRight w:val="0"/>
          <w:marTop w:val="0"/>
          <w:marBottom w:val="0"/>
          <w:divBdr>
            <w:top w:val="none" w:sz="0" w:space="0" w:color="auto"/>
            <w:left w:val="none" w:sz="0" w:space="0" w:color="auto"/>
            <w:bottom w:val="none" w:sz="0" w:space="0" w:color="auto"/>
            <w:right w:val="none" w:sz="0" w:space="0" w:color="auto"/>
          </w:divBdr>
        </w:div>
        <w:div w:id="1635790037">
          <w:marLeft w:val="0"/>
          <w:marRight w:val="0"/>
          <w:marTop w:val="0"/>
          <w:marBottom w:val="0"/>
          <w:divBdr>
            <w:top w:val="none" w:sz="0" w:space="0" w:color="auto"/>
            <w:left w:val="none" w:sz="0" w:space="0" w:color="auto"/>
            <w:bottom w:val="none" w:sz="0" w:space="0" w:color="auto"/>
            <w:right w:val="none" w:sz="0" w:space="0" w:color="auto"/>
          </w:divBdr>
        </w:div>
        <w:div w:id="1749186808">
          <w:marLeft w:val="0"/>
          <w:marRight w:val="0"/>
          <w:marTop w:val="0"/>
          <w:marBottom w:val="0"/>
          <w:divBdr>
            <w:top w:val="none" w:sz="0" w:space="0" w:color="auto"/>
            <w:left w:val="none" w:sz="0" w:space="0" w:color="auto"/>
            <w:bottom w:val="none" w:sz="0" w:space="0" w:color="auto"/>
            <w:right w:val="none" w:sz="0" w:space="0" w:color="auto"/>
          </w:divBdr>
        </w:div>
        <w:div w:id="1839038404">
          <w:marLeft w:val="0"/>
          <w:marRight w:val="0"/>
          <w:marTop w:val="0"/>
          <w:marBottom w:val="0"/>
          <w:divBdr>
            <w:top w:val="none" w:sz="0" w:space="0" w:color="auto"/>
            <w:left w:val="none" w:sz="0" w:space="0" w:color="auto"/>
            <w:bottom w:val="none" w:sz="0" w:space="0" w:color="auto"/>
            <w:right w:val="none" w:sz="0" w:space="0" w:color="auto"/>
          </w:divBdr>
        </w:div>
        <w:div w:id="1869679268">
          <w:marLeft w:val="0"/>
          <w:marRight w:val="0"/>
          <w:marTop w:val="0"/>
          <w:marBottom w:val="0"/>
          <w:divBdr>
            <w:top w:val="none" w:sz="0" w:space="0" w:color="auto"/>
            <w:left w:val="none" w:sz="0" w:space="0" w:color="auto"/>
            <w:bottom w:val="none" w:sz="0" w:space="0" w:color="auto"/>
            <w:right w:val="none" w:sz="0" w:space="0" w:color="auto"/>
          </w:divBdr>
        </w:div>
        <w:div w:id="1956138180">
          <w:marLeft w:val="0"/>
          <w:marRight w:val="0"/>
          <w:marTop w:val="0"/>
          <w:marBottom w:val="0"/>
          <w:divBdr>
            <w:top w:val="none" w:sz="0" w:space="0" w:color="auto"/>
            <w:left w:val="none" w:sz="0" w:space="0" w:color="auto"/>
            <w:bottom w:val="none" w:sz="0" w:space="0" w:color="auto"/>
            <w:right w:val="none" w:sz="0" w:space="0" w:color="auto"/>
          </w:divBdr>
        </w:div>
        <w:div w:id="2071684966">
          <w:marLeft w:val="0"/>
          <w:marRight w:val="0"/>
          <w:marTop w:val="0"/>
          <w:marBottom w:val="0"/>
          <w:divBdr>
            <w:top w:val="none" w:sz="0" w:space="0" w:color="auto"/>
            <w:left w:val="none" w:sz="0" w:space="0" w:color="auto"/>
            <w:bottom w:val="none" w:sz="0" w:space="0" w:color="auto"/>
            <w:right w:val="none" w:sz="0" w:space="0" w:color="auto"/>
          </w:divBdr>
        </w:div>
        <w:div w:id="2127767262">
          <w:marLeft w:val="0"/>
          <w:marRight w:val="0"/>
          <w:marTop w:val="0"/>
          <w:marBottom w:val="0"/>
          <w:divBdr>
            <w:top w:val="none" w:sz="0" w:space="0" w:color="auto"/>
            <w:left w:val="none" w:sz="0" w:space="0" w:color="auto"/>
            <w:bottom w:val="none" w:sz="0" w:space="0" w:color="auto"/>
            <w:right w:val="none" w:sz="0" w:space="0" w:color="auto"/>
          </w:divBdr>
        </w:div>
      </w:divsChild>
    </w:div>
    <w:div w:id="909534131">
      <w:bodyDiv w:val="1"/>
      <w:marLeft w:val="0"/>
      <w:marRight w:val="0"/>
      <w:marTop w:val="0"/>
      <w:marBottom w:val="0"/>
      <w:divBdr>
        <w:top w:val="none" w:sz="0" w:space="0" w:color="auto"/>
        <w:left w:val="none" w:sz="0" w:space="0" w:color="auto"/>
        <w:bottom w:val="none" w:sz="0" w:space="0" w:color="auto"/>
        <w:right w:val="none" w:sz="0" w:space="0" w:color="auto"/>
      </w:divBdr>
    </w:div>
    <w:div w:id="1105885928">
      <w:bodyDiv w:val="1"/>
      <w:marLeft w:val="0"/>
      <w:marRight w:val="0"/>
      <w:marTop w:val="0"/>
      <w:marBottom w:val="0"/>
      <w:divBdr>
        <w:top w:val="none" w:sz="0" w:space="0" w:color="auto"/>
        <w:left w:val="none" w:sz="0" w:space="0" w:color="auto"/>
        <w:bottom w:val="none" w:sz="0" w:space="0" w:color="auto"/>
        <w:right w:val="none" w:sz="0" w:space="0" w:color="auto"/>
      </w:divBdr>
    </w:div>
    <w:div w:id="19186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umission.info@und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c.soumission.cd@undp.org" TargetMode="External"/><Relationship Id="rId17" Type="http://schemas.openxmlformats.org/officeDocument/2006/relationships/package" Target="embeddings/Document_Microsoft_Office_Word2.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Document_Microsoft_Office_Word1.doc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4a3be3f-a15a-43fa-96b9-a72fbd6deddb">Templates</Category>
    <_dlc_DocId xmlns="bf4c0e24-4363-4a2c-98c4-ba38f29833df">UNITOOLTS-633-31</_dlc_DocId>
    <_dlc_DocIdUrl xmlns="bf4c0e24-4363-4a2c-98c4-ba38f29833df">
      <Url>https://intranet.undp.org/unit/oolts/oso/psu/_layouts/15/DocIdRedir.aspx?ID=UNITOOLTS-633-31</Url>
      <Description>UNITOOLTS-633-31</Description>
    </_dlc_DocIdUrl>
    <Language xmlns="84a3be3f-a15a-43fa-96b9-a72fbd6deddb">English</Languag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634911197213902555</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6358F6894CA546A468AF25922DD424" ma:contentTypeVersion="20" ma:contentTypeDescription="Create a new document." ma:contentTypeScope="" ma:versionID="27592fbbe42997c7c35e4f46313eb344">
  <xsd:schema xmlns:xsd="http://www.w3.org/2001/XMLSchema" xmlns:xs="http://www.w3.org/2001/XMLSchema" xmlns:p="http://schemas.microsoft.com/office/2006/metadata/properties" xmlns:ns2="84a3be3f-a15a-43fa-96b9-a72fbd6deddb" xmlns:ns3="bf4c0e24-4363-4a2c-98c4-ba38f29833df" targetNamespace="http://schemas.microsoft.com/office/2006/metadata/properties" ma:root="true" ma:fieldsID="d09961c3c06aa3cfc0d62d3cb050999e" ns2:_="" ns3:_="">
    <xsd:import namespace="84a3be3f-a15a-43fa-96b9-a72fbd6deddb"/>
    <xsd:import namespace="bf4c0e24-4363-4a2c-98c4-ba38f29833df"/>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be3f-a15a-43fa-96b9-a72fbd6deddb" elementFormDefault="qualified">
    <xsd:import namespace="http://schemas.microsoft.com/office/2006/documentManagement/types"/>
    <xsd:import namespace="http://schemas.microsoft.com/office/infopath/2007/PartnerControls"/>
    <xsd:element name="Category" ma:index="8" nillable="true" ma:displayName="Category" ma:default="Policy Document" ma:format="Dropdown" ma:internalName="Category">
      <xsd:simpleType>
        <xsd:restriction base="dms:Choice">
          <xsd:enumeration value="Guideline for BSITF Registration"/>
          <xsd:enumeration value="Policy Document"/>
          <xsd:enumeration value="Presentations"/>
          <xsd:enumeration value="Flow Charts"/>
          <xsd:enumeration value="Insurance Cover"/>
          <xsd:enumeration value="Q &amp; A"/>
          <xsd:enumeration value="Templates"/>
          <xsd:enumeration value="RLA Templates"/>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4a3be3f-a15a-43fa-96b9-a72fbd6deddb"/>
    <ds:schemaRef ds:uri="bf4c0e24-4363-4a2c-98c4-ba38f29833df"/>
  </ds:schemaRefs>
</ds:datastoreItem>
</file>

<file path=customXml/itemProps2.xml><?xml version="1.0" encoding="utf-8"?>
<ds:datastoreItem xmlns:ds="http://schemas.openxmlformats.org/officeDocument/2006/customXml" ds:itemID="{C5258966-7240-422F-9484-A1CF1CEE7ABB}">
  <ds:schemaRefs>
    <ds:schemaRef ds:uri="http://schemas.openxmlformats.org/officeDocument/2006/bibliography"/>
  </ds:schemaRefs>
</ds:datastoreItem>
</file>

<file path=customXml/itemProps3.xml><?xml version="1.0" encoding="utf-8"?>
<ds:datastoreItem xmlns:ds="http://schemas.openxmlformats.org/officeDocument/2006/customXml" ds:itemID="{E22C8FA4-7384-4E07-ACE6-6BA3AB4A8332}">
  <ds:schemaRefs>
    <ds:schemaRef ds:uri="http://schemas.microsoft.com/sharepoint/events"/>
  </ds:schemaRefs>
</ds:datastoreItem>
</file>

<file path=customXml/itemProps4.xml><?xml version="1.0" encoding="utf-8"?>
<ds:datastoreItem xmlns:ds="http://schemas.openxmlformats.org/officeDocument/2006/customXml" ds:itemID="{88CE2295-02A4-4F66-AE7C-FA5A3F32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be3f-a15a-43fa-96b9-a72fbd6deddb"/>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7199FF-56B2-486B-9A80-0F8C08BB7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3620</Words>
  <Characters>19911</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Individual Consultant Procurement Notice</vt:lpstr>
      <vt:lpstr>Individual Consultant Procurement Notice</vt:lpstr>
    </vt:vector>
  </TitlesOfParts>
  <Company>UNDP</Company>
  <LinksUpToDate>false</LinksUpToDate>
  <CharactersWithSpaces>23485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creator>Patricia Diego</dc:creator>
  <cp:lastModifiedBy>MCN_Jacques</cp:lastModifiedBy>
  <cp:revision>2</cp:revision>
  <cp:lastPrinted>2011-03-24T14:16:00Z</cp:lastPrinted>
  <dcterms:created xsi:type="dcterms:W3CDTF">2020-07-09T14:45:00Z</dcterms:created>
  <dcterms:modified xsi:type="dcterms:W3CDTF">2020-07-09T14:45:00Z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0x010100F06358F6894CA546A468AF25922DD424</vt:lpwstr>
  </property>
  <property fmtid="{D5CDD505-2E9C-101B-9397-08002B2CF9AE}" pid="3" name="_dlc_DocIdItemGuid">
    <vt:lpwstr>74e1aabb-d21d-4391-abeb-a032a7565b67</vt:lpwstr>
  </property>
</Properties>
</file>