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4C" w:rsidRPr="006C45F8" w:rsidRDefault="0093254C" w:rsidP="0093254C">
      <w:pPr>
        <w:tabs>
          <w:tab w:val="left" w:pos="1410"/>
        </w:tabs>
        <w:spacing w:after="0" w:line="240" w:lineRule="auto"/>
        <w:jc w:val="center"/>
        <w:rPr>
          <w:rFonts w:cstheme="minorHAnsi"/>
          <w:b/>
        </w:rPr>
      </w:pPr>
      <w:r w:rsidRPr="006C45F8">
        <w:rPr>
          <w:rFonts w:cstheme="minorHAnsi"/>
          <w:b/>
        </w:rPr>
        <w:t>NOTICE DE SELECTION</w:t>
      </w:r>
    </w:p>
    <w:p w:rsidR="0093254C" w:rsidRPr="006C45F8" w:rsidRDefault="0093254C" w:rsidP="0093254C">
      <w:pPr>
        <w:tabs>
          <w:tab w:val="left" w:pos="1410"/>
        </w:tabs>
        <w:spacing w:after="0" w:line="240" w:lineRule="auto"/>
        <w:jc w:val="center"/>
        <w:rPr>
          <w:rFonts w:cstheme="minorHAnsi"/>
          <w:b/>
        </w:rPr>
      </w:pPr>
    </w:p>
    <w:p w:rsidR="0093254C" w:rsidRPr="006C45F8" w:rsidRDefault="0093254C" w:rsidP="0093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b/>
          <w:lang w:eastAsia="fr-FR"/>
        </w:rPr>
      </w:pPr>
      <w:bookmarkStart w:id="0" w:name="_Hlk18483930"/>
      <w:r w:rsidRPr="006C45F8">
        <w:rPr>
          <w:rFonts w:eastAsia="Times New Roman" w:cstheme="minorHAnsi"/>
          <w:b/>
          <w:bCs/>
        </w:rPr>
        <w:t>Recrutement d´un(e) consultant(e) d´expertise national(e)</w:t>
      </w:r>
      <w:r w:rsidRPr="006C45F8">
        <w:rPr>
          <w:rFonts w:eastAsia="Times New Roman" w:cstheme="minorHAnsi"/>
          <w:b/>
          <w:lang w:eastAsia="fr-FR"/>
        </w:rPr>
        <w:t xml:space="preserve">Expert(e) </w:t>
      </w:r>
      <w:r w:rsidR="0085182B">
        <w:rPr>
          <w:rFonts w:eastAsia="Times New Roman" w:cstheme="minorHAnsi"/>
          <w:b/>
          <w:lang w:eastAsia="fr-FR"/>
        </w:rPr>
        <w:t>en Finances Locales</w:t>
      </w:r>
    </w:p>
    <w:bookmarkEnd w:id="0"/>
    <w:p w:rsidR="0093254C" w:rsidRPr="006C45F8" w:rsidRDefault="0093254C" w:rsidP="0093254C">
      <w:pPr>
        <w:spacing w:after="0" w:line="240" w:lineRule="auto"/>
        <w:jc w:val="center"/>
        <w:rPr>
          <w:rFonts w:eastAsia="MS Mincho" w:cstheme="minorHAnsi"/>
          <w:b/>
          <w:color w:val="000000"/>
          <w:lang w:eastAsia="fr-FR"/>
        </w:rPr>
      </w:pPr>
    </w:p>
    <w:p w:rsidR="0093254C" w:rsidRPr="006C45F8" w:rsidRDefault="0093254C" w:rsidP="0093254C">
      <w:pPr>
        <w:spacing w:after="0" w:line="240" w:lineRule="auto"/>
        <w:jc w:val="center"/>
        <w:rPr>
          <w:rFonts w:eastAsia="Times New Roman" w:cstheme="minorHAnsi"/>
          <w:b/>
          <w:lang w:eastAsia="fr-FR"/>
        </w:rPr>
      </w:pPr>
      <w:r w:rsidRPr="006C45F8">
        <w:rPr>
          <w:rFonts w:eastAsia="Times New Roman" w:cstheme="minorHAnsi"/>
          <w:b/>
          <w:lang w:eastAsia="rw-RW"/>
        </w:rPr>
        <w:t>Référence du dossier : 1</w:t>
      </w:r>
      <w:r w:rsidR="006B707E">
        <w:rPr>
          <w:rFonts w:eastAsia="Times New Roman" w:cstheme="minorHAnsi"/>
          <w:b/>
          <w:lang w:eastAsia="rw-RW"/>
        </w:rPr>
        <w:t>47</w:t>
      </w:r>
      <w:r w:rsidRPr="006C45F8">
        <w:rPr>
          <w:rFonts w:eastAsia="Times New Roman" w:cstheme="minorHAnsi"/>
          <w:b/>
          <w:lang w:eastAsia="rw-RW"/>
        </w:rPr>
        <w:t>/IC-NAT/</w:t>
      </w:r>
      <w:r w:rsidR="006B707E">
        <w:rPr>
          <w:rFonts w:eastAsia="Times New Roman" w:cstheme="minorHAnsi"/>
          <w:b/>
          <w:lang w:eastAsia="rw-RW"/>
        </w:rPr>
        <w:t>CPRD</w:t>
      </w:r>
      <w:r w:rsidRPr="006C45F8">
        <w:rPr>
          <w:rFonts w:eastAsia="Times New Roman" w:cstheme="minorHAnsi"/>
          <w:b/>
          <w:lang w:eastAsia="rw-RW"/>
        </w:rPr>
        <w:t>/2020</w:t>
      </w:r>
    </w:p>
    <w:p w:rsidR="0093254C" w:rsidRPr="006C45F8" w:rsidRDefault="0093254C" w:rsidP="0093254C">
      <w:pPr>
        <w:spacing w:after="0" w:line="240" w:lineRule="auto"/>
        <w:jc w:val="right"/>
        <w:rPr>
          <w:rFonts w:eastAsia="Times New Roman" w:cstheme="minorHAnsi"/>
          <w:lang w:eastAsia="rw-RW"/>
        </w:rPr>
      </w:pPr>
      <w:r w:rsidRPr="006C45F8">
        <w:rPr>
          <w:rFonts w:eastAsia="Times New Roman" w:cstheme="minorHAnsi"/>
          <w:lang w:eastAsia="rw-RW"/>
        </w:rPr>
        <w:t xml:space="preserve">Date : </w:t>
      </w:r>
      <w:r w:rsidR="00387CFA">
        <w:rPr>
          <w:rFonts w:eastAsia="Times New Roman" w:cstheme="minorHAnsi"/>
          <w:lang w:eastAsia="rw-RW"/>
        </w:rPr>
        <w:t>26</w:t>
      </w:r>
      <w:r w:rsidRPr="006C45F8">
        <w:rPr>
          <w:rFonts w:eastAsia="Times New Roman" w:cstheme="minorHAnsi"/>
          <w:lang w:eastAsia="rw-RW"/>
        </w:rPr>
        <w:t>/</w:t>
      </w:r>
      <w:r w:rsidR="006B707E">
        <w:rPr>
          <w:rFonts w:eastAsia="Times New Roman" w:cstheme="minorHAnsi"/>
          <w:lang w:eastAsia="rw-RW"/>
        </w:rPr>
        <w:t>08</w:t>
      </w:r>
      <w:r w:rsidRPr="006C45F8">
        <w:rPr>
          <w:rFonts w:eastAsia="Times New Roman" w:cstheme="minorHAnsi"/>
          <w:lang w:eastAsia="rw-RW"/>
        </w:rPr>
        <w:t>/2020</w:t>
      </w:r>
    </w:p>
    <w:p w:rsidR="0093254C" w:rsidRPr="006C45F8" w:rsidRDefault="00AC78AD" w:rsidP="0093254C">
      <w:pPr>
        <w:tabs>
          <w:tab w:val="left" w:pos="1410"/>
        </w:tabs>
        <w:rPr>
          <w:rFonts w:cstheme="minorHAnsi"/>
          <w:b/>
        </w:rPr>
      </w:pPr>
      <w:r>
        <w:rPr>
          <w:rFonts w:cstheme="minorHAnsi"/>
          <w:b/>
          <w:noProof/>
          <w:lang w:eastAsia="fr-FR"/>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93254C" w:rsidRPr="006C45F8" w:rsidRDefault="0093254C" w:rsidP="0093254C">
      <w:pPr>
        <w:tabs>
          <w:tab w:val="left" w:pos="1410"/>
        </w:tabs>
        <w:rPr>
          <w:rFonts w:cstheme="minorHAnsi"/>
        </w:rPr>
      </w:pPr>
      <w:r w:rsidRPr="006C45F8">
        <w:rPr>
          <w:rFonts w:cstheme="minorHAnsi"/>
          <w:b/>
        </w:rPr>
        <w:t xml:space="preserve">Pays : </w:t>
      </w:r>
      <w:r w:rsidRPr="006C45F8">
        <w:rPr>
          <w:rFonts w:cstheme="minorHAnsi"/>
        </w:rPr>
        <w:t xml:space="preserve">République Démocratique du Congo, Ville : </w:t>
      </w:r>
      <w:r w:rsidRPr="006C45F8">
        <w:rPr>
          <w:rFonts w:cstheme="minorHAnsi"/>
          <w:u w:val="single"/>
        </w:rPr>
        <w:t>Kinshasa</w:t>
      </w:r>
    </w:p>
    <w:p w:rsidR="0093254C" w:rsidRPr="00D71E0B" w:rsidRDefault="0093254C" w:rsidP="0093254C">
      <w:pPr>
        <w:tabs>
          <w:tab w:val="left" w:pos="1410"/>
        </w:tabs>
        <w:spacing w:after="0" w:line="240" w:lineRule="auto"/>
        <w:ind w:left="3600" w:hanging="3600"/>
        <w:jc w:val="both"/>
        <w:rPr>
          <w:rFonts w:cstheme="minorHAnsi"/>
        </w:rPr>
      </w:pPr>
      <w:r w:rsidRPr="006C45F8">
        <w:rPr>
          <w:rFonts w:cstheme="minorHAnsi"/>
          <w:b/>
        </w:rPr>
        <w:t>Niveau de poste et d’expérience :</w:t>
      </w:r>
      <w:r w:rsidRPr="006C45F8">
        <w:rPr>
          <w:rFonts w:cstheme="minorHAnsi"/>
        </w:rPr>
        <w:t xml:space="preserve"> Consultance, national</w:t>
      </w:r>
    </w:p>
    <w:p w:rsidR="0093254C" w:rsidRPr="00D71E0B" w:rsidRDefault="0093254C" w:rsidP="0093254C">
      <w:pPr>
        <w:tabs>
          <w:tab w:val="left" w:pos="1410"/>
        </w:tabs>
        <w:spacing w:after="0" w:line="240" w:lineRule="auto"/>
        <w:ind w:left="3600" w:hanging="3600"/>
        <w:jc w:val="both"/>
        <w:rPr>
          <w:rFonts w:cstheme="minorHAnsi"/>
        </w:rPr>
      </w:pPr>
    </w:p>
    <w:p w:rsidR="0093254C" w:rsidRPr="00D71E0B" w:rsidRDefault="0093254C" w:rsidP="0093254C">
      <w:pPr>
        <w:tabs>
          <w:tab w:val="left" w:pos="1410"/>
        </w:tabs>
        <w:rPr>
          <w:rFonts w:cstheme="minorHAnsi"/>
          <w:b/>
        </w:rPr>
      </w:pPr>
      <w:r w:rsidRPr="00D71E0B">
        <w:rPr>
          <w:rFonts w:cstheme="minorHAnsi"/>
          <w:b/>
        </w:rPr>
        <w:t xml:space="preserve">Intitulé du projet : </w:t>
      </w:r>
      <w:r w:rsidR="009C7D4E">
        <w:rPr>
          <w:rFonts w:cstheme="minorHAnsi"/>
          <w:b/>
        </w:rPr>
        <w:t>Projet Conjoint PNUD-UNHCR</w:t>
      </w:r>
    </w:p>
    <w:p w:rsidR="00935247" w:rsidRDefault="0093254C" w:rsidP="00D9214D">
      <w:pPr>
        <w:tabs>
          <w:tab w:val="left" w:pos="1410"/>
        </w:tabs>
        <w:spacing w:after="0"/>
        <w:rPr>
          <w:rFonts w:cstheme="minorHAnsi"/>
          <w:b/>
        </w:rPr>
      </w:pPr>
      <w:r w:rsidRPr="00D71E0B">
        <w:rPr>
          <w:rFonts w:cstheme="minorHAnsi"/>
          <w:b/>
        </w:rPr>
        <w:t>Durée de la mission :</w:t>
      </w:r>
      <w:r w:rsidR="00935247">
        <w:rPr>
          <w:rFonts w:cstheme="minorHAnsi"/>
          <w:b/>
        </w:rPr>
        <w:t>65 Homme-jours (</w:t>
      </w:r>
      <w:r w:rsidR="00D9214D">
        <w:rPr>
          <w:rFonts w:cstheme="minorHAnsi"/>
          <w:b/>
        </w:rPr>
        <w:t>Première phase 20</w:t>
      </w:r>
      <w:r w:rsidR="00170792" w:rsidRPr="00D71E0B">
        <w:rPr>
          <w:rFonts w:cstheme="minorHAnsi"/>
          <w:lang w:eastAsia="fr-CD"/>
        </w:rPr>
        <w:t xml:space="preserve"> Homme-jours</w:t>
      </w:r>
      <w:r w:rsidR="00935247">
        <w:rPr>
          <w:rFonts w:cstheme="minorHAnsi"/>
          <w:lang w:eastAsia="fr-CD"/>
        </w:rPr>
        <w:t xml:space="preserve"> - </w:t>
      </w:r>
      <w:r w:rsidR="00D9214D">
        <w:rPr>
          <w:rFonts w:cstheme="minorHAnsi"/>
          <w:b/>
        </w:rPr>
        <w:t>Deuxième phase</w:t>
      </w:r>
      <w:r w:rsidR="00F109CC">
        <w:rPr>
          <w:rFonts w:cstheme="minorHAnsi"/>
          <w:b/>
        </w:rPr>
        <w:t xml:space="preserve"> 45 </w:t>
      </w:r>
      <w:r w:rsidR="00F109CC" w:rsidRPr="00F109CC">
        <w:rPr>
          <w:rFonts w:cstheme="minorHAnsi"/>
          <w:bCs/>
        </w:rPr>
        <w:t>Homme-jours</w:t>
      </w:r>
      <w:r w:rsidR="00935247">
        <w:rPr>
          <w:rFonts w:cstheme="minorHAnsi"/>
          <w:b/>
        </w:rPr>
        <w:t>).</w:t>
      </w:r>
    </w:p>
    <w:p w:rsidR="00D9214D" w:rsidRPr="00935247" w:rsidRDefault="00D9214D" w:rsidP="00D9214D">
      <w:pPr>
        <w:tabs>
          <w:tab w:val="left" w:pos="1410"/>
        </w:tabs>
        <w:spacing w:after="0"/>
        <w:rPr>
          <w:rFonts w:cstheme="minorHAnsi"/>
          <w:b/>
        </w:rPr>
      </w:pPr>
      <w:r>
        <w:rPr>
          <w:rFonts w:cstheme="minorHAnsi"/>
          <w:lang w:eastAsia="fr-CD"/>
        </w:rPr>
        <w:tab/>
      </w:r>
    </w:p>
    <w:p w:rsidR="0093254C" w:rsidRPr="00D71E0B" w:rsidRDefault="0093254C" w:rsidP="0093254C">
      <w:pPr>
        <w:spacing w:after="0" w:line="240" w:lineRule="auto"/>
        <w:jc w:val="both"/>
        <w:rPr>
          <w:rFonts w:eastAsia="Times New Roman" w:cstheme="minorHAnsi"/>
          <w:b/>
          <w:lang w:eastAsia="rw-RW"/>
        </w:rPr>
      </w:pPr>
      <w:r w:rsidRPr="00D71E0B">
        <w:rPr>
          <w:rFonts w:eastAsia="Times New Roman" w:cstheme="minorHAnsi"/>
          <w:b/>
          <w:lang w:eastAsia="rw-RW"/>
        </w:rPr>
        <w:t xml:space="preserve">Prière envoyer vos propositions (proposition technique et Lettre d´Offre avec une proposition financière) dûment signées à l’adresse e-mail </w:t>
      </w:r>
      <w:r w:rsidRPr="00D71E0B">
        <w:rPr>
          <w:rStyle w:val="Lienhypertexte"/>
          <w:rFonts w:eastAsia="Times New Roman" w:cstheme="minorHAnsi"/>
          <w:b/>
          <w:lang w:eastAsia="rw-RW"/>
        </w:rPr>
        <w:t>ic.soumission.cd@undp.org</w:t>
      </w:r>
      <w:r w:rsidRPr="00D71E0B">
        <w:rPr>
          <w:rFonts w:eastAsia="Times New Roman" w:cstheme="minorHAnsi"/>
          <w:b/>
          <w:lang w:eastAsia="rw-RW"/>
        </w:rPr>
        <w:t xml:space="preserve"> avec mention de la référence et intitulé du dossier. </w:t>
      </w:r>
    </w:p>
    <w:p w:rsidR="0093254C" w:rsidRPr="00D71E0B" w:rsidRDefault="0093254C" w:rsidP="0093254C">
      <w:pPr>
        <w:spacing w:after="0" w:line="240" w:lineRule="auto"/>
        <w:jc w:val="both"/>
        <w:rPr>
          <w:rFonts w:cstheme="minorHAnsi"/>
          <w:b/>
        </w:rPr>
      </w:pPr>
    </w:p>
    <w:p w:rsidR="00387CFA" w:rsidRDefault="0093254C" w:rsidP="0093254C">
      <w:pPr>
        <w:spacing w:after="0" w:line="240" w:lineRule="auto"/>
        <w:jc w:val="both"/>
        <w:rPr>
          <w:rFonts w:cstheme="minorHAnsi"/>
          <w:b/>
        </w:rPr>
      </w:pPr>
      <w:r w:rsidRPr="00D71E0B">
        <w:rPr>
          <w:rFonts w:cstheme="minorHAnsi"/>
          <w:b/>
        </w:rPr>
        <w:t xml:space="preserve">Votre proposition devra être reçue au plus tard </w:t>
      </w:r>
      <w:r w:rsidRPr="00D71E0B">
        <w:rPr>
          <w:rFonts w:cstheme="minorHAnsi"/>
          <w:b/>
          <w:u w:val="single"/>
        </w:rPr>
        <w:t xml:space="preserve">le </w:t>
      </w:r>
      <w:r w:rsidR="006B707E">
        <w:rPr>
          <w:rFonts w:cstheme="minorHAnsi"/>
          <w:b/>
          <w:u w:val="single"/>
        </w:rPr>
        <w:t>same</w:t>
      </w:r>
      <w:r w:rsidR="00660504" w:rsidRPr="00D71E0B">
        <w:rPr>
          <w:rFonts w:cstheme="minorHAnsi"/>
          <w:b/>
          <w:u w:val="single"/>
        </w:rPr>
        <w:t xml:space="preserve">di </w:t>
      </w:r>
      <w:r w:rsidR="00387CFA">
        <w:rPr>
          <w:rFonts w:cstheme="minorHAnsi"/>
          <w:b/>
          <w:u w:val="single"/>
        </w:rPr>
        <w:t>05septembre</w:t>
      </w:r>
      <w:r w:rsidRPr="00D71E0B">
        <w:rPr>
          <w:rFonts w:cstheme="minorHAnsi"/>
          <w:b/>
          <w:u w:val="single"/>
        </w:rPr>
        <w:t xml:space="preserve"> 2020 à 16 heures</w:t>
      </w:r>
      <w:r w:rsidRPr="00D71E0B">
        <w:rPr>
          <w:rFonts w:cstheme="minorHAnsi"/>
          <w:b/>
        </w:rPr>
        <w:t xml:space="preserve"> de Kinshasa. </w:t>
      </w:r>
    </w:p>
    <w:p w:rsidR="00387CFA" w:rsidRDefault="00387CFA" w:rsidP="0093254C">
      <w:pPr>
        <w:spacing w:after="0" w:line="240" w:lineRule="auto"/>
        <w:jc w:val="both"/>
        <w:rPr>
          <w:rFonts w:cstheme="minorHAnsi"/>
          <w:b/>
        </w:rPr>
      </w:pPr>
    </w:p>
    <w:p w:rsidR="0093254C" w:rsidRPr="00D71E0B" w:rsidRDefault="0093254C" w:rsidP="0093254C">
      <w:pPr>
        <w:spacing w:after="0" w:line="240" w:lineRule="auto"/>
        <w:jc w:val="both"/>
        <w:rPr>
          <w:rStyle w:val="lev"/>
          <w:rFonts w:cstheme="minorHAnsi"/>
        </w:rPr>
      </w:pPr>
      <w:r w:rsidRPr="00D71E0B">
        <w:rPr>
          <w:rStyle w:val="lev"/>
          <w:rFonts w:cstheme="minorHAnsi"/>
        </w:rPr>
        <w:t>Toute offre soumise après ce délai sera automatiquement rejetée.</w:t>
      </w:r>
    </w:p>
    <w:p w:rsidR="0093254C" w:rsidRPr="00D71E0B" w:rsidRDefault="0093254C" w:rsidP="0093254C">
      <w:pPr>
        <w:spacing w:after="0" w:line="240" w:lineRule="auto"/>
        <w:jc w:val="both"/>
        <w:rPr>
          <w:rStyle w:val="lev"/>
          <w:rFonts w:cstheme="minorHAnsi"/>
        </w:rPr>
      </w:pPr>
    </w:p>
    <w:p w:rsidR="0093254C" w:rsidRPr="00D71E0B" w:rsidRDefault="0093254C" w:rsidP="0093254C">
      <w:pPr>
        <w:rPr>
          <w:rFonts w:cstheme="minorHAnsi"/>
          <w:b/>
          <w:bCs/>
          <w:u w:val="single"/>
          <w:lang w:eastAsia="rw-RW"/>
        </w:rPr>
      </w:pPr>
      <w:r w:rsidRPr="00D71E0B">
        <w:rPr>
          <w:rFonts w:cstheme="minorHAnsi"/>
          <w:b/>
          <w:bCs/>
          <w:u w:val="single"/>
          <w:lang w:eastAsia="rw-RW"/>
        </w:rPr>
        <w:t xml:space="preserve">Veuillez noter qu´il est obligatoire lors de votre soumission d´indiquer intégralement la référence de l’appel d’offres dans l´objet du message. </w:t>
      </w:r>
    </w:p>
    <w:p w:rsidR="0093254C" w:rsidRPr="00D71E0B" w:rsidRDefault="0093254C" w:rsidP="0093254C">
      <w:pPr>
        <w:rPr>
          <w:rFonts w:cstheme="minorHAnsi"/>
          <w:lang w:val="fr-CD"/>
        </w:rPr>
      </w:pPr>
      <w:r w:rsidRPr="00D71E0B">
        <w:rPr>
          <w:rFonts w:cstheme="minorHAnsi"/>
          <w:b/>
          <w:bCs/>
          <w:u w:val="single"/>
          <w:lang w:eastAsia="rw-RW"/>
        </w:rPr>
        <w:t>Les propositions transmises sans indiquer la référence correcte du dossier pourraient ne pas être prises en compte.</w:t>
      </w:r>
    </w:p>
    <w:p w:rsidR="0093254C" w:rsidRPr="00D71E0B" w:rsidRDefault="0093254C" w:rsidP="0093254C">
      <w:pPr>
        <w:pStyle w:val="Retraitcorpsdetexte"/>
        <w:ind w:left="0"/>
        <w:jc w:val="both"/>
        <w:rPr>
          <w:rFonts w:asciiTheme="minorHAnsi" w:hAnsiTheme="minorHAnsi" w:cstheme="minorHAnsi"/>
          <w:sz w:val="22"/>
          <w:szCs w:val="22"/>
        </w:rPr>
      </w:pPr>
      <w:r w:rsidRPr="00D71E0B">
        <w:rPr>
          <w:rFonts w:asciiTheme="minorHAnsi" w:hAnsiTheme="minorHAnsi" w:cstheme="minorHAnsi"/>
          <w:sz w:val="22"/>
          <w:szCs w:val="22"/>
        </w:rPr>
        <w:t>N’hésitez pas à écrire</w:t>
      </w:r>
      <w:r w:rsidR="00660504" w:rsidRPr="00D71E0B">
        <w:rPr>
          <w:rFonts w:asciiTheme="minorHAnsi" w:hAnsiTheme="minorHAnsi" w:cstheme="minorHAnsi"/>
          <w:sz w:val="22"/>
          <w:szCs w:val="22"/>
        </w:rPr>
        <w:t xml:space="preserve"> jusqu’au plus tard le </w:t>
      </w:r>
      <w:r w:rsidR="00AE76AC">
        <w:rPr>
          <w:rFonts w:asciiTheme="minorHAnsi" w:hAnsiTheme="minorHAnsi" w:cstheme="minorHAnsi"/>
          <w:sz w:val="22"/>
          <w:szCs w:val="22"/>
        </w:rPr>
        <w:t>03septembre</w:t>
      </w:r>
      <w:r w:rsidR="00660504" w:rsidRPr="00D71E0B">
        <w:rPr>
          <w:rFonts w:asciiTheme="minorHAnsi" w:hAnsiTheme="minorHAnsi" w:cstheme="minorHAnsi"/>
          <w:sz w:val="22"/>
          <w:szCs w:val="22"/>
        </w:rPr>
        <w:t xml:space="preserve"> 2020</w:t>
      </w:r>
      <w:r w:rsidRPr="00D71E0B">
        <w:rPr>
          <w:rFonts w:asciiTheme="minorHAnsi" w:hAnsiTheme="minorHAnsi" w:cstheme="minorHAnsi"/>
          <w:sz w:val="22"/>
          <w:szCs w:val="22"/>
        </w:rPr>
        <w:t xml:space="preserve"> à l’adresse </w:t>
      </w:r>
      <w:hyperlink r:id="rId12" w:history="1">
        <w:r w:rsidRPr="00D71E0B">
          <w:rPr>
            <w:rStyle w:val="Lienhypertexte"/>
            <w:rFonts w:asciiTheme="minorHAnsi" w:hAnsiTheme="minorHAnsi" w:cstheme="minorHAnsi"/>
            <w:sz w:val="22"/>
            <w:szCs w:val="22"/>
          </w:rPr>
          <w:t>soumission.info@undp.org</w:t>
        </w:r>
      </w:hyperlink>
      <w:r w:rsidRPr="006C45F8">
        <w:rPr>
          <w:rFonts w:asciiTheme="minorHAnsi" w:hAnsiTheme="minorHAnsi" w:cstheme="minorHAnsi"/>
          <w:sz w:val="22"/>
          <w:szCs w:val="22"/>
        </w:rPr>
        <w:t xml:space="preserve"> pour toute information complémentaire avant la date limite de dépôt des offres. </w:t>
      </w:r>
    </w:p>
    <w:p w:rsidR="0093254C" w:rsidRPr="00D71E0B" w:rsidRDefault="0093254C" w:rsidP="0093254C">
      <w:pPr>
        <w:spacing w:after="0" w:line="240" w:lineRule="auto"/>
        <w:jc w:val="both"/>
        <w:rPr>
          <w:rFonts w:cstheme="minorHAnsi"/>
          <w:b/>
          <w:color w:val="0000FF"/>
          <w:u w:val="single"/>
        </w:rPr>
      </w:pPr>
    </w:p>
    <w:p w:rsidR="0093254C" w:rsidRDefault="0093254C" w:rsidP="0093254C">
      <w:pPr>
        <w:pStyle w:val="Retraitcorpsdetexte"/>
        <w:ind w:left="0"/>
        <w:jc w:val="both"/>
        <w:rPr>
          <w:rFonts w:asciiTheme="minorHAnsi" w:hAnsiTheme="minorHAnsi" w:cstheme="minorHAnsi"/>
          <w:b/>
          <w:color w:val="70AD47"/>
          <w:sz w:val="22"/>
          <w:szCs w:val="22"/>
        </w:rPr>
      </w:pPr>
      <w:r w:rsidRPr="00D71E0B">
        <w:rPr>
          <w:rFonts w:asciiTheme="minorHAnsi" w:hAnsiTheme="minorHAnsi" w:cstheme="minorHAnsi"/>
          <w:b/>
          <w:color w:val="70AD47"/>
          <w:sz w:val="22"/>
          <w:szCs w:val="22"/>
          <w:u w:val="single"/>
        </w:rPr>
        <w:t>Les candidatures féminines sont vivement encouragées</w:t>
      </w:r>
      <w:r w:rsidRPr="00D71E0B">
        <w:rPr>
          <w:rFonts w:asciiTheme="minorHAnsi" w:hAnsiTheme="minorHAnsi" w:cstheme="minorHAnsi"/>
          <w:b/>
          <w:color w:val="70AD47"/>
          <w:sz w:val="22"/>
          <w:szCs w:val="22"/>
        </w:rPr>
        <w:t>.</w:t>
      </w:r>
    </w:p>
    <w:p w:rsidR="0068329C" w:rsidRPr="00D71E0B" w:rsidRDefault="0068329C" w:rsidP="0093254C">
      <w:pPr>
        <w:pStyle w:val="Retraitcorpsdetexte"/>
        <w:ind w:left="0"/>
        <w:jc w:val="both"/>
        <w:rPr>
          <w:rFonts w:asciiTheme="minorHAnsi" w:hAnsiTheme="minorHAnsi" w:cstheme="minorHAnsi"/>
          <w:b/>
          <w:color w:val="70AD47"/>
          <w:sz w:val="22"/>
          <w:szCs w:val="22"/>
        </w:rPr>
      </w:pPr>
    </w:p>
    <w:p w:rsidR="005B634A" w:rsidRDefault="00AC78AD" w:rsidP="0093254C">
      <w:pPr>
        <w:tabs>
          <w:tab w:val="left" w:pos="1410"/>
        </w:tabs>
        <w:rPr>
          <w:rFonts w:cstheme="minorHAnsi"/>
          <w:b/>
        </w:rPr>
      </w:pPr>
      <w:r w:rsidRPr="00AC78AD">
        <w:rPr>
          <w:rFonts w:cstheme="minorHAnsi"/>
          <w:noProof/>
          <w:lang w:eastAsia="fr-FR"/>
        </w:rPr>
        <w:pict>
          <v:shape id="AutoShape 4" o:spid="_x0000_s1029" type="#_x0000_t32" style="position:absolute;margin-left:-.75pt;margin-top:8.55pt;width:522.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5B634A" w:rsidRDefault="005B634A" w:rsidP="0093254C">
      <w:pPr>
        <w:tabs>
          <w:tab w:val="left" w:pos="1410"/>
        </w:tabs>
        <w:rPr>
          <w:rFonts w:cstheme="minorHAnsi"/>
          <w:b/>
        </w:rPr>
      </w:pPr>
    </w:p>
    <w:p w:rsidR="00EE420B" w:rsidRDefault="00EE420B" w:rsidP="0093254C">
      <w:pPr>
        <w:tabs>
          <w:tab w:val="left" w:pos="1410"/>
        </w:tabs>
        <w:rPr>
          <w:rFonts w:cstheme="minorHAnsi"/>
          <w:b/>
        </w:rPr>
      </w:pPr>
    </w:p>
    <w:p w:rsidR="00EE420B" w:rsidRDefault="00EE420B" w:rsidP="0093254C">
      <w:pPr>
        <w:tabs>
          <w:tab w:val="left" w:pos="1410"/>
        </w:tabs>
        <w:rPr>
          <w:rFonts w:cstheme="minorHAnsi"/>
          <w:b/>
        </w:rPr>
      </w:pPr>
    </w:p>
    <w:p w:rsidR="0093254C" w:rsidRPr="006C45F8" w:rsidRDefault="0093254C" w:rsidP="0093254C">
      <w:pPr>
        <w:tabs>
          <w:tab w:val="left" w:pos="1410"/>
        </w:tabs>
        <w:rPr>
          <w:rFonts w:cstheme="minorHAnsi"/>
          <w:b/>
        </w:rPr>
      </w:pPr>
      <w:r w:rsidRPr="006C45F8">
        <w:rPr>
          <w:rFonts w:cstheme="minorHAnsi"/>
          <w:b/>
        </w:rPr>
        <w:lastRenderedPageBreak/>
        <w:t>1. Contexte et justification :</w:t>
      </w:r>
    </w:p>
    <w:tbl>
      <w:tblPr>
        <w:tblStyle w:val="Grilledutableau"/>
        <w:tblW w:w="0" w:type="auto"/>
        <w:tblLook w:val="04A0"/>
      </w:tblPr>
      <w:tblGrid>
        <w:gridCol w:w="9350"/>
      </w:tblGrid>
      <w:tr w:rsidR="0093254C" w:rsidRPr="00D71E0B" w:rsidTr="00EA22EA">
        <w:tc>
          <w:tcPr>
            <w:tcW w:w="9350" w:type="dxa"/>
          </w:tcPr>
          <w:p w:rsidR="00662704" w:rsidRPr="00F17973" w:rsidRDefault="00662704" w:rsidP="00662704">
            <w:pPr>
              <w:pStyle w:val="Paragraphedeliste"/>
              <w:ind w:left="284"/>
              <w:jc w:val="both"/>
              <w:rPr>
                <w:rFonts w:asciiTheme="majorHAnsi" w:hAnsiTheme="majorHAnsi"/>
              </w:rPr>
            </w:pPr>
            <w:r w:rsidRPr="00F17973">
              <w:rPr>
                <w:rFonts w:asciiTheme="majorHAnsi" w:hAnsiTheme="majorHAnsi"/>
              </w:rPr>
              <w:t>La Constitution de la République Démocratique du Congo a opté clairement pour la décentralisation comme un des modes de gestion des affaires publiques et locales. Ce choix stratégique reconnaît aux pouvoirs locaux (entités décentralisées comme chefferies) la responsabilité de prendre en charge le développement économique des communautés à différents échelons notamment en matière de gestion des affaires d’intérêt local. Et à ce titre, ils ont pouvoir de lever, localement, impôts et taxes.</w:t>
            </w:r>
          </w:p>
          <w:p w:rsidR="00662704" w:rsidRPr="00F17973" w:rsidRDefault="00662704" w:rsidP="00662704">
            <w:pPr>
              <w:pStyle w:val="Paragraphedeliste"/>
              <w:ind w:left="284"/>
              <w:jc w:val="both"/>
              <w:rPr>
                <w:rFonts w:asciiTheme="majorHAnsi" w:hAnsiTheme="majorHAnsi"/>
              </w:rPr>
            </w:pPr>
          </w:p>
          <w:p w:rsidR="00662704" w:rsidRPr="00F17973" w:rsidRDefault="00662704" w:rsidP="00662704">
            <w:pPr>
              <w:pStyle w:val="Paragraphedeliste"/>
              <w:ind w:left="284"/>
              <w:jc w:val="both"/>
              <w:rPr>
                <w:rFonts w:asciiTheme="majorHAnsi" w:hAnsiTheme="majorHAnsi"/>
              </w:rPr>
            </w:pPr>
            <w:r w:rsidRPr="00F17973">
              <w:rPr>
                <w:rFonts w:asciiTheme="majorHAnsi" w:hAnsiTheme="majorHAnsi"/>
              </w:rPr>
              <w:t xml:space="preserve">Concernant la mobilisation des ressources financières nécessaires à cette prise en charge, la Loi organique n° 08/016 du 07 octobre 2008 portant composition, organisation et fonctionnement des Entités Territoriales Décentralisées (ETD) et leurs rapports avec l’Etat et les provinces disposent que les ETD ont la responsabilité d’établir les mécanismes propres de recouvrement de leurs ressources financières. </w:t>
            </w:r>
          </w:p>
          <w:p w:rsidR="00662704" w:rsidRPr="00F17973" w:rsidRDefault="00662704" w:rsidP="00662704">
            <w:pPr>
              <w:pStyle w:val="Paragraphedeliste"/>
              <w:ind w:left="284"/>
              <w:jc w:val="both"/>
              <w:rPr>
                <w:rFonts w:asciiTheme="majorHAnsi" w:hAnsiTheme="majorHAnsi"/>
              </w:rPr>
            </w:pPr>
          </w:p>
          <w:p w:rsidR="00662704" w:rsidRPr="00F17973" w:rsidRDefault="00662704" w:rsidP="00662704">
            <w:pPr>
              <w:pStyle w:val="Paragraphedeliste"/>
              <w:ind w:left="284"/>
              <w:jc w:val="both"/>
              <w:rPr>
                <w:rFonts w:asciiTheme="majorHAnsi" w:hAnsiTheme="majorHAnsi"/>
              </w:rPr>
            </w:pPr>
            <w:r w:rsidRPr="00F17973">
              <w:rPr>
                <w:rFonts w:asciiTheme="majorHAnsi" w:hAnsiTheme="majorHAnsi"/>
              </w:rPr>
              <w:t xml:space="preserve">Sur terrain, le constat fait est qu’il y aurait une inadéquation entre le niveau de réalisation des recettes locales et le potentiel fiscal de ces entités  à cause de l’inefficacité des services locaux commis au recouvrement de ces ressources locales. Ainsi, les recettes collectées ne peuvent absolument pas permettre aux ETD de faire face aux engagements liés à leur personnalité juridique et soutenir un niveau de développement local tel que souhaité par la population dans les Plans de Développement Local. La question du  « coulage des recettes », autrement dit de la déperdition des ressources pour diverses raisons,  doit aussi être prise en compte dans l’analyse du consultant afin d’intégrer les actions en matière de lutte contre la corruption. </w:t>
            </w:r>
          </w:p>
          <w:p w:rsidR="00662704" w:rsidRPr="00F17973" w:rsidRDefault="00662704" w:rsidP="00662704">
            <w:pPr>
              <w:pStyle w:val="Paragraphedeliste"/>
              <w:ind w:left="284"/>
              <w:jc w:val="both"/>
              <w:rPr>
                <w:rFonts w:asciiTheme="majorHAnsi" w:hAnsiTheme="majorHAnsi"/>
              </w:rPr>
            </w:pPr>
          </w:p>
          <w:p w:rsidR="00662704" w:rsidRPr="00F17973" w:rsidRDefault="00662704" w:rsidP="00662704">
            <w:pPr>
              <w:pStyle w:val="Paragraphedeliste"/>
              <w:ind w:left="284"/>
              <w:jc w:val="both"/>
              <w:rPr>
                <w:rFonts w:asciiTheme="majorHAnsi" w:hAnsiTheme="majorHAnsi"/>
              </w:rPr>
            </w:pPr>
            <w:r w:rsidRPr="00F17973">
              <w:rPr>
                <w:rFonts w:asciiTheme="majorHAnsi" w:hAnsiTheme="majorHAnsi"/>
              </w:rPr>
              <w:t>Dans le but de concourir à la construction de la fiscalité des ETD, il paraît urgent et nécessaire de mener des études dans les ETD, en commençant par les 3 ETD appuyées par le PNUD dans le cadre du programme conjoint PNUD/UNHCR. Ceci devrait permettre de faire un diagnostic participatif et concerté de leurs services de collecte des recettes locales et de prescrire des mesures de redressement capables d’impulser ces services. Il s’agira ainsi de répondre au défi d’une mobilisation des recettes locales nécessaires au financement de leurs plans de développement local, ainsi qu’aux besoins de leurs populations, notamment en matière d’accès aux services sociaux de base.</w:t>
            </w:r>
          </w:p>
          <w:p w:rsidR="00662704" w:rsidRPr="00F17973" w:rsidRDefault="00662704" w:rsidP="00662704">
            <w:pPr>
              <w:pStyle w:val="Paragraphedeliste"/>
              <w:ind w:left="284"/>
              <w:jc w:val="both"/>
              <w:rPr>
                <w:rFonts w:asciiTheme="majorHAnsi" w:hAnsiTheme="majorHAnsi"/>
              </w:rPr>
            </w:pPr>
          </w:p>
          <w:p w:rsidR="00662704" w:rsidRPr="00F17973" w:rsidRDefault="00662704" w:rsidP="00662704">
            <w:pPr>
              <w:pStyle w:val="Paragraphedeliste"/>
              <w:ind w:left="284"/>
              <w:jc w:val="both"/>
              <w:rPr>
                <w:rFonts w:asciiTheme="majorHAnsi" w:hAnsiTheme="majorHAnsi"/>
              </w:rPr>
            </w:pPr>
            <w:r w:rsidRPr="00F17973">
              <w:rPr>
                <w:rFonts w:asciiTheme="majorHAnsi" w:hAnsiTheme="majorHAnsi"/>
              </w:rPr>
              <w:t>Compte tenu des moyens financiers disponibles et de l’ampleur des tâches à mener pour remédier à ce problème, l’expérience de structuration ou restructuration se limitera aux secteurs/chefferies précitées.</w:t>
            </w:r>
          </w:p>
          <w:p w:rsidR="0093254C" w:rsidRPr="00D71E0B" w:rsidRDefault="0093254C" w:rsidP="00EA2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lang w:eastAsia="fr-FR"/>
              </w:rPr>
            </w:pPr>
          </w:p>
        </w:tc>
      </w:tr>
    </w:tbl>
    <w:p w:rsidR="0093254C" w:rsidRPr="00D71E0B" w:rsidRDefault="0093254C" w:rsidP="0093254C">
      <w:pPr>
        <w:rPr>
          <w:rFonts w:cstheme="minorHAnsi"/>
          <w:b/>
        </w:rPr>
      </w:pPr>
    </w:p>
    <w:p w:rsidR="0093254C" w:rsidRPr="00D71E0B" w:rsidRDefault="0093254C" w:rsidP="0093254C">
      <w:pPr>
        <w:rPr>
          <w:rFonts w:cstheme="minorHAnsi"/>
          <w:b/>
        </w:rPr>
      </w:pPr>
      <w:r w:rsidRPr="00D71E0B">
        <w:rPr>
          <w:rFonts w:cstheme="minorHAnsi"/>
          <w:b/>
        </w:rPr>
        <w:t>2. Objectifs de l</w:t>
      </w:r>
      <w:r w:rsidR="00584A44">
        <w:rPr>
          <w:rFonts w:cstheme="minorHAnsi"/>
          <w:b/>
        </w:rPr>
        <w:t>’activité</w:t>
      </w:r>
    </w:p>
    <w:tbl>
      <w:tblPr>
        <w:tblStyle w:val="Grilledutableau"/>
        <w:tblW w:w="0" w:type="auto"/>
        <w:tblLook w:val="04A0"/>
      </w:tblPr>
      <w:tblGrid>
        <w:gridCol w:w="9350"/>
      </w:tblGrid>
      <w:tr w:rsidR="0093254C" w:rsidRPr="00D71E0B" w:rsidTr="00EA22EA">
        <w:tc>
          <w:tcPr>
            <w:tcW w:w="9350" w:type="dxa"/>
          </w:tcPr>
          <w:p w:rsidR="00662704" w:rsidRPr="00F17973" w:rsidRDefault="00662704" w:rsidP="00662704">
            <w:pPr>
              <w:pStyle w:val="Paragraphedeliste"/>
              <w:ind w:left="567"/>
              <w:contextualSpacing w:val="0"/>
              <w:jc w:val="both"/>
              <w:rPr>
                <w:rFonts w:asciiTheme="majorHAnsi" w:hAnsiTheme="majorHAnsi"/>
              </w:rPr>
            </w:pPr>
            <w:r w:rsidRPr="00F17973">
              <w:rPr>
                <w:rFonts w:asciiTheme="majorHAnsi" w:hAnsiTheme="majorHAnsi"/>
              </w:rPr>
              <w:t>L’objectif global de cette activité est de mettre en place dans les ETD cibles des services de collecte des recettes locales restructurés et performants, c’est-à-dire capables de maximiser les recettes locales en proportion du potentiel fiscal de chaque entité.</w:t>
            </w:r>
          </w:p>
          <w:p w:rsidR="0093254C" w:rsidRPr="00662704" w:rsidRDefault="0093254C" w:rsidP="00170792">
            <w:pPr>
              <w:spacing w:line="293" w:lineRule="atLeast"/>
              <w:textAlignment w:val="baseline"/>
              <w:rPr>
                <w:rFonts w:eastAsia="Calibri" w:cstheme="minorHAnsi"/>
              </w:rPr>
            </w:pPr>
          </w:p>
        </w:tc>
      </w:tr>
    </w:tbl>
    <w:p w:rsidR="0093254C" w:rsidRPr="00D71E0B" w:rsidRDefault="001F1D56" w:rsidP="0093254C">
      <w:pPr>
        <w:rPr>
          <w:rFonts w:cstheme="minorHAnsi"/>
          <w:b/>
        </w:rPr>
      </w:pPr>
      <w:r>
        <w:rPr>
          <w:rFonts w:cstheme="minorHAnsi"/>
          <w:b/>
        </w:rPr>
        <w:lastRenderedPageBreak/>
        <w:t>3</w:t>
      </w:r>
      <w:r w:rsidR="0093254C" w:rsidRPr="00D71E0B">
        <w:rPr>
          <w:rFonts w:cstheme="minorHAnsi"/>
          <w:b/>
        </w:rPr>
        <w:t xml:space="preserve">. </w:t>
      </w:r>
      <w:r w:rsidR="007C5AEC">
        <w:rPr>
          <w:rFonts w:cstheme="minorHAnsi"/>
          <w:b/>
        </w:rPr>
        <w:t>Résultats attendus</w:t>
      </w:r>
    </w:p>
    <w:tbl>
      <w:tblPr>
        <w:tblStyle w:val="Grilledutableau"/>
        <w:tblW w:w="0" w:type="auto"/>
        <w:tblLook w:val="04A0"/>
      </w:tblPr>
      <w:tblGrid>
        <w:gridCol w:w="9350"/>
      </w:tblGrid>
      <w:tr w:rsidR="0093254C" w:rsidRPr="00D71E0B" w:rsidTr="00EA22EA">
        <w:tc>
          <w:tcPr>
            <w:tcW w:w="9350" w:type="dxa"/>
          </w:tcPr>
          <w:p w:rsidR="007C5AEC" w:rsidRPr="00F17973" w:rsidRDefault="007C5AEC" w:rsidP="007C5AEC">
            <w:pPr>
              <w:pStyle w:val="Paragraphedeliste"/>
              <w:jc w:val="both"/>
              <w:rPr>
                <w:rFonts w:asciiTheme="majorHAnsi" w:hAnsiTheme="majorHAnsi"/>
              </w:rPr>
            </w:pPr>
            <w:r w:rsidRPr="00F17973">
              <w:rPr>
                <w:rFonts w:asciiTheme="majorHAnsi" w:hAnsiTheme="majorHAnsi"/>
              </w:rPr>
              <w:t>A l’issue de cette activité, les résultats clés suivants sont attendus à savoir :</w:t>
            </w:r>
          </w:p>
          <w:p w:rsidR="007C5AEC" w:rsidRPr="00F17973" w:rsidRDefault="007C5AEC" w:rsidP="007C5AEC">
            <w:pPr>
              <w:pStyle w:val="Paragraphedeliste"/>
              <w:numPr>
                <w:ilvl w:val="0"/>
                <w:numId w:val="43"/>
              </w:numPr>
              <w:jc w:val="both"/>
              <w:rPr>
                <w:rFonts w:asciiTheme="majorHAnsi" w:hAnsiTheme="majorHAnsi"/>
              </w:rPr>
            </w:pPr>
            <w:r w:rsidRPr="00F17973">
              <w:rPr>
                <w:rFonts w:asciiTheme="majorHAnsi" w:hAnsiTheme="majorHAnsi"/>
              </w:rPr>
              <w:t>Un diagnostic sommaire du fonctionnement des services de collecte des recettes de chaque ETD assorti d’un plan de restructuration et d’un organigramme du service ;</w:t>
            </w:r>
          </w:p>
          <w:p w:rsidR="007C5AEC" w:rsidRPr="00F17973" w:rsidRDefault="007C5AEC" w:rsidP="007C5AEC">
            <w:pPr>
              <w:pStyle w:val="Paragraphedeliste"/>
              <w:numPr>
                <w:ilvl w:val="0"/>
                <w:numId w:val="43"/>
              </w:numPr>
              <w:jc w:val="both"/>
              <w:rPr>
                <w:rFonts w:asciiTheme="majorHAnsi" w:hAnsiTheme="majorHAnsi"/>
              </w:rPr>
            </w:pPr>
            <w:r w:rsidRPr="00F17973">
              <w:rPr>
                <w:rFonts w:asciiTheme="majorHAnsi" w:hAnsiTheme="majorHAnsi"/>
              </w:rPr>
              <w:t>Une nouvelle mise en place du service structuré et/ou restructuré doté d’un plan de mobilisation des recettes locales, incluant une analyse du potentiel fiscal de l’entité ;</w:t>
            </w:r>
          </w:p>
          <w:p w:rsidR="007C5AEC" w:rsidRPr="00F17973" w:rsidRDefault="007C5AEC" w:rsidP="007C5AEC">
            <w:pPr>
              <w:pStyle w:val="Paragraphedeliste"/>
              <w:numPr>
                <w:ilvl w:val="0"/>
                <w:numId w:val="43"/>
              </w:numPr>
              <w:jc w:val="both"/>
              <w:rPr>
                <w:rFonts w:asciiTheme="majorHAnsi" w:hAnsiTheme="majorHAnsi"/>
                <w:b/>
              </w:rPr>
            </w:pPr>
            <w:r w:rsidRPr="00F17973">
              <w:rPr>
                <w:rFonts w:asciiTheme="majorHAnsi" w:hAnsiTheme="majorHAnsi"/>
              </w:rPr>
              <w:t>Un service fonctionnel constitué d’agents taxateurs/percepteurs formés pour la collecte et l'encadrement des recettes locales ;</w:t>
            </w:r>
          </w:p>
          <w:p w:rsidR="007C5AEC" w:rsidRPr="00F17973" w:rsidRDefault="007C5AEC" w:rsidP="007C5AEC">
            <w:pPr>
              <w:pStyle w:val="Paragraphedeliste"/>
              <w:numPr>
                <w:ilvl w:val="0"/>
                <w:numId w:val="43"/>
              </w:numPr>
              <w:jc w:val="both"/>
              <w:rPr>
                <w:rFonts w:asciiTheme="majorHAnsi" w:hAnsiTheme="majorHAnsi"/>
                <w:b/>
              </w:rPr>
            </w:pPr>
            <w:r w:rsidRPr="00F17973">
              <w:rPr>
                <w:rFonts w:asciiTheme="majorHAnsi" w:hAnsiTheme="majorHAnsi"/>
              </w:rPr>
              <w:t>Des outils de gestion des recettes et de dépenses élaborés et une formation organisée et coaching assuré pour assurer une bonne utilisation par les agents commis à cette tâche ;</w:t>
            </w:r>
          </w:p>
          <w:p w:rsidR="007C5AEC" w:rsidRPr="00F17973" w:rsidRDefault="007C5AEC" w:rsidP="007C5AEC">
            <w:pPr>
              <w:pStyle w:val="Paragraphedeliste"/>
              <w:numPr>
                <w:ilvl w:val="0"/>
                <w:numId w:val="43"/>
              </w:numPr>
              <w:jc w:val="both"/>
              <w:rPr>
                <w:rFonts w:asciiTheme="majorHAnsi" w:hAnsiTheme="majorHAnsi"/>
                <w:b/>
              </w:rPr>
            </w:pPr>
            <w:r w:rsidRPr="00F17973">
              <w:rPr>
                <w:rFonts w:asciiTheme="majorHAnsi" w:hAnsiTheme="majorHAnsi"/>
              </w:rPr>
              <w:t xml:space="preserve">Les actions de prévention et de lutte contre le coulage de recettes sont intégrées dans l’analyse du consultant.  </w:t>
            </w:r>
          </w:p>
          <w:p w:rsidR="00170792" w:rsidRPr="007C5AEC" w:rsidRDefault="00170792" w:rsidP="00662704">
            <w:pPr>
              <w:spacing w:line="293" w:lineRule="atLeast"/>
              <w:textAlignment w:val="baseline"/>
              <w:rPr>
                <w:rFonts w:eastAsia="Calibri" w:cstheme="minorHAnsi"/>
              </w:rPr>
            </w:pPr>
          </w:p>
        </w:tc>
      </w:tr>
    </w:tbl>
    <w:p w:rsidR="007C5AEC" w:rsidRDefault="007C5AEC" w:rsidP="0093254C">
      <w:pPr>
        <w:rPr>
          <w:rFonts w:cstheme="minorHAnsi"/>
          <w:b/>
        </w:rPr>
      </w:pPr>
    </w:p>
    <w:p w:rsidR="0093254C" w:rsidRDefault="001F1D56" w:rsidP="0093254C">
      <w:pPr>
        <w:rPr>
          <w:rFonts w:cstheme="minorHAnsi"/>
          <w:b/>
        </w:rPr>
      </w:pPr>
      <w:r>
        <w:rPr>
          <w:rFonts w:cstheme="minorHAnsi"/>
          <w:b/>
        </w:rPr>
        <w:t>4</w:t>
      </w:r>
      <w:r w:rsidR="0093254C" w:rsidRPr="00D71E0B">
        <w:rPr>
          <w:rFonts w:cstheme="minorHAnsi"/>
          <w:b/>
        </w:rPr>
        <w:t xml:space="preserve">. </w:t>
      </w:r>
      <w:r w:rsidR="007C5AEC">
        <w:rPr>
          <w:rFonts w:cstheme="minorHAnsi"/>
          <w:b/>
        </w:rPr>
        <w:t>Méthodologie</w:t>
      </w:r>
    </w:p>
    <w:tbl>
      <w:tblPr>
        <w:tblStyle w:val="Grilledutableau"/>
        <w:tblW w:w="0" w:type="auto"/>
        <w:tblLook w:val="04A0"/>
      </w:tblPr>
      <w:tblGrid>
        <w:gridCol w:w="9350"/>
      </w:tblGrid>
      <w:tr w:rsidR="007C5AEC" w:rsidTr="007C5AEC">
        <w:tc>
          <w:tcPr>
            <w:tcW w:w="9350" w:type="dxa"/>
          </w:tcPr>
          <w:p w:rsidR="007C5AEC" w:rsidRPr="00F17973" w:rsidRDefault="007C5AEC" w:rsidP="007C5AEC">
            <w:pPr>
              <w:jc w:val="both"/>
              <w:rPr>
                <w:rFonts w:asciiTheme="majorHAnsi" w:hAnsiTheme="majorHAnsi"/>
                <w:b/>
                <w:u w:val="single"/>
              </w:rPr>
            </w:pPr>
            <w:r w:rsidRPr="00F17973">
              <w:rPr>
                <w:rFonts w:asciiTheme="majorHAnsi" w:hAnsiTheme="majorHAnsi"/>
              </w:rPr>
              <w:t>Pour pallier le problème de restrictions de mouvement dû au contexte de la COVID-19, la démarche méthodologique à adopter se décompose en deux étapes dont la première, home based consistera à (20jrs) :</w:t>
            </w:r>
          </w:p>
          <w:p w:rsidR="007C5AEC" w:rsidRPr="00F17973" w:rsidRDefault="007C5AEC" w:rsidP="007C5AEC">
            <w:pPr>
              <w:pStyle w:val="Paragraphedeliste"/>
              <w:numPr>
                <w:ilvl w:val="0"/>
                <w:numId w:val="44"/>
              </w:numPr>
              <w:jc w:val="both"/>
              <w:rPr>
                <w:rFonts w:asciiTheme="majorHAnsi" w:hAnsiTheme="majorHAnsi"/>
              </w:rPr>
            </w:pPr>
            <w:r w:rsidRPr="00F17973">
              <w:rPr>
                <w:rFonts w:asciiTheme="majorHAnsi" w:hAnsiTheme="majorHAnsi"/>
              </w:rPr>
              <w:t xml:space="preserve">Mener un diagnostic sommaire sur le fonctionnement des services de collecte des recettes en place au niveau de </w:t>
            </w:r>
            <w:r>
              <w:rPr>
                <w:rFonts w:asciiTheme="majorHAnsi" w:hAnsiTheme="majorHAnsi"/>
              </w:rPr>
              <w:t>Bwito</w:t>
            </w:r>
            <w:r w:rsidRPr="00F17973">
              <w:rPr>
                <w:rFonts w:asciiTheme="majorHAnsi" w:hAnsiTheme="majorHAnsi"/>
              </w:rPr>
              <w:t xml:space="preserve"> et de Longololia ainsi que KakwaIma en interaction avec l’ETD via les outils NTIC, le bureau de UNHCR à Faradje servira d’interface pour appuyer cette interaction pour les ETD de ce territoire ;</w:t>
            </w:r>
          </w:p>
          <w:p w:rsidR="007C5AEC" w:rsidRPr="00F17973" w:rsidRDefault="007C5AEC" w:rsidP="007C5AEC">
            <w:pPr>
              <w:pStyle w:val="Paragraphedeliste"/>
              <w:numPr>
                <w:ilvl w:val="0"/>
                <w:numId w:val="44"/>
              </w:numPr>
              <w:jc w:val="both"/>
              <w:rPr>
                <w:rFonts w:asciiTheme="majorHAnsi" w:hAnsiTheme="majorHAnsi"/>
              </w:rPr>
            </w:pPr>
            <w:r w:rsidRPr="00F17973">
              <w:rPr>
                <w:rFonts w:asciiTheme="majorHAnsi" w:hAnsiTheme="majorHAnsi"/>
              </w:rPr>
              <w:t xml:space="preserve">L’analyse doit considérer la lutte contre le coulage de recettes à cette échelle et des actions à préconiser; </w:t>
            </w:r>
          </w:p>
          <w:p w:rsidR="007C5AEC" w:rsidRPr="00F17973" w:rsidRDefault="007C5AEC" w:rsidP="007C5AEC">
            <w:pPr>
              <w:pStyle w:val="Paragraphedeliste"/>
              <w:numPr>
                <w:ilvl w:val="0"/>
                <w:numId w:val="44"/>
              </w:numPr>
              <w:jc w:val="both"/>
              <w:rPr>
                <w:rFonts w:asciiTheme="majorHAnsi" w:hAnsiTheme="majorHAnsi"/>
              </w:rPr>
            </w:pPr>
            <w:r w:rsidRPr="00F17973">
              <w:rPr>
                <w:rFonts w:asciiTheme="majorHAnsi" w:hAnsiTheme="majorHAnsi"/>
              </w:rPr>
              <w:t>Concevoir, sur la base des conclusions du rapport de diagnostic, les outils nécessaires pour la structuration de ce service et proposer un projet d’organigramme en tenant compte du cadre légal en vigueur ;</w:t>
            </w:r>
          </w:p>
          <w:p w:rsidR="007C5AEC" w:rsidRPr="00F17973" w:rsidRDefault="007C5AEC" w:rsidP="007C5AEC">
            <w:pPr>
              <w:pStyle w:val="Paragraphedeliste"/>
              <w:numPr>
                <w:ilvl w:val="0"/>
                <w:numId w:val="44"/>
              </w:numPr>
              <w:jc w:val="both"/>
              <w:rPr>
                <w:rFonts w:asciiTheme="majorHAnsi" w:hAnsiTheme="majorHAnsi"/>
              </w:rPr>
            </w:pPr>
            <w:r w:rsidRPr="00F17973">
              <w:rPr>
                <w:rFonts w:asciiTheme="majorHAnsi" w:hAnsiTheme="majorHAnsi"/>
              </w:rPr>
              <w:t xml:space="preserve">Préparer les outils dont les ETD ont besoin pour assurer une bonne gestion des recettes mobilisées ; </w:t>
            </w:r>
          </w:p>
          <w:p w:rsidR="007C5AEC" w:rsidRPr="00F17973" w:rsidRDefault="007C5AEC" w:rsidP="007C5AEC">
            <w:pPr>
              <w:pStyle w:val="Paragraphedeliste"/>
              <w:numPr>
                <w:ilvl w:val="0"/>
                <w:numId w:val="44"/>
              </w:numPr>
              <w:jc w:val="both"/>
              <w:rPr>
                <w:rFonts w:asciiTheme="majorHAnsi" w:hAnsiTheme="majorHAnsi"/>
              </w:rPr>
            </w:pPr>
            <w:r w:rsidRPr="00F17973">
              <w:rPr>
                <w:rFonts w:asciiTheme="majorHAnsi" w:hAnsiTheme="majorHAnsi"/>
              </w:rPr>
              <w:t>Identifier les besoins en équipements nécessaires pour assurer le fonctionnement des services minima des recettes au niveau local et soumettre au projet pour achat après validation des administrations ;</w:t>
            </w:r>
          </w:p>
          <w:p w:rsidR="007C5AEC" w:rsidRPr="00F17973" w:rsidRDefault="007C5AEC" w:rsidP="007C5AEC">
            <w:pPr>
              <w:pStyle w:val="Paragraphedeliste"/>
              <w:numPr>
                <w:ilvl w:val="0"/>
                <w:numId w:val="44"/>
              </w:numPr>
              <w:jc w:val="both"/>
              <w:rPr>
                <w:rFonts w:asciiTheme="majorHAnsi" w:hAnsiTheme="majorHAnsi"/>
              </w:rPr>
            </w:pPr>
            <w:r w:rsidRPr="00F17973">
              <w:rPr>
                <w:rFonts w:asciiTheme="majorHAnsi" w:hAnsiTheme="majorHAnsi"/>
              </w:rPr>
              <w:t xml:space="preserve">Elaborer un projet de plan de renforcement des capacités pour former les agents commis à cette tâche. </w:t>
            </w:r>
          </w:p>
          <w:p w:rsidR="007C5AEC" w:rsidRPr="00F17973" w:rsidRDefault="007C5AEC" w:rsidP="007C5AEC">
            <w:pPr>
              <w:ind w:left="360"/>
              <w:jc w:val="both"/>
              <w:rPr>
                <w:rFonts w:asciiTheme="majorHAnsi" w:hAnsiTheme="majorHAnsi"/>
              </w:rPr>
            </w:pPr>
          </w:p>
          <w:p w:rsidR="007C5AEC" w:rsidRPr="00F17973" w:rsidRDefault="007C5AEC" w:rsidP="007C5AEC">
            <w:pPr>
              <w:jc w:val="both"/>
              <w:rPr>
                <w:rFonts w:asciiTheme="majorHAnsi" w:hAnsiTheme="majorHAnsi"/>
              </w:rPr>
            </w:pPr>
            <w:r w:rsidRPr="00F17973">
              <w:rPr>
                <w:rFonts w:asciiTheme="majorHAnsi" w:hAnsiTheme="majorHAnsi"/>
              </w:rPr>
              <w:t>Ce diagnostic visera à apporter les réponses aux questions suivantes :</w:t>
            </w:r>
          </w:p>
          <w:p w:rsidR="007C5AEC" w:rsidRPr="00F17973" w:rsidRDefault="007C5AEC" w:rsidP="007C5AEC">
            <w:pPr>
              <w:pStyle w:val="Paragraphedeliste"/>
              <w:ind w:left="0"/>
              <w:jc w:val="both"/>
              <w:rPr>
                <w:rFonts w:asciiTheme="majorHAnsi" w:hAnsiTheme="majorHAnsi"/>
              </w:rPr>
            </w:pPr>
          </w:p>
          <w:p w:rsidR="007C5AEC" w:rsidRPr="00F17973" w:rsidRDefault="007C5AEC" w:rsidP="007C5AEC">
            <w:pPr>
              <w:pStyle w:val="Paragraphedeliste"/>
              <w:numPr>
                <w:ilvl w:val="0"/>
                <w:numId w:val="45"/>
              </w:numPr>
              <w:jc w:val="both"/>
              <w:rPr>
                <w:rFonts w:asciiTheme="majorHAnsi" w:hAnsiTheme="majorHAnsi"/>
              </w:rPr>
            </w:pPr>
            <w:r w:rsidRPr="00F17973">
              <w:rPr>
                <w:rFonts w:asciiTheme="majorHAnsi" w:hAnsiTheme="majorHAnsi"/>
              </w:rPr>
              <w:t>Quels sont les facteurs explicatifs des faibles performances du circuit de collecte des recettes locales existant dans les ETD cibles ?</w:t>
            </w:r>
          </w:p>
          <w:p w:rsidR="007C5AEC" w:rsidRPr="00F17973" w:rsidRDefault="007C5AEC" w:rsidP="007C5AEC">
            <w:pPr>
              <w:pStyle w:val="Paragraphedeliste"/>
              <w:numPr>
                <w:ilvl w:val="0"/>
                <w:numId w:val="45"/>
              </w:numPr>
              <w:jc w:val="both"/>
              <w:rPr>
                <w:rFonts w:asciiTheme="majorHAnsi" w:hAnsiTheme="majorHAnsi"/>
              </w:rPr>
            </w:pPr>
            <w:r w:rsidRPr="00F17973">
              <w:rPr>
                <w:rFonts w:asciiTheme="majorHAnsi" w:hAnsiTheme="majorHAnsi"/>
              </w:rPr>
              <w:t>Comment restructurer les circuits de collecte des recettes locales pour les rendre efficaces et augmenter leurs rendements de manière à soutenir un développement local tout en autonomisant le fonctionnement du secteur ?</w:t>
            </w:r>
          </w:p>
          <w:p w:rsidR="007C5AEC" w:rsidRPr="00F17973" w:rsidRDefault="007C5AEC" w:rsidP="007C5AEC">
            <w:pPr>
              <w:pStyle w:val="Paragraphedeliste"/>
              <w:numPr>
                <w:ilvl w:val="0"/>
                <w:numId w:val="45"/>
              </w:numPr>
              <w:jc w:val="both"/>
              <w:rPr>
                <w:rFonts w:asciiTheme="majorHAnsi" w:hAnsiTheme="majorHAnsi"/>
              </w:rPr>
            </w:pPr>
            <w:r w:rsidRPr="00F17973">
              <w:rPr>
                <w:rFonts w:asciiTheme="majorHAnsi" w:hAnsiTheme="majorHAnsi"/>
              </w:rPr>
              <w:lastRenderedPageBreak/>
              <w:t>Quelle administration locale adéquate pour assurer une bonne gestion des recettes et quelle expertise l’ETD a besoin pour renforcer sa capacité de mobilisation et de gestion des ressources mobilisées ?</w:t>
            </w:r>
          </w:p>
          <w:p w:rsidR="007C5AEC" w:rsidRPr="00F17973" w:rsidRDefault="007C5AEC" w:rsidP="007C5AEC">
            <w:pPr>
              <w:jc w:val="both"/>
              <w:rPr>
                <w:rFonts w:asciiTheme="majorHAnsi" w:hAnsiTheme="majorHAnsi"/>
              </w:rPr>
            </w:pPr>
          </w:p>
          <w:p w:rsidR="007C5AEC" w:rsidRPr="00F17973" w:rsidRDefault="007C5AEC" w:rsidP="007C5AEC">
            <w:pPr>
              <w:jc w:val="both"/>
              <w:rPr>
                <w:rFonts w:asciiTheme="majorHAnsi" w:hAnsiTheme="majorHAnsi"/>
              </w:rPr>
            </w:pPr>
            <w:r w:rsidRPr="00F17973">
              <w:rPr>
                <w:rFonts w:asciiTheme="majorHAnsi" w:hAnsiTheme="majorHAnsi"/>
              </w:rPr>
              <w:t>La deuxième étape quant à elle consistera à descendre sur terrain dans les trois ETD pour confronter les informations recueillies sur l’état de lieux, affirmer ou infirmer les informations collectées lors de  l’analyse faite lors de l’interaction via NTIC avec les informations complémentaires collectées en étant sur place et ainsi améliorer le rapport d’état des lieux. Cette étape 2 consistera à faire une mise à jour de l’état de lieux, la validation par les parties prenantes et la formation sur le cadre légal (15jours par Entité territoriale décentralisée donc 45 jours).</w:t>
            </w:r>
          </w:p>
          <w:p w:rsidR="007C5AEC" w:rsidRPr="00F17973" w:rsidRDefault="007C5AEC" w:rsidP="007C5AEC">
            <w:pPr>
              <w:jc w:val="both"/>
              <w:rPr>
                <w:rFonts w:asciiTheme="majorHAnsi" w:hAnsiTheme="majorHAnsi"/>
              </w:rPr>
            </w:pPr>
          </w:p>
          <w:p w:rsidR="007C5AEC" w:rsidRPr="00F17973" w:rsidRDefault="007C5AEC" w:rsidP="007C5AEC">
            <w:pPr>
              <w:jc w:val="both"/>
              <w:rPr>
                <w:rFonts w:asciiTheme="majorHAnsi" w:hAnsiTheme="majorHAnsi"/>
              </w:rPr>
            </w:pPr>
            <w:r w:rsidRPr="00F17973">
              <w:rPr>
                <w:rFonts w:asciiTheme="majorHAnsi" w:hAnsiTheme="majorHAnsi"/>
              </w:rPr>
              <w:t>Une fois ces actions réalisées le consultant proposera de :</w:t>
            </w:r>
          </w:p>
          <w:p w:rsidR="007C5AEC" w:rsidRPr="00F17973" w:rsidRDefault="007C5AEC" w:rsidP="007C5AEC">
            <w:pPr>
              <w:pStyle w:val="Paragraphedeliste"/>
              <w:ind w:left="0"/>
              <w:jc w:val="both"/>
              <w:rPr>
                <w:rFonts w:asciiTheme="majorHAnsi" w:hAnsiTheme="majorHAnsi"/>
              </w:rPr>
            </w:pPr>
          </w:p>
          <w:p w:rsidR="007C5AEC" w:rsidRPr="00F17973" w:rsidRDefault="007C5AEC" w:rsidP="007C5AEC">
            <w:pPr>
              <w:pStyle w:val="Paragraphedeliste"/>
              <w:numPr>
                <w:ilvl w:val="0"/>
                <w:numId w:val="44"/>
              </w:numPr>
              <w:jc w:val="both"/>
              <w:rPr>
                <w:rFonts w:asciiTheme="majorHAnsi" w:hAnsiTheme="majorHAnsi"/>
              </w:rPr>
            </w:pPr>
            <w:r w:rsidRPr="00F17973">
              <w:rPr>
                <w:rFonts w:asciiTheme="majorHAnsi" w:hAnsiTheme="majorHAnsi"/>
              </w:rPr>
              <w:t>Restructurer/Structurer les services de collecte des recettes en tenant compte des dispositions légales et réglementaires et des contingences de chaque entité ;</w:t>
            </w:r>
          </w:p>
          <w:p w:rsidR="007C5AEC" w:rsidRPr="00F17973" w:rsidRDefault="007C5AEC" w:rsidP="007C5AEC">
            <w:pPr>
              <w:pStyle w:val="Paragraphedeliste"/>
              <w:numPr>
                <w:ilvl w:val="0"/>
                <w:numId w:val="44"/>
              </w:numPr>
              <w:jc w:val="both"/>
              <w:rPr>
                <w:rFonts w:asciiTheme="majorHAnsi" w:hAnsiTheme="majorHAnsi"/>
              </w:rPr>
            </w:pPr>
            <w:r w:rsidRPr="00F17973">
              <w:rPr>
                <w:rFonts w:asciiTheme="majorHAnsi" w:hAnsiTheme="majorHAnsi"/>
              </w:rPr>
              <w:t>Renforcer les capacités du personnel des services de collecte des recettes dans les ETD cibles et former les agents percepteurs pour la mobilisation et l'encadrement des recettes. A cet effet, un séminaire de formation de 4 jours sera organisé au bénéfice des taxateurs et percepteurs des services restructurés en charge de la collecte des recettes locales par le consultant. Il portera sur les matières suivantes :</w:t>
            </w:r>
          </w:p>
          <w:p w:rsidR="007C5AEC" w:rsidRPr="00F17973" w:rsidRDefault="007C5AEC" w:rsidP="007C5AEC">
            <w:pPr>
              <w:pStyle w:val="Paragraphedeliste"/>
              <w:numPr>
                <w:ilvl w:val="0"/>
                <w:numId w:val="45"/>
              </w:numPr>
              <w:ind w:left="1418" w:hanging="567"/>
              <w:jc w:val="both"/>
              <w:rPr>
                <w:rFonts w:asciiTheme="majorHAnsi" w:hAnsiTheme="majorHAnsi"/>
              </w:rPr>
            </w:pPr>
            <w:r w:rsidRPr="00F17973">
              <w:rPr>
                <w:rFonts w:asciiTheme="majorHAnsi" w:hAnsiTheme="majorHAnsi"/>
              </w:rPr>
              <w:t>Procédures et techniques de recouvrement des impôts et taxes ;</w:t>
            </w:r>
          </w:p>
          <w:p w:rsidR="007C5AEC" w:rsidRPr="00F17973" w:rsidRDefault="007C5AEC" w:rsidP="007C5AEC">
            <w:pPr>
              <w:pStyle w:val="Paragraphedeliste"/>
              <w:numPr>
                <w:ilvl w:val="0"/>
                <w:numId w:val="45"/>
              </w:numPr>
              <w:ind w:left="1418" w:hanging="567"/>
              <w:jc w:val="both"/>
              <w:rPr>
                <w:rFonts w:asciiTheme="majorHAnsi" w:hAnsiTheme="majorHAnsi"/>
              </w:rPr>
            </w:pPr>
            <w:r w:rsidRPr="00F17973">
              <w:rPr>
                <w:rFonts w:asciiTheme="majorHAnsi" w:hAnsiTheme="majorHAnsi"/>
              </w:rPr>
              <w:t>Nomenclature des impôts et taxes des ETD secteurs et chefferies et identification de l’assiette ;</w:t>
            </w:r>
          </w:p>
          <w:p w:rsidR="007C5AEC" w:rsidRPr="00F17973" w:rsidRDefault="007C5AEC" w:rsidP="007C5AEC">
            <w:pPr>
              <w:pStyle w:val="Paragraphedeliste"/>
              <w:numPr>
                <w:ilvl w:val="0"/>
                <w:numId w:val="45"/>
              </w:numPr>
              <w:ind w:left="1418" w:hanging="567"/>
              <w:jc w:val="both"/>
              <w:rPr>
                <w:rFonts w:asciiTheme="majorHAnsi" w:hAnsiTheme="majorHAnsi"/>
              </w:rPr>
            </w:pPr>
            <w:r w:rsidRPr="00F17973">
              <w:rPr>
                <w:rFonts w:asciiTheme="majorHAnsi" w:hAnsiTheme="majorHAnsi"/>
              </w:rPr>
              <w:t>Ethique et déontologie professionnelle ainsi que la lutte contre la corruption.</w:t>
            </w:r>
          </w:p>
          <w:p w:rsidR="007C5AEC" w:rsidRPr="00F17973" w:rsidRDefault="007C5AEC" w:rsidP="007C5AEC">
            <w:pPr>
              <w:jc w:val="both"/>
              <w:rPr>
                <w:rFonts w:asciiTheme="majorHAnsi" w:hAnsiTheme="majorHAnsi"/>
              </w:rPr>
            </w:pPr>
          </w:p>
          <w:p w:rsidR="007C5AEC" w:rsidRPr="00F17973" w:rsidRDefault="007C5AEC" w:rsidP="007C5AEC">
            <w:pPr>
              <w:jc w:val="both"/>
              <w:rPr>
                <w:rFonts w:asciiTheme="majorHAnsi" w:hAnsiTheme="majorHAnsi"/>
              </w:rPr>
            </w:pPr>
            <w:r w:rsidRPr="00F17973">
              <w:rPr>
                <w:rFonts w:asciiTheme="majorHAnsi" w:hAnsiTheme="majorHAnsi"/>
              </w:rPr>
              <w:t>La formation sera clôturée par un exercice d’élaboration d’un plan de mobilisation des recettes locales dans chaque entité et un cadre de prévention et lutte contre la corruption sera proposé avec un engagement formel des acteurs impliqués et le dispositif de redevabilité en collaboration avec la société civile locale.</w:t>
            </w:r>
          </w:p>
          <w:p w:rsidR="007C5AEC" w:rsidRDefault="007C5AEC" w:rsidP="0093254C">
            <w:pPr>
              <w:rPr>
                <w:rFonts w:cstheme="minorHAnsi"/>
                <w:b/>
              </w:rPr>
            </w:pPr>
          </w:p>
        </w:tc>
      </w:tr>
    </w:tbl>
    <w:p w:rsidR="0093254C" w:rsidRPr="00D71E0B" w:rsidRDefault="0093254C" w:rsidP="0093254C">
      <w:pPr>
        <w:spacing w:after="0"/>
        <w:jc w:val="both"/>
        <w:rPr>
          <w:rFonts w:cstheme="minorHAnsi"/>
          <w:b/>
        </w:rPr>
      </w:pPr>
    </w:p>
    <w:p w:rsidR="001F1D56" w:rsidRDefault="00BC2DB6" w:rsidP="001F1D56">
      <w:pPr>
        <w:rPr>
          <w:rFonts w:cstheme="minorHAnsi"/>
          <w:b/>
        </w:rPr>
      </w:pPr>
      <w:r>
        <w:rPr>
          <w:rFonts w:cstheme="minorHAnsi"/>
          <w:b/>
        </w:rPr>
        <w:t>5</w:t>
      </w:r>
      <w:r w:rsidR="001F1D56">
        <w:rPr>
          <w:rFonts w:cstheme="minorHAnsi"/>
          <w:b/>
        </w:rPr>
        <w:t xml:space="preserve">. </w:t>
      </w:r>
      <w:r w:rsidR="001F1D56" w:rsidRPr="001D649D">
        <w:rPr>
          <w:rFonts w:cstheme="minorHAnsi"/>
          <w:b/>
          <w:bCs/>
        </w:rPr>
        <w:t>Qualifications requises</w:t>
      </w:r>
    </w:p>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tblPr>
      <w:tblGrid>
        <w:gridCol w:w="2174"/>
        <w:gridCol w:w="7402"/>
      </w:tblGrid>
      <w:tr w:rsidR="001F1D56" w:rsidRPr="001D649D" w:rsidTr="00A77324">
        <w:trPr>
          <w:jc w:val="center"/>
        </w:trPr>
        <w:tc>
          <w:tcPr>
            <w:tcW w:w="1135" w:type="pct"/>
          </w:tcPr>
          <w:p w:rsidR="001F1D56" w:rsidRPr="001D649D" w:rsidRDefault="001F1D56" w:rsidP="00A77324">
            <w:pPr>
              <w:spacing w:after="0" w:line="240" w:lineRule="auto"/>
              <w:jc w:val="both"/>
              <w:rPr>
                <w:rFonts w:eastAsia="Times New Roman" w:cstheme="minorHAnsi"/>
                <w:b/>
                <w:bCs/>
              </w:rPr>
            </w:pPr>
            <w:r>
              <w:rPr>
                <w:rFonts w:eastAsia="Times New Roman" w:cstheme="minorHAnsi"/>
                <w:b/>
                <w:bCs/>
              </w:rPr>
              <w:t>Education</w:t>
            </w:r>
          </w:p>
        </w:tc>
        <w:tc>
          <w:tcPr>
            <w:tcW w:w="3865" w:type="pct"/>
          </w:tcPr>
          <w:p w:rsidR="00BF7A46" w:rsidRPr="00BF7A46" w:rsidRDefault="00BF7A46" w:rsidP="00BF7A46">
            <w:pPr>
              <w:pStyle w:val="Paragraphedeliste"/>
              <w:spacing w:after="0" w:line="240" w:lineRule="auto"/>
              <w:ind w:left="28"/>
              <w:jc w:val="both"/>
              <w:rPr>
                <w:rFonts w:cstheme="minorHAnsi"/>
              </w:rPr>
            </w:pPr>
            <w:r>
              <w:rPr>
                <w:rFonts w:cstheme="minorHAnsi"/>
              </w:rPr>
              <w:t xml:space="preserve">Master en économie </w:t>
            </w:r>
            <w:r w:rsidR="007D77D5">
              <w:rPr>
                <w:rFonts w:cstheme="minorHAnsi"/>
              </w:rPr>
              <w:t xml:space="preserve">ou équivalent </w:t>
            </w:r>
            <w:r>
              <w:rPr>
                <w:rFonts w:cstheme="minorHAnsi"/>
              </w:rPr>
              <w:t xml:space="preserve">avec une experience avérée en finances publiques </w:t>
            </w:r>
            <w:r w:rsidR="007D77D5">
              <w:rPr>
                <w:rFonts w:cstheme="minorHAnsi"/>
              </w:rPr>
              <w:t>locales, une formation en adragogie serait un atout.</w:t>
            </w:r>
          </w:p>
        </w:tc>
      </w:tr>
      <w:tr w:rsidR="001F1D56" w:rsidRPr="001D649D" w:rsidTr="00A77324">
        <w:trPr>
          <w:jc w:val="center"/>
        </w:trPr>
        <w:tc>
          <w:tcPr>
            <w:tcW w:w="1135" w:type="pct"/>
          </w:tcPr>
          <w:p w:rsidR="001F1D56" w:rsidRPr="001D649D" w:rsidRDefault="001F1D56" w:rsidP="00A77324">
            <w:pPr>
              <w:spacing w:after="0" w:line="240" w:lineRule="auto"/>
              <w:jc w:val="both"/>
              <w:rPr>
                <w:rFonts w:eastAsia="Times New Roman" w:cstheme="minorHAnsi"/>
                <w:b/>
                <w:bCs/>
              </w:rPr>
            </w:pPr>
            <w:r w:rsidRPr="001D649D">
              <w:rPr>
                <w:rFonts w:eastAsia="Times New Roman" w:cstheme="minorHAnsi"/>
                <w:b/>
                <w:bCs/>
              </w:rPr>
              <w:t>Expérience :</w:t>
            </w:r>
          </w:p>
        </w:tc>
        <w:tc>
          <w:tcPr>
            <w:tcW w:w="3865" w:type="pct"/>
          </w:tcPr>
          <w:p w:rsidR="001F1D56" w:rsidRPr="000F4860" w:rsidRDefault="00BF7A46" w:rsidP="00A77324">
            <w:pPr>
              <w:spacing w:after="0" w:line="240" w:lineRule="auto"/>
              <w:jc w:val="both"/>
              <w:rPr>
                <w:rFonts w:cstheme="minorHAnsi"/>
              </w:rPr>
            </w:pPr>
            <w:r>
              <w:rPr>
                <w:rFonts w:cstheme="minorHAnsi"/>
              </w:rPr>
              <w:t xml:space="preserve">5  ans </w:t>
            </w:r>
          </w:p>
        </w:tc>
      </w:tr>
      <w:tr w:rsidR="001F1D56" w:rsidRPr="001D649D" w:rsidTr="00A77324">
        <w:trPr>
          <w:jc w:val="center"/>
        </w:trPr>
        <w:tc>
          <w:tcPr>
            <w:tcW w:w="1135" w:type="pct"/>
          </w:tcPr>
          <w:p w:rsidR="001F1D56" w:rsidRPr="001D649D" w:rsidRDefault="001F1D56" w:rsidP="00A77324">
            <w:pPr>
              <w:spacing w:after="0" w:line="240" w:lineRule="auto"/>
              <w:jc w:val="both"/>
              <w:rPr>
                <w:rFonts w:eastAsia="Times New Roman" w:cstheme="minorHAnsi"/>
                <w:b/>
                <w:bCs/>
              </w:rPr>
            </w:pPr>
            <w:r w:rsidRPr="001D649D">
              <w:rPr>
                <w:rFonts w:eastAsia="Times New Roman" w:cstheme="minorHAnsi"/>
                <w:b/>
                <w:bCs/>
              </w:rPr>
              <w:t>Langues requises :</w:t>
            </w:r>
          </w:p>
        </w:tc>
        <w:tc>
          <w:tcPr>
            <w:tcW w:w="3865" w:type="pct"/>
          </w:tcPr>
          <w:p w:rsidR="001F1D56" w:rsidRPr="001D649D" w:rsidRDefault="00BF7A46" w:rsidP="00BF7A46">
            <w:pPr>
              <w:spacing w:after="0" w:line="240" w:lineRule="auto"/>
              <w:jc w:val="both"/>
              <w:rPr>
                <w:rFonts w:eastAsia="Times New Roman" w:cstheme="minorHAnsi"/>
                <w:b/>
                <w:bCs/>
              </w:rPr>
            </w:pPr>
            <w:r>
              <w:rPr>
                <w:rFonts w:eastAsia="Times New Roman" w:cstheme="minorHAnsi"/>
                <w:b/>
                <w:bCs/>
              </w:rPr>
              <w:t>Français avec une connaissance en langues nationales  Sw</w:t>
            </w:r>
            <w:r w:rsidR="00D81A0B">
              <w:rPr>
                <w:rFonts w:eastAsia="Times New Roman" w:cstheme="minorHAnsi"/>
                <w:b/>
                <w:bCs/>
              </w:rPr>
              <w:t>a</w:t>
            </w:r>
            <w:r>
              <w:rPr>
                <w:rFonts w:eastAsia="Times New Roman" w:cstheme="minorHAnsi"/>
                <w:b/>
                <w:bCs/>
              </w:rPr>
              <w:t>hili et Lingal</w:t>
            </w:r>
            <w:r w:rsidR="00D81A0B">
              <w:rPr>
                <w:rFonts w:eastAsia="Times New Roman" w:cstheme="minorHAnsi"/>
                <w:b/>
                <w:bCs/>
              </w:rPr>
              <w:t>a</w:t>
            </w:r>
          </w:p>
        </w:tc>
      </w:tr>
    </w:tbl>
    <w:p w:rsidR="001F1D56" w:rsidRDefault="001F1D56" w:rsidP="0093254C">
      <w:pPr>
        <w:spacing w:after="0"/>
        <w:jc w:val="both"/>
        <w:rPr>
          <w:rFonts w:cstheme="minorHAnsi"/>
          <w:b/>
        </w:rPr>
      </w:pPr>
    </w:p>
    <w:p w:rsidR="005B0FCA" w:rsidRDefault="005B0FCA" w:rsidP="0093254C">
      <w:pPr>
        <w:spacing w:after="0"/>
        <w:jc w:val="both"/>
        <w:rPr>
          <w:rFonts w:cstheme="minorHAnsi"/>
          <w:b/>
        </w:rPr>
      </w:pPr>
    </w:p>
    <w:p w:rsidR="005B0FCA" w:rsidRDefault="005B0FCA" w:rsidP="0093254C">
      <w:pPr>
        <w:spacing w:after="0"/>
        <w:jc w:val="both"/>
        <w:rPr>
          <w:rFonts w:cstheme="minorHAnsi"/>
          <w:b/>
        </w:rPr>
      </w:pPr>
    </w:p>
    <w:p w:rsidR="00C12769" w:rsidRDefault="00C12769" w:rsidP="0093254C">
      <w:pPr>
        <w:spacing w:after="0"/>
        <w:jc w:val="both"/>
        <w:rPr>
          <w:rFonts w:cstheme="minorHAnsi"/>
          <w:b/>
        </w:rPr>
      </w:pPr>
    </w:p>
    <w:p w:rsidR="00C12769" w:rsidRDefault="00C12769" w:rsidP="0093254C">
      <w:pPr>
        <w:spacing w:after="0"/>
        <w:jc w:val="both"/>
        <w:rPr>
          <w:rFonts w:cstheme="minorHAnsi"/>
          <w:b/>
        </w:rPr>
      </w:pPr>
    </w:p>
    <w:p w:rsidR="005B0FCA" w:rsidRDefault="005B0FCA" w:rsidP="0093254C">
      <w:pPr>
        <w:spacing w:after="0"/>
        <w:jc w:val="both"/>
        <w:rPr>
          <w:rFonts w:cstheme="minorHAnsi"/>
          <w:b/>
        </w:rPr>
      </w:pPr>
    </w:p>
    <w:p w:rsidR="005B0FCA" w:rsidRDefault="005B0FCA" w:rsidP="0093254C">
      <w:pPr>
        <w:spacing w:after="0"/>
        <w:jc w:val="both"/>
        <w:rPr>
          <w:rFonts w:cstheme="minorHAnsi"/>
          <w:b/>
        </w:rPr>
      </w:pPr>
    </w:p>
    <w:p w:rsidR="007C5AEC" w:rsidRPr="007C5AEC" w:rsidRDefault="00BC2DB6" w:rsidP="0093254C">
      <w:pPr>
        <w:spacing w:after="0"/>
        <w:jc w:val="both"/>
        <w:rPr>
          <w:rFonts w:cstheme="minorHAnsi"/>
          <w:b/>
          <w:bCs/>
        </w:rPr>
      </w:pPr>
      <w:r>
        <w:rPr>
          <w:rFonts w:cstheme="minorHAnsi"/>
          <w:b/>
        </w:rPr>
        <w:lastRenderedPageBreak/>
        <w:t>6</w:t>
      </w:r>
      <w:r w:rsidR="0093254C" w:rsidRPr="00D71E0B">
        <w:rPr>
          <w:rFonts w:cstheme="minorHAnsi"/>
          <w:b/>
        </w:rPr>
        <w:t xml:space="preserve">. </w:t>
      </w:r>
      <w:r w:rsidR="0085182B">
        <w:rPr>
          <w:rFonts w:cstheme="minorHAnsi"/>
          <w:b/>
        </w:rPr>
        <w:t>Personnes conviées</w:t>
      </w:r>
      <w:r w:rsidR="00584A44">
        <w:rPr>
          <w:rFonts w:cstheme="minorHAnsi"/>
          <w:b/>
        </w:rPr>
        <w:t xml:space="preserve"> à l’activité</w:t>
      </w:r>
    </w:p>
    <w:p w:rsidR="0093254C" w:rsidRPr="0085182B" w:rsidRDefault="0093254C" w:rsidP="0085182B">
      <w:pPr>
        <w:spacing w:after="0"/>
        <w:jc w:val="both"/>
        <w:rPr>
          <w:rFonts w:cstheme="minorHAnsi"/>
        </w:rPr>
      </w:pPr>
    </w:p>
    <w:tbl>
      <w:tblPr>
        <w:tblStyle w:val="Grilledutableau"/>
        <w:tblW w:w="0" w:type="auto"/>
        <w:tblLook w:val="04A0"/>
      </w:tblPr>
      <w:tblGrid>
        <w:gridCol w:w="9350"/>
      </w:tblGrid>
      <w:tr w:rsidR="0085182B" w:rsidTr="0085182B">
        <w:tc>
          <w:tcPr>
            <w:tcW w:w="9350" w:type="dxa"/>
          </w:tcPr>
          <w:p w:rsidR="0085182B" w:rsidRPr="00F17973" w:rsidRDefault="0085182B" w:rsidP="0085182B">
            <w:pPr>
              <w:pStyle w:val="Corpsdetexte"/>
              <w:rPr>
                <w:rFonts w:asciiTheme="majorHAnsi" w:hAnsiTheme="majorHAnsi"/>
              </w:rPr>
            </w:pPr>
            <w:r w:rsidRPr="00F17973">
              <w:rPr>
                <w:rFonts w:asciiTheme="majorHAnsi" w:hAnsiTheme="majorHAnsi"/>
              </w:rPr>
              <w:t>Pour mener à bon port l’activité projetée dans chaque entité les personnes suivantes seront concernées :</w:t>
            </w:r>
          </w:p>
          <w:p w:rsidR="0085182B" w:rsidRPr="00F17973" w:rsidRDefault="0085182B" w:rsidP="0085182B">
            <w:pPr>
              <w:pStyle w:val="Corpsdetexte"/>
              <w:numPr>
                <w:ilvl w:val="0"/>
                <w:numId w:val="45"/>
              </w:numPr>
              <w:spacing w:after="0"/>
              <w:jc w:val="both"/>
              <w:rPr>
                <w:rFonts w:asciiTheme="majorHAnsi" w:hAnsiTheme="majorHAnsi"/>
              </w:rPr>
            </w:pPr>
            <w:r w:rsidRPr="00F17973">
              <w:rPr>
                <w:rFonts w:asciiTheme="majorHAnsi" w:hAnsiTheme="majorHAnsi"/>
                <w:i/>
                <w:u w:val="single"/>
              </w:rPr>
              <w:t>Confirmation et restitution du diagnostic</w:t>
            </w:r>
            <w:r w:rsidRPr="00F17973">
              <w:rPr>
                <w:rFonts w:asciiTheme="majorHAnsi" w:hAnsiTheme="majorHAnsi"/>
              </w:rPr>
              <w:t> (3 Jour):</w:t>
            </w:r>
          </w:p>
          <w:p w:rsidR="0085182B" w:rsidRPr="00F17973" w:rsidRDefault="0085182B" w:rsidP="0085182B">
            <w:pPr>
              <w:pStyle w:val="Corpsdetexte"/>
              <w:ind w:left="720"/>
              <w:rPr>
                <w:rFonts w:asciiTheme="majorHAnsi" w:hAnsiTheme="majorHAnsi"/>
              </w:rPr>
            </w:pPr>
          </w:p>
          <w:p w:rsidR="0085182B" w:rsidRPr="00F17973" w:rsidRDefault="0085182B" w:rsidP="0085182B">
            <w:pPr>
              <w:pStyle w:val="Corpsdetexte"/>
              <w:numPr>
                <w:ilvl w:val="0"/>
                <w:numId w:val="46"/>
              </w:numPr>
              <w:spacing w:after="0"/>
              <w:jc w:val="both"/>
              <w:rPr>
                <w:rFonts w:asciiTheme="majorHAnsi" w:hAnsiTheme="majorHAnsi"/>
              </w:rPr>
            </w:pPr>
            <w:r w:rsidRPr="00F17973">
              <w:rPr>
                <w:rFonts w:asciiTheme="majorHAnsi" w:hAnsiTheme="majorHAnsi"/>
              </w:rPr>
              <w:t>L’ordonnateur du budget ;</w:t>
            </w:r>
          </w:p>
          <w:p w:rsidR="0085182B" w:rsidRPr="00F17973" w:rsidRDefault="0085182B" w:rsidP="0085182B">
            <w:pPr>
              <w:pStyle w:val="Corpsdetexte"/>
              <w:numPr>
                <w:ilvl w:val="0"/>
                <w:numId w:val="46"/>
              </w:numPr>
              <w:spacing w:after="0"/>
              <w:jc w:val="both"/>
              <w:rPr>
                <w:rFonts w:asciiTheme="majorHAnsi" w:hAnsiTheme="majorHAnsi"/>
              </w:rPr>
            </w:pPr>
            <w:r w:rsidRPr="00F17973">
              <w:rPr>
                <w:rFonts w:asciiTheme="majorHAnsi" w:hAnsiTheme="majorHAnsi"/>
              </w:rPr>
              <w:t>Le receveur comptable des recettes ;</w:t>
            </w:r>
          </w:p>
          <w:p w:rsidR="0085182B" w:rsidRPr="00F17973" w:rsidRDefault="0085182B" w:rsidP="0085182B">
            <w:pPr>
              <w:pStyle w:val="Corpsdetexte"/>
              <w:numPr>
                <w:ilvl w:val="0"/>
                <w:numId w:val="46"/>
              </w:numPr>
              <w:spacing w:after="0"/>
              <w:jc w:val="both"/>
              <w:rPr>
                <w:rFonts w:asciiTheme="majorHAnsi" w:hAnsiTheme="majorHAnsi"/>
              </w:rPr>
            </w:pPr>
            <w:r w:rsidRPr="00F17973">
              <w:rPr>
                <w:rFonts w:asciiTheme="majorHAnsi" w:hAnsiTheme="majorHAnsi"/>
              </w:rPr>
              <w:t>Le superviseur des recettes ;</w:t>
            </w:r>
          </w:p>
          <w:p w:rsidR="0085182B" w:rsidRPr="00F17973" w:rsidRDefault="0085182B" w:rsidP="0085182B">
            <w:pPr>
              <w:pStyle w:val="Corpsdetexte"/>
              <w:numPr>
                <w:ilvl w:val="0"/>
                <w:numId w:val="46"/>
              </w:numPr>
              <w:spacing w:after="0"/>
              <w:jc w:val="both"/>
              <w:rPr>
                <w:rFonts w:asciiTheme="majorHAnsi" w:hAnsiTheme="majorHAnsi"/>
              </w:rPr>
            </w:pPr>
            <w:r w:rsidRPr="00F17973">
              <w:rPr>
                <w:rFonts w:asciiTheme="majorHAnsi" w:hAnsiTheme="majorHAnsi"/>
              </w:rPr>
              <w:t>Les chefs des groupements (de 3 ETD)</w:t>
            </w:r>
          </w:p>
          <w:p w:rsidR="0085182B" w:rsidRPr="00F17973" w:rsidRDefault="0085182B" w:rsidP="0085182B">
            <w:pPr>
              <w:pStyle w:val="Corpsdetexte"/>
              <w:numPr>
                <w:ilvl w:val="0"/>
                <w:numId w:val="46"/>
              </w:numPr>
              <w:spacing w:after="0"/>
              <w:jc w:val="both"/>
              <w:rPr>
                <w:rFonts w:asciiTheme="majorHAnsi" w:hAnsiTheme="majorHAnsi"/>
              </w:rPr>
            </w:pPr>
            <w:r w:rsidRPr="00F17973">
              <w:rPr>
                <w:rFonts w:asciiTheme="majorHAnsi" w:hAnsiTheme="majorHAnsi"/>
              </w:rPr>
              <w:t>Les percepteurs/taxateurs en place (10) ;</w:t>
            </w:r>
          </w:p>
          <w:p w:rsidR="0085182B" w:rsidRPr="00F17973" w:rsidRDefault="0085182B" w:rsidP="0085182B">
            <w:pPr>
              <w:pStyle w:val="Corpsdetexte"/>
              <w:numPr>
                <w:ilvl w:val="0"/>
                <w:numId w:val="46"/>
              </w:numPr>
              <w:spacing w:after="0"/>
              <w:jc w:val="both"/>
              <w:rPr>
                <w:rFonts w:asciiTheme="majorHAnsi" w:hAnsiTheme="majorHAnsi"/>
              </w:rPr>
            </w:pPr>
            <w:r w:rsidRPr="00F17973">
              <w:rPr>
                <w:rFonts w:asciiTheme="majorHAnsi" w:hAnsiTheme="majorHAnsi"/>
              </w:rPr>
              <w:t>Les membres de la coordination locale de la société civile (2 par ETD dont 1 femme) ;</w:t>
            </w:r>
          </w:p>
          <w:p w:rsidR="0085182B" w:rsidRPr="00F17973" w:rsidRDefault="0085182B" w:rsidP="0085182B">
            <w:pPr>
              <w:pStyle w:val="Corpsdetexte"/>
              <w:numPr>
                <w:ilvl w:val="0"/>
                <w:numId w:val="46"/>
              </w:numPr>
              <w:spacing w:after="0"/>
              <w:jc w:val="both"/>
              <w:rPr>
                <w:rFonts w:asciiTheme="majorHAnsi" w:hAnsiTheme="majorHAnsi"/>
              </w:rPr>
            </w:pPr>
            <w:r w:rsidRPr="00F17973">
              <w:rPr>
                <w:rFonts w:asciiTheme="majorHAnsi" w:hAnsiTheme="majorHAnsi"/>
              </w:rPr>
              <w:t>Les représentants des corporations professionnelles (2 par ETD dont 1 femme) ;</w:t>
            </w:r>
          </w:p>
          <w:p w:rsidR="0085182B" w:rsidRPr="00F17973" w:rsidRDefault="0085182B" w:rsidP="0085182B">
            <w:pPr>
              <w:pStyle w:val="Corpsdetexte"/>
              <w:numPr>
                <w:ilvl w:val="0"/>
                <w:numId w:val="46"/>
              </w:numPr>
              <w:spacing w:after="0"/>
              <w:jc w:val="both"/>
              <w:rPr>
                <w:rFonts w:asciiTheme="majorHAnsi" w:hAnsiTheme="majorHAnsi"/>
              </w:rPr>
            </w:pPr>
            <w:r w:rsidRPr="00F17973">
              <w:rPr>
                <w:rFonts w:asciiTheme="majorHAnsi" w:hAnsiTheme="majorHAnsi"/>
              </w:rPr>
              <w:t>Les membres des comités des marchés locaux (2 par ETD dont 1 femme) ; </w:t>
            </w:r>
          </w:p>
          <w:p w:rsidR="0085182B" w:rsidRPr="00F17973" w:rsidRDefault="0085182B" w:rsidP="0085182B">
            <w:pPr>
              <w:pStyle w:val="Corpsdetexte"/>
              <w:ind w:left="720"/>
              <w:rPr>
                <w:rFonts w:asciiTheme="majorHAnsi" w:hAnsiTheme="majorHAnsi"/>
              </w:rPr>
            </w:pPr>
          </w:p>
          <w:p w:rsidR="0085182B" w:rsidRPr="00F17973" w:rsidRDefault="0085182B" w:rsidP="0085182B">
            <w:pPr>
              <w:pStyle w:val="Corpsdetexte"/>
              <w:numPr>
                <w:ilvl w:val="0"/>
                <w:numId w:val="45"/>
              </w:numPr>
              <w:spacing w:after="0"/>
              <w:jc w:val="both"/>
              <w:rPr>
                <w:rFonts w:asciiTheme="majorHAnsi" w:hAnsiTheme="majorHAnsi"/>
              </w:rPr>
            </w:pPr>
            <w:r w:rsidRPr="00F17973">
              <w:rPr>
                <w:rFonts w:asciiTheme="majorHAnsi" w:hAnsiTheme="majorHAnsi"/>
                <w:i/>
                <w:u w:val="single"/>
              </w:rPr>
              <w:t xml:space="preserve">Formation </w:t>
            </w:r>
            <w:r w:rsidRPr="00F17973">
              <w:rPr>
                <w:rFonts w:asciiTheme="majorHAnsi" w:hAnsiTheme="majorHAnsi"/>
              </w:rPr>
              <w:t>(4 jours) :</w:t>
            </w:r>
          </w:p>
          <w:p w:rsidR="0085182B" w:rsidRPr="00F17973" w:rsidRDefault="0085182B" w:rsidP="0085182B">
            <w:pPr>
              <w:pStyle w:val="Corpsdetexte"/>
              <w:ind w:left="720"/>
              <w:rPr>
                <w:rFonts w:asciiTheme="majorHAnsi" w:hAnsiTheme="majorHAnsi"/>
              </w:rPr>
            </w:pPr>
          </w:p>
          <w:p w:rsidR="0085182B" w:rsidRPr="00F17973" w:rsidRDefault="0085182B" w:rsidP="0085182B">
            <w:pPr>
              <w:pStyle w:val="Corpsdetexte"/>
              <w:numPr>
                <w:ilvl w:val="0"/>
                <w:numId w:val="47"/>
              </w:numPr>
              <w:spacing w:after="0"/>
              <w:jc w:val="both"/>
              <w:rPr>
                <w:rFonts w:asciiTheme="majorHAnsi" w:hAnsiTheme="majorHAnsi"/>
              </w:rPr>
            </w:pPr>
            <w:r w:rsidRPr="00F17973">
              <w:rPr>
                <w:rFonts w:asciiTheme="majorHAnsi" w:hAnsiTheme="majorHAnsi"/>
              </w:rPr>
              <w:t>L’ordonnateur du budget ;</w:t>
            </w:r>
          </w:p>
          <w:p w:rsidR="0085182B" w:rsidRPr="00F17973" w:rsidRDefault="0085182B" w:rsidP="0085182B">
            <w:pPr>
              <w:pStyle w:val="Corpsdetexte"/>
              <w:numPr>
                <w:ilvl w:val="0"/>
                <w:numId w:val="47"/>
              </w:numPr>
              <w:spacing w:after="0"/>
              <w:jc w:val="both"/>
              <w:rPr>
                <w:rFonts w:asciiTheme="majorHAnsi" w:hAnsiTheme="majorHAnsi"/>
              </w:rPr>
            </w:pPr>
            <w:r w:rsidRPr="00F17973">
              <w:rPr>
                <w:rFonts w:asciiTheme="majorHAnsi" w:hAnsiTheme="majorHAnsi"/>
              </w:rPr>
              <w:t>Le comptable public principal assignataire des recettes ;</w:t>
            </w:r>
          </w:p>
          <w:p w:rsidR="0085182B" w:rsidRPr="00F17973" w:rsidRDefault="0085182B" w:rsidP="0085182B">
            <w:pPr>
              <w:pStyle w:val="Corpsdetexte"/>
              <w:numPr>
                <w:ilvl w:val="0"/>
                <w:numId w:val="47"/>
              </w:numPr>
              <w:spacing w:after="0"/>
              <w:jc w:val="both"/>
              <w:rPr>
                <w:rFonts w:asciiTheme="majorHAnsi" w:hAnsiTheme="majorHAnsi"/>
              </w:rPr>
            </w:pPr>
            <w:r w:rsidRPr="00F17973">
              <w:rPr>
                <w:rFonts w:asciiTheme="majorHAnsi" w:hAnsiTheme="majorHAnsi"/>
              </w:rPr>
              <w:t>L’ordonnateur délégué des recettes ;</w:t>
            </w:r>
          </w:p>
          <w:p w:rsidR="0085182B" w:rsidRPr="00F17973" w:rsidRDefault="0085182B" w:rsidP="0085182B">
            <w:pPr>
              <w:pStyle w:val="Corpsdetexte"/>
              <w:numPr>
                <w:ilvl w:val="0"/>
                <w:numId w:val="47"/>
              </w:numPr>
              <w:spacing w:after="0"/>
              <w:jc w:val="both"/>
              <w:rPr>
                <w:rFonts w:asciiTheme="majorHAnsi" w:hAnsiTheme="majorHAnsi"/>
              </w:rPr>
            </w:pPr>
            <w:r w:rsidRPr="00F17973">
              <w:rPr>
                <w:rFonts w:asciiTheme="majorHAnsi" w:hAnsiTheme="majorHAnsi"/>
              </w:rPr>
              <w:t>Les chefs des groupements constitutifs de 3 ETD cibles ;</w:t>
            </w:r>
          </w:p>
          <w:p w:rsidR="0085182B" w:rsidRPr="00F17973" w:rsidRDefault="0085182B" w:rsidP="0085182B">
            <w:pPr>
              <w:pStyle w:val="Corpsdetexte"/>
              <w:numPr>
                <w:ilvl w:val="0"/>
                <w:numId w:val="47"/>
              </w:numPr>
              <w:spacing w:after="0"/>
              <w:jc w:val="both"/>
              <w:rPr>
                <w:rFonts w:asciiTheme="majorHAnsi" w:hAnsiTheme="majorHAnsi"/>
              </w:rPr>
            </w:pPr>
            <w:r w:rsidRPr="00F17973">
              <w:rPr>
                <w:rFonts w:asciiTheme="majorHAnsi" w:hAnsiTheme="majorHAnsi"/>
              </w:rPr>
              <w:t>Les taxateurs et percepteurs nouvellement affectés (10 par ETD).</w:t>
            </w:r>
          </w:p>
          <w:p w:rsidR="0085182B" w:rsidRDefault="0085182B" w:rsidP="0093254C">
            <w:pPr>
              <w:jc w:val="both"/>
              <w:rPr>
                <w:rFonts w:cstheme="minorHAnsi"/>
              </w:rPr>
            </w:pPr>
          </w:p>
        </w:tc>
      </w:tr>
    </w:tbl>
    <w:p w:rsidR="0093254C" w:rsidRPr="00D71E0B" w:rsidRDefault="0093254C" w:rsidP="0093254C">
      <w:pPr>
        <w:spacing w:after="0"/>
        <w:jc w:val="both"/>
        <w:rPr>
          <w:rFonts w:cstheme="minorHAnsi"/>
        </w:rPr>
      </w:pPr>
    </w:p>
    <w:p w:rsidR="0093254C" w:rsidRDefault="00BC2DB6" w:rsidP="0093254C">
      <w:pPr>
        <w:rPr>
          <w:rFonts w:cstheme="minorHAnsi"/>
          <w:b/>
        </w:rPr>
      </w:pPr>
      <w:bookmarkStart w:id="1" w:name="_Hlk29215072"/>
      <w:r>
        <w:rPr>
          <w:rFonts w:cstheme="minorHAnsi"/>
          <w:b/>
        </w:rPr>
        <w:t>7</w:t>
      </w:r>
      <w:r w:rsidR="0093254C" w:rsidRPr="00D71E0B">
        <w:rPr>
          <w:rFonts w:cstheme="minorHAnsi"/>
          <w:b/>
        </w:rPr>
        <w:t xml:space="preserve">. </w:t>
      </w:r>
      <w:r w:rsidR="0085182B">
        <w:rPr>
          <w:rFonts w:cstheme="minorHAnsi"/>
          <w:b/>
        </w:rPr>
        <w:t>Calendrier de l</w:t>
      </w:r>
      <w:r w:rsidR="00584A44">
        <w:rPr>
          <w:rFonts w:cstheme="minorHAnsi"/>
          <w:b/>
        </w:rPr>
        <w:t>’activité</w:t>
      </w:r>
    </w:p>
    <w:tbl>
      <w:tblPr>
        <w:tblStyle w:val="Grilledutableau"/>
        <w:tblW w:w="9351" w:type="dxa"/>
        <w:tblLook w:val="04A0"/>
      </w:tblPr>
      <w:tblGrid>
        <w:gridCol w:w="1101"/>
        <w:gridCol w:w="4110"/>
        <w:gridCol w:w="2410"/>
        <w:gridCol w:w="1730"/>
      </w:tblGrid>
      <w:tr w:rsidR="0085182B" w:rsidRPr="00F17973" w:rsidTr="0085182B">
        <w:tc>
          <w:tcPr>
            <w:tcW w:w="1101" w:type="dxa"/>
          </w:tcPr>
          <w:p w:rsidR="0085182B" w:rsidRPr="00F17973" w:rsidRDefault="0085182B" w:rsidP="000050A6">
            <w:pPr>
              <w:pStyle w:val="Corpsdetexte"/>
              <w:rPr>
                <w:rFonts w:asciiTheme="majorHAnsi" w:hAnsiTheme="majorHAnsi"/>
              </w:rPr>
            </w:pPr>
            <w:r w:rsidRPr="00F17973">
              <w:rPr>
                <w:rFonts w:asciiTheme="majorHAnsi" w:hAnsiTheme="majorHAnsi"/>
              </w:rPr>
              <w:t>Jours</w:t>
            </w:r>
          </w:p>
        </w:tc>
        <w:tc>
          <w:tcPr>
            <w:tcW w:w="4110" w:type="dxa"/>
          </w:tcPr>
          <w:p w:rsidR="0085182B" w:rsidRPr="00F17973" w:rsidRDefault="0085182B" w:rsidP="000050A6">
            <w:pPr>
              <w:pStyle w:val="Corpsdetexte"/>
              <w:rPr>
                <w:rFonts w:asciiTheme="majorHAnsi" w:hAnsiTheme="majorHAnsi"/>
              </w:rPr>
            </w:pPr>
            <w:r w:rsidRPr="00F17973">
              <w:rPr>
                <w:rFonts w:asciiTheme="majorHAnsi" w:hAnsiTheme="majorHAnsi"/>
              </w:rPr>
              <w:t>Taches</w:t>
            </w:r>
          </w:p>
        </w:tc>
        <w:tc>
          <w:tcPr>
            <w:tcW w:w="2410" w:type="dxa"/>
          </w:tcPr>
          <w:p w:rsidR="0085182B" w:rsidRPr="00F17973" w:rsidRDefault="0085182B" w:rsidP="000050A6">
            <w:pPr>
              <w:pStyle w:val="Corpsdetexte"/>
              <w:rPr>
                <w:rFonts w:asciiTheme="majorHAnsi" w:hAnsiTheme="majorHAnsi"/>
              </w:rPr>
            </w:pPr>
            <w:r w:rsidRPr="00F17973">
              <w:rPr>
                <w:rFonts w:asciiTheme="majorHAnsi" w:hAnsiTheme="majorHAnsi"/>
              </w:rPr>
              <w:t>Responsable</w:t>
            </w:r>
          </w:p>
        </w:tc>
        <w:tc>
          <w:tcPr>
            <w:tcW w:w="1730" w:type="dxa"/>
          </w:tcPr>
          <w:p w:rsidR="0085182B" w:rsidRPr="00F17973" w:rsidRDefault="0085182B" w:rsidP="000050A6">
            <w:pPr>
              <w:pStyle w:val="Corpsdetexte"/>
              <w:rPr>
                <w:rFonts w:asciiTheme="majorHAnsi" w:hAnsiTheme="majorHAnsi"/>
              </w:rPr>
            </w:pPr>
            <w:r w:rsidRPr="00F17973">
              <w:rPr>
                <w:rFonts w:asciiTheme="majorHAnsi" w:hAnsiTheme="majorHAnsi"/>
              </w:rPr>
              <w:t>Observation</w:t>
            </w:r>
          </w:p>
        </w:tc>
      </w:tr>
      <w:tr w:rsidR="0085182B" w:rsidRPr="00F17973" w:rsidTr="0085182B">
        <w:tc>
          <w:tcPr>
            <w:tcW w:w="1101" w:type="dxa"/>
          </w:tcPr>
          <w:p w:rsidR="0085182B" w:rsidRPr="00F17973" w:rsidRDefault="0085182B" w:rsidP="000050A6">
            <w:pPr>
              <w:pStyle w:val="Corpsdetexte"/>
              <w:rPr>
                <w:rFonts w:asciiTheme="majorHAnsi" w:hAnsiTheme="majorHAnsi"/>
              </w:rPr>
            </w:pPr>
            <w:r w:rsidRPr="00F17973">
              <w:rPr>
                <w:rFonts w:asciiTheme="majorHAnsi" w:hAnsiTheme="majorHAnsi"/>
              </w:rPr>
              <w:t>1</w:t>
            </w:r>
            <w:r w:rsidRPr="00F17973">
              <w:rPr>
                <w:rFonts w:asciiTheme="majorHAnsi" w:hAnsiTheme="majorHAnsi"/>
                <w:vertAlign w:val="superscript"/>
              </w:rPr>
              <w:t>er</w:t>
            </w:r>
            <w:r w:rsidRPr="00F17973">
              <w:rPr>
                <w:rFonts w:asciiTheme="majorHAnsi" w:hAnsiTheme="majorHAnsi"/>
              </w:rPr>
              <w:t xml:space="preserve"> jour</w:t>
            </w:r>
          </w:p>
        </w:tc>
        <w:tc>
          <w:tcPr>
            <w:tcW w:w="4110" w:type="dxa"/>
          </w:tcPr>
          <w:p w:rsidR="0085182B" w:rsidRPr="00F17973" w:rsidRDefault="0085182B" w:rsidP="000050A6">
            <w:pPr>
              <w:pStyle w:val="Corpsdetexte"/>
              <w:rPr>
                <w:rFonts w:asciiTheme="majorHAnsi" w:hAnsiTheme="majorHAnsi"/>
              </w:rPr>
            </w:pPr>
            <w:r w:rsidRPr="00F17973">
              <w:rPr>
                <w:rFonts w:asciiTheme="majorHAnsi" w:hAnsiTheme="majorHAnsi"/>
              </w:rPr>
              <w:t xml:space="preserve">Voyage aller </w:t>
            </w:r>
          </w:p>
        </w:tc>
        <w:tc>
          <w:tcPr>
            <w:tcW w:w="2410" w:type="dxa"/>
          </w:tcPr>
          <w:p w:rsidR="0085182B" w:rsidRPr="00F17973" w:rsidRDefault="0085182B" w:rsidP="000050A6">
            <w:pPr>
              <w:pStyle w:val="Corpsdetexte"/>
              <w:rPr>
                <w:rFonts w:asciiTheme="majorHAnsi" w:hAnsiTheme="majorHAnsi"/>
              </w:rPr>
            </w:pPr>
            <w:r w:rsidRPr="00F17973">
              <w:rPr>
                <w:rFonts w:asciiTheme="majorHAnsi" w:hAnsiTheme="majorHAnsi"/>
              </w:rPr>
              <w:t>Consultant-Formateur</w:t>
            </w:r>
          </w:p>
        </w:tc>
        <w:tc>
          <w:tcPr>
            <w:tcW w:w="1730" w:type="dxa"/>
          </w:tcPr>
          <w:p w:rsidR="0085182B" w:rsidRPr="00F17973" w:rsidRDefault="0085182B" w:rsidP="000050A6">
            <w:pPr>
              <w:pStyle w:val="Corpsdetexte"/>
              <w:rPr>
                <w:rFonts w:asciiTheme="majorHAnsi" w:hAnsiTheme="majorHAnsi"/>
              </w:rPr>
            </w:pPr>
            <w:r w:rsidRPr="00F17973">
              <w:rPr>
                <w:rFonts w:asciiTheme="majorHAnsi" w:hAnsiTheme="majorHAnsi"/>
              </w:rPr>
              <w:t>2 jours pour Faradje</w:t>
            </w:r>
          </w:p>
        </w:tc>
      </w:tr>
      <w:tr w:rsidR="0085182B" w:rsidRPr="00F17973" w:rsidTr="0085182B">
        <w:tc>
          <w:tcPr>
            <w:tcW w:w="1101" w:type="dxa"/>
          </w:tcPr>
          <w:p w:rsidR="0085182B" w:rsidRPr="00F17973" w:rsidRDefault="0085182B" w:rsidP="000050A6">
            <w:pPr>
              <w:pStyle w:val="Corpsdetexte"/>
              <w:rPr>
                <w:rFonts w:asciiTheme="majorHAnsi" w:hAnsiTheme="majorHAnsi"/>
              </w:rPr>
            </w:pPr>
            <w:r w:rsidRPr="00F17973">
              <w:rPr>
                <w:rFonts w:asciiTheme="majorHAnsi" w:hAnsiTheme="majorHAnsi"/>
              </w:rPr>
              <w:t>2</w:t>
            </w:r>
            <w:r w:rsidRPr="00F17973">
              <w:rPr>
                <w:rFonts w:asciiTheme="majorHAnsi" w:hAnsiTheme="majorHAnsi"/>
                <w:vertAlign w:val="superscript"/>
              </w:rPr>
              <w:t>ème</w:t>
            </w:r>
            <w:r w:rsidRPr="00F17973">
              <w:rPr>
                <w:rFonts w:asciiTheme="majorHAnsi" w:hAnsiTheme="majorHAnsi"/>
              </w:rPr>
              <w:t xml:space="preserve">  jour</w:t>
            </w:r>
          </w:p>
        </w:tc>
        <w:tc>
          <w:tcPr>
            <w:tcW w:w="4110" w:type="dxa"/>
          </w:tcPr>
          <w:p w:rsidR="0085182B" w:rsidRPr="00F17973" w:rsidRDefault="0085182B" w:rsidP="000050A6">
            <w:pPr>
              <w:pStyle w:val="Corpsdetexte"/>
              <w:rPr>
                <w:rFonts w:asciiTheme="majorHAnsi" w:hAnsiTheme="majorHAnsi"/>
              </w:rPr>
            </w:pPr>
            <w:r w:rsidRPr="00F17973">
              <w:rPr>
                <w:rFonts w:asciiTheme="majorHAnsi" w:hAnsiTheme="majorHAnsi"/>
              </w:rPr>
              <w:t>Confirmation données Etude diagnostic</w:t>
            </w:r>
          </w:p>
        </w:tc>
        <w:tc>
          <w:tcPr>
            <w:tcW w:w="2410" w:type="dxa"/>
          </w:tcPr>
          <w:p w:rsidR="0085182B" w:rsidRPr="00F17973" w:rsidRDefault="0085182B" w:rsidP="000050A6">
            <w:pPr>
              <w:pStyle w:val="Corpsdetexte"/>
              <w:rPr>
                <w:rFonts w:asciiTheme="majorHAnsi" w:hAnsiTheme="majorHAnsi"/>
              </w:rPr>
            </w:pPr>
            <w:r w:rsidRPr="00F17973">
              <w:rPr>
                <w:rFonts w:asciiTheme="majorHAnsi" w:hAnsiTheme="majorHAnsi"/>
              </w:rPr>
              <w:t>Consultant-Formateur</w:t>
            </w:r>
          </w:p>
        </w:tc>
        <w:tc>
          <w:tcPr>
            <w:tcW w:w="1730" w:type="dxa"/>
          </w:tcPr>
          <w:p w:rsidR="0085182B" w:rsidRPr="00F17973" w:rsidRDefault="0085182B" w:rsidP="000050A6">
            <w:pPr>
              <w:pStyle w:val="Corpsdetexte"/>
              <w:rPr>
                <w:rFonts w:asciiTheme="majorHAnsi" w:hAnsiTheme="majorHAnsi"/>
              </w:rPr>
            </w:pPr>
          </w:p>
        </w:tc>
      </w:tr>
      <w:tr w:rsidR="0085182B" w:rsidRPr="00F17973" w:rsidTr="0085182B">
        <w:tc>
          <w:tcPr>
            <w:tcW w:w="1101" w:type="dxa"/>
          </w:tcPr>
          <w:p w:rsidR="0085182B" w:rsidRPr="00F17973" w:rsidRDefault="0085182B" w:rsidP="000050A6">
            <w:pPr>
              <w:pStyle w:val="Corpsdetexte"/>
              <w:rPr>
                <w:rFonts w:asciiTheme="majorHAnsi" w:hAnsiTheme="majorHAnsi"/>
              </w:rPr>
            </w:pPr>
            <w:r w:rsidRPr="00F17973">
              <w:rPr>
                <w:rFonts w:asciiTheme="majorHAnsi" w:hAnsiTheme="majorHAnsi"/>
              </w:rPr>
              <w:t>3</w:t>
            </w:r>
            <w:r w:rsidRPr="00F17973">
              <w:rPr>
                <w:rFonts w:asciiTheme="majorHAnsi" w:hAnsiTheme="majorHAnsi"/>
                <w:vertAlign w:val="superscript"/>
              </w:rPr>
              <w:t>ème</w:t>
            </w:r>
            <w:r w:rsidRPr="00F17973">
              <w:rPr>
                <w:rFonts w:asciiTheme="majorHAnsi" w:hAnsiTheme="majorHAnsi"/>
              </w:rPr>
              <w:t xml:space="preserve">  jour</w:t>
            </w:r>
          </w:p>
        </w:tc>
        <w:tc>
          <w:tcPr>
            <w:tcW w:w="4110" w:type="dxa"/>
          </w:tcPr>
          <w:p w:rsidR="0085182B" w:rsidRPr="00F17973" w:rsidRDefault="0085182B" w:rsidP="000050A6">
            <w:pPr>
              <w:pStyle w:val="Corpsdetexte"/>
              <w:rPr>
                <w:rFonts w:asciiTheme="majorHAnsi" w:hAnsiTheme="majorHAnsi"/>
              </w:rPr>
            </w:pPr>
            <w:r w:rsidRPr="00F17973">
              <w:rPr>
                <w:rFonts w:asciiTheme="majorHAnsi" w:hAnsiTheme="majorHAnsi"/>
              </w:rPr>
              <w:t>Confirmation données Etude diagnostic</w:t>
            </w:r>
          </w:p>
        </w:tc>
        <w:tc>
          <w:tcPr>
            <w:tcW w:w="2410" w:type="dxa"/>
          </w:tcPr>
          <w:p w:rsidR="0085182B" w:rsidRPr="00F17973" w:rsidRDefault="0085182B" w:rsidP="000050A6">
            <w:pPr>
              <w:pStyle w:val="Corpsdetexte"/>
              <w:rPr>
                <w:rFonts w:asciiTheme="majorHAnsi" w:hAnsiTheme="majorHAnsi"/>
              </w:rPr>
            </w:pPr>
            <w:r w:rsidRPr="00F17973">
              <w:rPr>
                <w:rFonts w:asciiTheme="majorHAnsi" w:hAnsiTheme="majorHAnsi"/>
              </w:rPr>
              <w:t>Consultant-Formateur</w:t>
            </w:r>
          </w:p>
        </w:tc>
        <w:tc>
          <w:tcPr>
            <w:tcW w:w="1730" w:type="dxa"/>
          </w:tcPr>
          <w:p w:rsidR="0085182B" w:rsidRPr="00F17973" w:rsidRDefault="0085182B" w:rsidP="000050A6">
            <w:pPr>
              <w:pStyle w:val="Corpsdetexte"/>
              <w:rPr>
                <w:rFonts w:asciiTheme="majorHAnsi" w:hAnsiTheme="majorHAnsi"/>
              </w:rPr>
            </w:pPr>
          </w:p>
        </w:tc>
      </w:tr>
      <w:tr w:rsidR="0085182B" w:rsidRPr="00F17973" w:rsidTr="0085182B">
        <w:tc>
          <w:tcPr>
            <w:tcW w:w="1101" w:type="dxa"/>
          </w:tcPr>
          <w:p w:rsidR="0085182B" w:rsidRPr="00F17973" w:rsidRDefault="0085182B" w:rsidP="000050A6">
            <w:pPr>
              <w:pStyle w:val="Corpsdetexte"/>
              <w:rPr>
                <w:rFonts w:asciiTheme="majorHAnsi" w:hAnsiTheme="majorHAnsi"/>
              </w:rPr>
            </w:pPr>
            <w:r w:rsidRPr="00F17973">
              <w:rPr>
                <w:rFonts w:asciiTheme="majorHAnsi" w:hAnsiTheme="majorHAnsi"/>
              </w:rPr>
              <w:t>4</w:t>
            </w:r>
            <w:r w:rsidRPr="00F17973">
              <w:rPr>
                <w:rFonts w:asciiTheme="majorHAnsi" w:hAnsiTheme="majorHAnsi"/>
                <w:vertAlign w:val="superscript"/>
              </w:rPr>
              <w:t>ème</w:t>
            </w:r>
            <w:r w:rsidRPr="00F17973">
              <w:rPr>
                <w:rFonts w:asciiTheme="majorHAnsi" w:hAnsiTheme="majorHAnsi"/>
              </w:rPr>
              <w:t xml:space="preserve">  jour</w:t>
            </w:r>
          </w:p>
        </w:tc>
        <w:tc>
          <w:tcPr>
            <w:tcW w:w="4110" w:type="dxa"/>
          </w:tcPr>
          <w:p w:rsidR="0085182B" w:rsidRPr="00F17973" w:rsidRDefault="0085182B" w:rsidP="000050A6">
            <w:pPr>
              <w:pStyle w:val="Corpsdetexte"/>
              <w:rPr>
                <w:rFonts w:asciiTheme="majorHAnsi" w:hAnsiTheme="majorHAnsi"/>
              </w:rPr>
            </w:pPr>
            <w:r w:rsidRPr="00F17973">
              <w:rPr>
                <w:rFonts w:asciiTheme="majorHAnsi" w:hAnsiTheme="majorHAnsi"/>
              </w:rPr>
              <w:t>Restitution étude et restructuration Sce</w:t>
            </w:r>
          </w:p>
        </w:tc>
        <w:tc>
          <w:tcPr>
            <w:tcW w:w="2410" w:type="dxa"/>
          </w:tcPr>
          <w:p w:rsidR="0085182B" w:rsidRPr="00F17973" w:rsidRDefault="0085182B" w:rsidP="000050A6">
            <w:pPr>
              <w:pStyle w:val="Corpsdetexte"/>
              <w:rPr>
                <w:rFonts w:asciiTheme="majorHAnsi" w:hAnsiTheme="majorHAnsi"/>
              </w:rPr>
            </w:pPr>
            <w:r w:rsidRPr="00F17973">
              <w:rPr>
                <w:rFonts w:asciiTheme="majorHAnsi" w:hAnsiTheme="majorHAnsi"/>
              </w:rPr>
              <w:t>Consultant-Formateur</w:t>
            </w:r>
          </w:p>
        </w:tc>
        <w:tc>
          <w:tcPr>
            <w:tcW w:w="1730" w:type="dxa"/>
          </w:tcPr>
          <w:p w:rsidR="0085182B" w:rsidRPr="00F17973" w:rsidRDefault="0085182B" w:rsidP="000050A6">
            <w:pPr>
              <w:pStyle w:val="Corpsdetexte"/>
              <w:rPr>
                <w:rFonts w:asciiTheme="majorHAnsi" w:hAnsiTheme="majorHAnsi"/>
              </w:rPr>
            </w:pPr>
          </w:p>
        </w:tc>
      </w:tr>
      <w:tr w:rsidR="0085182B" w:rsidRPr="00F17973" w:rsidTr="0085182B">
        <w:tc>
          <w:tcPr>
            <w:tcW w:w="1101" w:type="dxa"/>
          </w:tcPr>
          <w:p w:rsidR="0085182B" w:rsidRPr="00F17973" w:rsidRDefault="0085182B" w:rsidP="000050A6">
            <w:pPr>
              <w:pStyle w:val="Corpsdetexte"/>
              <w:rPr>
                <w:rFonts w:asciiTheme="majorHAnsi" w:hAnsiTheme="majorHAnsi"/>
              </w:rPr>
            </w:pPr>
            <w:r w:rsidRPr="00F17973">
              <w:rPr>
                <w:rFonts w:asciiTheme="majorHAnsi" w:hAnsiTheme="majorHAnsi"/>
              </w:rPr>
              <w:t>5</w:t>
            </w:r>
            <w:r w:rsidRPr="00F17973">
              <w:rPr>
                <w:rFonts w:asciiTheme="majorHAnsi" w:hAnsiTheme="majorHAnsi"/>
                <w:vertAlign w:val="superscript"/>
              </w:rPr>
              <w:t>ème</w:t>
            </w:r>
            <w:r w:rsidRPr="00F17973">
              <w:rPr>
                <w:rFonts w:asciiTheme="majorHAnsi" w:hAnsiTheme="majorHAnsi"/>
              </w:rPr>
              <w:t xml:space="preserve">  jour</w:t>
            </w:r>
          </w:p>
        </w:tc>
        <w:tc>
          <w:tcPr>
            <w:tcW w:w="4110" w:type="dxa"/>
          </w:tcPr>
          <w:p w:rsidR="0085182B" w:rsidRPr="00F17973" w:rsidRDefault="0085182B" w:rsidP="000050A6">
            <w:pPr>
              <w:pStyle w:val="Corpsdetexte"/>
              <w:rPr>
                <w:rFonts w:asciiTheme="majorHAnsi" w:hAnsiTheme="majorHAnsi"/>
              </w:rPr>
            </w:pPr>
            <w:r w:rsidRPr="00F17973">
              <w:rPr>
                <w:rFonts w:asciiTheme="majorHAnsi" w:hAnsiTheme="majorHAnsi"/>
              </w:rPr>
              <w:t>Formation</w:t>
            </w:r>
          </w:p>
        </w:tc>
        <w:tc>
          <w:tcPr>
            <w:tcW w:w="2410" w:type="dxa"/>
          </w:tcPr>
          <w:p w:rsidR="0085182B" w:rsidRPr="00F17973" w:rsidRDefault="0085182B" w:rsidP="000050A6">
            <w:pPr>
              <w:pStyle w:val="Corpsdetexte"/>
              <w:rPr>
                <w:rFonts w:asciiTheme="majorHAnsi" w:hAnsiTheme="majorHAnsi"/>
              </w:rPr>
            </w:pPr>
            <w:r w:rsidRPr="00F17973">
              <w:rPr>
                <w:rFonts w:asciiTheme="majorHAnsi" w:hAnsiTheme="majorHAnsi"/>
              </w:rPr>
              <w:t>Consultant-Formateur</w:t>
            </w:r>
          </w:p>
        </w:tc>
        <w:tc>
          <w:tcPr>
            <w:tcW w:w="1730" w:type="dxa"/>
          </w:tcPr>
          <w:p w:rsidR="0085182B" w:rsidRPr="00F17973" w:rsidRDefault="0085182B" w:rsidP="000050A6">
            <w:pPr>
              <w:pStyle w:val="Corpsdetexte"/>
              <w:rPr>
                <w:rFonts w:asciiTheme="majorHAnsi" w:hAnsiTheme="majorHAnsi"/>
              </w:rPr>
            </w:pPr>
          </w:p>
        </w:tc>
      </w:tr>
      <w:tr w:rsidR="0085182B" w:rsidRPr="00F17973" w:rsidTr="0085182B">
        <w:tc>
          <w:tcPr>
            <w:tcW w:w="1101" w:type="dxa"/>
          </w:tcPr>
          <w:p w:rsidR="0085182B" w:rsidRPr="00F17973" w:rsidRDefault="0085182B" w:rsidP="000050A6">
            <w:pPr>
              <w:pStyle w:val="Corpsdetexte"/>
              <w:rPr>
                <w:rFonts w:asciiTheme="majorHAnsi" w:hAnsiTheme="majorHAnsi"/>
              </w:rPr>
            </w:pPr>
            <w:r w:rsidRPr="00F17973">
              <w:rPr>
                <w:rFonts w:asciiTheme="majorHAnsi" w:hAnsiTheme="majorHAnsi"/>
              </w:rPr>
              <w:t>6</w:t>
            </w:r>
            <w:r w:rsidRPr="00F17973">
              <w:rPr>
                <w:rFonts w:asciiTheme="majorHAnsi" w:hAnsiTheme="majorHAnsi"/>
                <w:vertAlign w:val="superscript"/>
              </w:rPr>
              <w:t>ème</w:t>
            </w:r>
            <w:r w:rsidRPr="00F17973">
              <w:rPr>
                <w:rFonts w:asciiTheme="majorHAnsi" w:hAnsiTheme="majorHAnsi"/>
              </w:rPr>
              <w:t xml:space="preserve">  jour</w:t>
            </w:r>
          </w:p>
        </w:tc>
        <w:tc>
          <w:tcPr>
            <w:tcW w:w="4110" w:type="dxa"/>
          </w:tcPr>
          <w:p w:rsidR="0085182B" w:rsidRPr="00F17973" w:rsidRDefault="0085182B" w:rsidP="000050A6">
            <w:pPr>
              <w:pStyle w:val="Corpsdetexte"/>
              <w:rPr>
                <w:rFonts w:asciiTheme="majorHAnsi" w:hAnsiTheme="majorHAnsi"/>
              </w:rPr>
            </w:pPr>
            <w:r w:rsidRPr="00F17973">
              <w:rPr>
                <w:rFonts w:asciiTheme="majorHAnsi" w:hAnsiTheme="majorHAnsi"/>
              </w:rPr>
              <w:t>Formation</w:t>
            </w:r>
          </w:p>
        </w:tc>
        <w:tc>
          <w:tcPr>
            <w:tcW w:w="2410" w:type="dxa"/>
          </w:tcPr>
          <w:p w:rsidR="0085182B" w:rsidRPr="00F17973" w:rsidRDefault="0085182B" w:rsidP="000050A6">
            <w:pPr>
              <w:pStyle w:val="Corpsdetexte"/>
              <w:rPr>
                <w:rFonts w:asciiTheme="majorHAnsi" w:hAnsiTheme="majorHAnsi"/>
              </w:rPr>
            </w:pPr>
            <w:r w:rsidRPr="00F17973">
              <w:rPr>
                <w:rFonts w:asciiTheme="majorHAnsi" w:hAnsiTheme="majorHAnsi"/>
              </w:rPr>
              <w:t>Consultant-Formateur</w:t>
            </w:r>
          </w:p>
        </w:tc>
        <w:tc>
          <w:tcPr>
            <w:tcW w:w="1730" w:type="dxa"/>
          </w:tcPr>
          <w:p w:rsidR="0085182B" w:rsidRPr="00F17973" w:rsidRDefault="0085182B" w:rsidP="000050A6">
            <w:pPr>
              <w:pStyle w:val="Corpsdetexte"/>
              <w:rPr>
                <w:rFonts w:asciiTheme="majorHAnsi" w:hAnsiTheme="majorHAnsi"/>
              </w:rPr>
            </w:pPr>
          </w:p>
        </w:tc>
      </w:tr>
      <w:tr w:rsidR="0085182B" w:rsidRPr="00F17973" w:rsidTr="0085182B">
        <w:tc>
          <w:tcPr>
            <w:tcW w:w="1101" w:type="dxa"/>
          </w:tcPr>
          <w:p w:rsidR="0085182B" w:rsidRPr="00F17973" w:rsidRDefault="0085182B" w:rsidP="000050A6">
            <w:pPr>
              <w:pStyle w:val="Corpsdetexte"/>
              <w:rPr>
                <w:rFonts w:asciiTheme="majorHAnsi" w:hAnsiTheme="majorHAnsi"/>
              </w:rPr>
            </w:pPr>
            <w:r w:rsidRPr="00F17973">
              <w:rPr>
                <w:rFonts w:asciiTheme="majorHAnsi" w:hAnsiTheme="majorHAnsi"/>
              </w:rPr>
              <w:t>7</w:t>
            </w:r>
            <w:r w:rsidRPr="00F17973">
              <w:rPr>
                <w:rFonts w:asciiTheme="majorHAnsi" w:hAnsiTheme="majorHAnsi"/>
                <w:vertAlign w:val="superscript"/>
              </w:rPr>
              <w:t>ème</w:t>
            </w:r>
            <w:r w:rsidRPr="00F17973">
              <w:rPr>
                <w:rFonts w:asciiTheme="majorHAnsi" w:hAnsiTheme="majorHAnsi"/>
              </w:rPr>
              <w:t xml:space="preserve"> jour</w:t>
            </w:r>
          </w:p>
        </w:tc>
        <w:tc>
          <w:tcPr>
            <w:tcW w:w="4110" w:type="dxa"/>
          </w:tcPr>
          <w:p w:rsidR="0085182B" w:rsidRPr="00F17973" w:rsidRDefault="0085182B" w:rsidP="000050A6">
            <w:pPr>
              <w:pStyle w:val="Corpsdetexte"/>
              <w:rPr>
                <w:rFonts w:asciiTheme="majorHAnsi" w:hAnsiTheme="majorHAnsi"/>
              </w:rPr>
            </w:pPr>
            <w:r w:rsidRPr="00F17973">
              <w:rPr>
                <w:rFonts w:asciiTheme="majorHAnsi" w:hAnsiTheme="majorHAnsi"/>
              </w:rPr>
              <w:t>Formation</w:t>
            </w:r>
          </w:p>
        </w:tc>
        <w:tc>
          <w:tcPr>
            <w:tcW w:w="2410" w:type="dxa"/>
          </w:tcPr>
          <w:p w:rsidR="0085182B" w:rsidRPr="00F17973" w:rsidRDefault="0085182B" w:rsidP="000050A6">
            <w:pPr>
              <w:pStyle w:val="Corpsdetexte"/>
              <w:rPr>
                <w:rFonts w:asciiTheme="majorHAnsi" w:hAnsiTheme="majorHAnsi"/>
              </w:rPr>
            </w:pPr>
            <w:r w:rsidRPr="00F17973">
              <w:rPr>
                <w:rFonts w:asciiTheme="majorHAnsi" w:hAnsiTheme="majorHAnsi"/>
              </w:rPr>
              <w:t>Consultant-Formateur</w:t>
            </w:r>
          </w:p>
        </w:tc>
        <w:tc>
          <w:tcPr>
            <w:tcW w:w="1730" w:type="dxa"/>
          </w:tcPr>
          <w:p w:rsidR="0085182B" w:rsidRPr="00F17973" w:rsidRDefault="0085182B" w:rsidP="000050A6">
            <w:pPr>
              <w:pStyle w:val="Corpsdetexte"/>
              <w:rPr>
                <w:rFonts w:asciiTheme="majorHAnsi" w:hAnsiTheme="majorHAnsi"/>
              </w:rPr>
            </w:pPr>
          </w:p>
        </w:tc>
      </w:tr>
      <w:tr w:rsidR="0085182B" w:rsidRPr="00F17973" w:rsidTr="0085182B">
        <w:tc>
          <w:tcPr>
            <w:tcW w:w="1101" w:type="dxa"/>
          </w:tcPr>
          <w:p w:rsidR="0085182B" w:rsidRPr="00F17973" w:rsidRDefault="0085182B" w:rsidP="000050A6">
            <w:pPr>
              <w:pStyle w:val="Corpsdetexte"/>
              <w:rPr>
                <w:rFonts w:asciiTheme="majorHAnsi" w:hAnsiTheme="majorHAnsi"/>
              </w:rPr>
            </w:pPr>
            <w:r w:rsidRPr="00F17973">
              <w:rPr>
                <w:rFonts w:asciiTheme="majorHAnsi" w:hAnsiTheme="majorHAnsi"/>
              </w:rPr>
              <w:t>8</w:t>
            </w:r>
            <w:r w:rsidRPr="00F17973">
              <w:rPr>
                <w:rFonts w:asciiTheme="majorHAnsi" w:hAnsiTheme="majorHAnsi"/>
                <w:vertAlign w:val="superscript"/>
              </w:rPr>
              <w:t>ème</w:t>
            </w:r>
            <w:r w:rsidRPr="00F17973">
              <w:rPr>
                <w:rFonts w:asciiTheme="majorHAnsi" w:hAnsiTheme="majorHAnsi"/>
              </w:rPr>
              <w:t xml:space="preserve"> jour </w:t>
            </w:r>
          </w:p>
        </w:tc>
        <w:tc>
          <w:tcPr>
            <w:tcW w:w="4110" w:type="dxa"/>
          </w:tcPr>
          <w:p w:rsidR="0085182B" w:rsidRPr="00F17973" w:rsidRDefault="0085182B" w:rsidP="000050A6">
            <w:pPr>
              <w:pStyle w:val="Corpsdetexte"/>
              <w:rPr>
                <w:rFonts w:asciiTheme="majorHAnsi" w:hAnsiTheme="majorHAnsi"/>
              </w:rPr>
            </w:pPr>
            <w:r w:rsidRPr="00F17973">
              <w:rPr>
                <w:rFonts w:asciiTheme="majorHAnsi" w:hAnsiTheme="majorHAnsi"/>
              </w:rPr>
              <w:t>Formation</w:t>
            </w:r>
          </w:p>
        </w:tc>
        <w:tc>
          <w:tcPr>
            <w:tcW w:w="2410" w:type="dxa"/>
          </w:tcPr>
          <w:p w:rsidR="0085182B" w:rsidRPr="00F17973" w:rsidRDefault="0085182B" w:rsidP="000050A6">
            <w:pPr>
              <w:pStyle w:val="Corpsdetexte"/>
              <w:rPr>
                <w:rFonts w:asciiTheme="majorHAnsi" w:hAnsiTheme="majorHAnsi"/>
              </w:rPr>
            </w:pPr>
            <w:r w:rsidRPr="00F17973">
              <w:rPr>
                <w:rFonts w:asciiTheme="majorHAnsi" w:hAnsiTheme="majorHAnsi"/>
              </w:rPr>
              <w:t>Consultant-Formateur</w:t>
            </w:r>
          </w:p>
        </w:tc>
        <w:tc>
          <w:tcPr>
            <w:tcW w:w="1730" w:type="dxa"/>
          </w:tcPr>
          <w:p w:rsidR="0085182B" w:rsidRPr="00F17973" w:rsidRDefault="0085182B" w:rsidP="000050A6">
            <w:pPr>
              <w:pStyle w:val="Corpsdetexte"/>
              <w:rPr>
                <w:rFonts w:asciiTheme="majorHAnsi" w:hAnsiTheme="majorHAnsi"/>
              </w:rPr>
            </w:pPr>
          </w:p>
        </w:tc>
      </w:tr>
      <w:tr w:rsidR="0085182B" w:rsidRPr="00F17973" w:rsidTr="0085182B">
        <w:tc>
          <w:tcPr>
            <w:tcW w:w="1101" w:type="dxa"/>
          </w:tcPr>
          <w:p w:rsidR="0085182B" w:rsidRPr="00F17973" w:rsidRDefault="0085182B" w:rsidP="000050A6">
            <w:pPr>
              <w:pStyle w:val="Corpsdetexte"/>
              <w:rPr>
                <w:rFonts w:asciiTheme="majorHAnsi" w:hAnsiTheme="majorHAnsi"/>
              </w:rPr>
            </w:pPr>
            <w:r w:rsidRPr="00F17973">
              <w:rPr>
                <w:rFonts w:asciiTheme="majorHAnsi" w:hAnsiTheme="majorHAnsi"/>
              </w:rPr>
              <w:t>9</w:t>
            </w:r>
            <w:r w:rsidRPr="00F17973">
              <w:rPr>
                <w:rFonts w:asciiTheme="majorHAnsi" w:hAnsiTheme="majorHAnsi"/>
                <w:vertAlign w:val="superscript"/>
              </w:rPr>
              <w:t>ème</w:t>
            </w:r>
            <w:r w:rsidRPr="00F17973">
              <w:rPr>
                <w:rFonts w:asciiTheme="majorHAnsi" w:hAnsiTheme="majorHAnsi"/>
              </w:rPr>
              <w:t xml:space="preserve">  jour</w:t>
            </w:r>
          </w:p>
        </w:tc>
        <w:tc>
          <w:tcPr>
            <w:tcW w:w="4110" w:type="dxa"/>
          </w:tcPr>
          <w:p w:rsidR="0085182B" w:rsidRPr="00F17973" w:rsidRDefault="0085182B" w:rsidP="000050A6">
            <w:pPr>
              <w:pStyle w:val="Corpsdetexte"/>
              <w:rPr>
                <w:rFonts w:asciiTheme="majorHAnsi" w:hAnsiTheme="majorHAnsi"/>
              </w:rPr>
            </w:pPr>
            <w:r w:rsidRPr="00F17973">
              <w:rPr>
                <w:rFonts w:asciiTheme="majorHAnsi" w:hAnsiTheme="majorHAnsi"/>
              </w:rPr>
              <w:t>Voyage retour</w:t>
            </w:r>
          </w:p>
        </w:tc>
        <w:tc>
          <w:tcPr>
            <w:tcW w:w="2410" w:type="dxa"/>
          </w:tcPr>
          <w:p w:rsidR="0085182B" w:rsidRPr="00F17973" w:rsidRDefault="0085182B" w:rsidP="000050A6">
            <w:pPr>
              <w:pStyle w:val="Corpsdetexte"/>
              <w:rPr>
                <w:rFonts w:asciiTheme="majorHAnsi" w:hAnsiTheme="majorHAnsi"/>
              </w:rPr>
            </w:pPr>
            <w:r w:rsidRPr="00F17973">
              <w:rPr>
                <w:rFonts w:asciiTheme="majorHAnsi" w:hAnsiTheme="majorHAnsi"/>
              </w:rPr>
              <w:t>Consultant-Formateur</w:t>
            </w:r>
          </w:p>
        </w:tc>
        <w:tc>
          <w:tcPr>
            <w:tcW w:w="1730" w:type="dxa"/>
          </w:tcPr>
          <w:p w:rsidR="0085182B" w:rsidRPr="00F17973" w:rsidRDefault="0085182B" w:rsidP="000050A6">
            <w:pPr>
              <w:pStyle w:val="Corpsdetexte"/>
              <w:rPr>
                <w:rFonts w:asciiTheme="majorHAnsi" w:hAnsiTheme="majorHAnsi"/>
              </w:rPr>
            </w:pPr>
            <w:r w:rsidRPr="00F17973">
              <w:rPr>
                <w:rFonts w:asciiTheme="majorHAnsi" w:hAnsiTheme="majorHAnsi"/>
              </w:rPr>
              <w:t>2 jours pour Faradje</w:t>
            </w:r>
          </w:p>
        </w:tc>
      </w:tr>
    </w:tbl>
    <w:p w:rsidR="0093254C" w:rsidRPr="00D71E0B" w:rsidRDefault="00BC2DB6" w:rsidP="0093254C">
      <w:pPr>
        <w:rPr>
          <w:rFonts w:cstheme="minorHAnsi"/>
          <w:b/>
        </w:rPr>
      </w:pPr>
      <w:r>
        <w:rPr>
          <w:rFonts w:cstheme="minorHAnsi"/>
          <w:b/>
        </w:rPr>
        <w:lastRenderedPageBreak/>
        <w:t>8</w:t>
      </w:r>
      <w:r w:rsidR="0093254C" w:rsidRPr="00D71E0B">
        <w:rPr>
          <w:rFonts w:cstheme="minorHAnsi"/>
          <w:b/>
        </w:rPr>
        <w:t xml:space="preserve">. </w:t>
      </w:r>
      <w:r w:rsidR="0093254C" w:rsidRPr="00D71E0B">
        <w:rPr>
          <w:rFonts w:eastAsia="Calibri" w:cstheme="minorHAnsi"/>
          <w:b/>
        </w:rPr>
        <w:t>Documents constitutifs de l’offre</w:t>
      </w:r>
    </w:p>
    <w:tbl>
      <w:tblPr>
        <w:tblStyle w:val="Grilledutableau"/>
        <w:tblW w:w="5000" w:type="pct"/>
        <w:tblLook w:val="04A0"/>
      </w:tblPr>
      <w:tblGrid>
        <w:gridCol w:w="9576"/>
      </w:tblGrid>
      <w:tr w:rsidR="0093254C" w:rsidRPr="00D71E0B" w:rsidTr="00EA22EA">
        <w:trPr>
          <w:trHeight w:val="75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54C" w:rsidRPr="00D71E0B" w:rsidRDefault="0093254C" w:rsidP="00EA22EA">
            <w:pPr>
              <w:spacing w:line="293" w:lineRule="atLeast"/>
              <w:textAlignment w:val="baseline"/>
              <w:rPr>
                <w:rFonts w:cstheme="minorHAnsi"/>
                <w:lang w:eastAsia="fr-CD"/>
              </w:rPr>
            </w:pPr>
            <w:r w:rsidRPr="00D71E0B">
              <w:rPr>
                <w:rFonts w:cstheme="minorHAnsi"/>
                <w:lang w:eastAsia="fr-CD"/>
              </w:rPr>
              <w:t>Pour démontrer leurs qualifications, les soumissionnaires devront soumettre une offre qui comprendra les documents suivants :</w:t>
            </w:r>
          </w:p>
          <w:p w:rsidR="0093254C" w:rsidRPr="00D71E0B" w:rsidRDefault="0093254C" w:rsidP="00EA22EA">
            <w:pPr>
              <w:rPr>
                <w:rFonts w:cstheme="minorHAnsi"/>
              </w:rPr>
            </w:pPr>
          </w:p>
          <w:tbl>
            <w:tblPr>
              <w:tblW w:w="928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96"/>
              <w:gridCol w:w="5103"/>
              <w:gridCol w:w="2582"/>
            </w:tblGrid>
            <w:tr w:rsidR="0093254C" w:rsidRPr="00D71E0B" w:rsidTr="00EA22E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spacing w:line="360" w:lineRule="auto"/>
                    <w:ind w:left="50"/>
                    <w:jc w:val="both"/>
                    <w:rPr>
                      <w:rFonts w:cstheme="minorHAnsi"/>
                      <w:lang w:eastAsia="fr-CD"/>
                    </w:rPr>
                  </w:pPr>
                  <w:r w:rsidRPr="00D71E0B">
                    <w:rPr>
                      <w:rFonts w:cstheme="minorHAnsi"/>
                      <w:lang w:eastAsia="fr-CD"/>
                    </w:rPr>
                    <w:t>Document</w:t>
                  </w:r>
                </w:p>
              </w:tc>
              <w:tc>
                <w:tcPr>
                  <w:tcW w:w="5103"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spacing w:line="360" w:lineRule="auto"/>
                    <w:ind w:left="153"/>
                    <w:jc w:val="both"/>
                    <w:rPr>
                      <w:rFonts w:cstheme="minorHAnsi"/>
                      <w:lang w:eastAsia="fr-CD"/>
                    </w:rPr>
                  </w:pPr>
                  <w:r w:rsidRPr="00D71E0B">
                    <w:rPr>
                      <w:rFonts w:cstheme="minorHAnsi"/>
                      <w:lang w:eastAsia="fr-CD"/>
                    </w:rPr>
                    <w:t>Description</w:t>
                  </w:r>
                </w:p>
              </w:tc>
              <w:tc>
                <w:tcPr>
                  <w:tcW w:w="2582"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spacing w:line="360" w:lineRule="auto"/>
                    <w:ind w:left="66"/>
                    <w:jc w:val="both"/>
                    <w:rPr>
                      <w:rFonts w:cstheme="minorHAnsi"/>
                      <w:lang w:eastAsia="fr-CD"/>
                    </w:rPr>
                  </w:pPr>
                  <w:r w:rsidRPr="00D71E0B">
                    <w:rPr>
                      <w:rFonts w:cstheme="minorHAnsi"/>
                      <w:lang w:eastAsia="fr-CD"/>
                    </w:rPr>
                    <w:t>Forme</w:t>
                  </w:r>
                </w:p>
              </w:tc>
            </w:tr>
            <w:tr w:rsidR="0093254C" w:rsidRPr="00D71E0B" w:rsidTr="00EA22E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spacing w:before="100" w:beforeAutospacing="1" w:after="100" w:afterAutospacing="1"/>
                    <w:ind w:left="50"/>
                    <w:rPr>
                      <w:rFonts w:cstheme="minorHAnsi"/>
                      <w:lang w:eastAsia="fr-CD"/>
                    </w:rPr>
                  </w:pPr>
                  <w:r w:rsidRPr="00D71E0B">
                    <w:rPr>
                      <w:rFonts w:cstheme="minorHAnsi"/>
                      <w:lang w:eastAsia="fr-CD"/>
                    </w:rPr>
                    <w:t>Note méthodologique pour l’exécution de la mission attendue</w:t>
                  </w:r>
                </w:p>
              </w:tc>
              <w:tc>
                <w:tcPr>
                  <w:tcW w:w="5103"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ind w:left="153"/>
                    <w:rPr>
                      <w:rFonts w:cstheme="minorHAnsi"/>
                      <w:lang w:eastAsia="fr-CD"/>
                    </w:rPr>
                  </w:pPr>
                  <w:r w:rsidRPr="00D71E0B">
                    <w:rPr>
                      <w:rFonts w:cstheme="minorHAnsi"/>
                      <w:lang w:eastAsia="fr-CD"/>
                    </w:rPr>
                    <w:t>Une description expliquant :</w:t>
                  </w:r>
                </w:p>
                <w:p w:rsidR="0093254C" w:rsidRPr="00D71E0B" w:rsidRDefault="0093254C" w:rsidP="00EA22EA">
                  <w:pPr>
                    <w:numPr>
                      <w:ilvl w:val="0"/>
                      <w:numId w:val="40"/>
                    </w:numPr>
                    <w:spacing w:after="0" w:line="240" w:lineRule="auto"/>
                    <w:rPr>
                      <w:rFonts w:cstheme="minorHAnsi"/>
                      <w:lang w:eastAsia="fr-CD"/>
                    </w:rPr>
                  </w:pPr>
                  <w:r w:rsidRPr="00D71E0B">
                    <w:rPr>
                      <w:rFonts w:cstheme="minorHAnsi"/>
                      <w:lang w:eastAsia="fr-CD"/>
                    </w:rPr>
                    <w:t>en quoi vous êtes le meilleur candidat pour la mission ;</w:t>
                  </w:r>
                </w:p>
                <w:p w:rsidR="0093254C" w:rsidRPr="00D71E0B" w:rsidRDefault="0093254C" w:rsidP="00EA22EA">
                  <w:pPr>
                    <w:numPr>
                      <w:ilvl w:val="0"/>
                      <w:numId w:val="40"/>
                    </w:numPr>
                    <w:spacing w:before="100" w:beforeAutospacing="1" w:after="0" w:line="240" w:lineRule="auto"/>
                    <w:rPr>
                      <w:rFonts w:cstheme="minorHAnsi"/>
                      <w:lang w:eastAsia="fr-CD"/>
                    </w:rPr>
                  </w:pPr>
                  <w:r w:rsidRPr="00D71E0B">
                    <w:rPr>
                      <w:rFonts w:cstheme="minorHAnsi"/>
                      <w:lang w:eastAsia="fr-CD"/>
                    </w:rPr>
                    <w:t> la démarche  ou approche, les outils ainsi que les tâches que vous comptez mettre en œuvre pour réaliser la mission.</w:t>
                  </w:r>
                </w:p>
                <w:p w:rsidR="0093254C" w:rsidRPr="00D71E0B" w:rsidRDefault="0093254C" w:rsidP="00EA22EA">
                  <w:pPr>
                    <w:numPr>
                      <w:ilvl w:val="0"/>
                      <w:numId w:val="40"/>
                    </w:numPr>
                    <w:spacing w:before="100" w:beforeAutospacing="1" w:after="0" w:line="240" w:lineRule="auto"/>
                    <w:rPr>
                      <w:rFonts w:cstheme="minorHAnsi"/>
                      <w:lang w:eastAsia="fr-CD"/>
                    </w:rPr>
                  </w:pPr>
                  <w:r w:rsidRPr="00D71E0B">
                    <w:rPr>
                      <w:rFonts w:cstheme="minorHAnsi"/>
                      <w:lang w:eastAsia="fr-CD"/>
                    </w:rPr>
                    <w:t>Le chronogramme de réalisation</w:t>
                  </w:r>
                </w:p>
                <w:p w:rsidR="0093254C" w:rsidRPr="00D71E0B" w:rsidRDefault="0093254C" w:rsidP="00EA22EA">
                  <w:pPr>
                    <w:numPr>
                      <w:ilvl w:val="0"/>
                      <w:numId w:val="40"/>
                    </w:numPr>
                    <w:spacing w:before="100" w:beforeAutospacing="1" w:after="0" w:line="240" w:lineRule="auto"/>
                    <w:rPr>
                      <w:rFonts w:cstheme="minorHAnsi"/>
                      <w:lang w:eastAsia="fr-CD"/>
                    </w:rPr>
                  </w:pPr>
                  <w:r w:rsidRPr="00D71E0B">
                    <w:rPr>
                      <w:rFonts w:cstheme="minorHAnsi"/>
                      <w:lang w:eastAsia="fr-CD"/>
                    </w:rPr>
                    <w:t>Le cadre de travail pour réaliser la mission</w:t>
                  </w:r>
                </w:p>
              </w:tc>
              <w:tc>
                <w:tcPr>
                  <w:tcW w:w="2582"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spacing w:before="100" w:beforeAutospacing="1" w:after="100" w:afterAutospacing="1"/>
                    <w:ind w:left="66"/>
                    <w:rPr>
                      <w:rFonts w:cstheme="minorHAnsi"/>
                      <w:lang w:eastAsia="fr-CD"/>
                    </w:rPr>
                  </w:pPr>
                  <w:r w:rsidRPr="00D71E0B">
                    <w:rPr>
                      <w:rFonts w:cstheme="minorHAnsi"/>
                      <w:lang w:eastAsia="fr-CD"/>
                    </w:rPr>
                    <w:t>Pas de formulaire spécifique</w:t>
                  </w:r>
                </w:p>
              </w:tc>
            </w:tr>
            <w:tr w:rsidR="0093254C" w:rsidRPr="00D71E0B" w:rsidTr="00EA22E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spacing w:before="100" w:beforeAutospacing="1" w:after="100" w:afterAutospacing="1"/>
                    <w:ind w:left="50"/>
                    <w:rPr>
                      <w:rFonts w:cstheme="minorHAnsi"/>
                      <w:lang w:eastAsia="fr-CD"/>
                    </w:rPr>
                  </w:pPr>
                  <w:r w:rsidRPr="00D71E0B">
                    <w:rPr>
                      <w:rFonts w:cstheme="minorHAnsi"/>
                      <w:lang w:eastAsia="fr-CD"/>
                    </w:rPr>
                    <w:t>CV</w:t>
                  </w:r>
                </w:p>
              </w:tc>
              <w:tc>
                <w:tcPr>
                  <w:tcW w:w="5103"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spacing w:before="100" w:beforeAutospacing="1" w:after="100" w:afterAutospacing="1"/>
                    <w:ind w:left="153"/>
                    <w:rPr>
                      <w:rFonts w:cstheme="minorHAnsi"/>
                      <w:lang w:eastAsia="fr-CD"/>
                    </w:rPr>
                  </w:pPr>
                  <w:r w:rsidRPr="00D71E0B">
                    <w:rPr>
                      <w:rFonts w:cstheme="minorHAnsi"/>
                      <w:lang w:eastAsia="fr-CD"/>
                    </w:rPr>
                    <w:t>Fournir un CV en y incluant surtout les expériences des missions similaires et indiquant au moins 3 (trois) personnes de référence.</w:t>
                  </w:r>
                </w:p>
              </w:tc>
              <w:tc>
                <w:tcPr>
                  <w:tcW w:w="2582"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spacing w:before="100" w:beforeAutospacing="1" w:after="100" w:afterAutospacing="1"/>
                    <w:ind w:left="66"/>
                    <w:rPr>
                      <w:rFonts w:cstheme="minorHAnsi"/>
                      <w:lang w:eastAsia="fr-CD"/>
                    </w:rPr>
                  </w:pPr>
                  <w:r w:rsidRPr="00D71E0B">
                    <w:rPr>
                      <w:rFonts w:cstheme="minorHAnsi"/>
                      <w:lang w:eastAsia="fr-CD"/>
                    </w:rPr>
                    <w:t>Pas de formulaire spécifique</w:t>
                  </w:r>
                </w:p>
              </w:tc>
            </w:tr>
            <w:tr w:rsidR="0093254C" w:rsidRPr="00D71E0B" w:rsidTr="00EA22E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spacing w:before="100" w:beforeAutospacing="1" w:after="100" w:afterAutospacing="1"/>
                    <w:ind w:left="50"/>
                    <w:rPr>
                      <w:rFonts w:cstheme="minorHAnsi"/>
                      <w:lang w:eastAsia="fr-CD"/>
                    </w:rPr>
                  </w:pPr>
                  <w:r w:rsidRPr="00D71E0B">
                    <w:rPr>
                      <w:rFonts w:cstheme="minorHAnsi"/>
                      <w:lang w:eastAsia="fr-CD"/>
                    </w:rPr>
                    <w:t>Diplômes</w:t>
                  </w:r>
                </w:p>
              </w:tc>
              <w:tc>
                <w:tcPr>
                  <w:tcW w:w="5103"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spacing w:before="100" w:beforeAutospacing="1" w:after="100" w:afterAutospacing="1"/>
                    <w:ind w:left="153"/>
                    <w:rPr>
                      <w:rFonts w:cstheme="minorHAnsi"/>
                      <w:lang w:eastAsia="fr-CD"/>
                    </w:rPr>
                  </w:pPr>
                  <w:r w:rsidRPr="00D71E0B">
                    <w:rPr>
                      <w:rFonts w:cstheme="minorHAnsi"/>
                      <w:lang w:eastAsia="fr-CD"/>
                    </w:rPr>
                    <w:t>Envoyer une(les) copies du (des) diplômes le plus pertinent.</w:t>
                  </w:r>
                </w:p>
              </w:tc>
              <w:tc>
                <w:tcPr>
                  <w:tcW w:w="2582"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spacing w:before="100" w:beforeAutospacing="1" w:after="100" w:afterAutospacing="1"/>
                    <w:ind w:left="66"/>
                    <w:rPr>
                      <w:rFonts w:cstheme="minorHAnsi"/>
                      <w:lang w:eastAsia="fr-CD"/>
                    </w:rPr>
                  </w:pPr>
                  <w:r w:rsidRPr="00D71E0B">
                    <w:rPr>
                      <w:rFonts w:cstheme="minorHAnsi"/>
                      <w:lang w:eastAsia="fr-CD"/>
                    </w:rPr>
                    <w:t> </w:t>
                  </w:r>
                </w:p>
              </w:tc>
            </w:tr>
            <w:tr w:rsidR="0093254C" w:rsidRPr="00D71E0B" w:rsidTr="00EA22E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spacing w:before="100" w:beforeAutospacing="1" w:after="100" w:afterAutospacing="1"/>
                    <w:ind w:left="50"/>
                    <w:rPr>
                      <w:rFonts w:cstheme="minorHAnsi"/>
                      <w:lang w:eastAsia="fr-CD"/>
                    </w:rPr>
                  </w:pPr>
                  <w:r w:rsidRPr="00D71E0B">
                    <w:rPr>
                      <w:rFonts w:cstheme="minorHAnsi"/>
                      <w:lang w:eastAsia="fr-CD"/>
                    </w:rPr>
                    <w:t>Tableau des coûts</w:t>
                  </w:r>
                </w:p>
              </w:tc>
              <w:tc>
                <w:tcPr>
                  <w:tcW w:w="5103" w:type="dxa"/>
                  <w:tcBorders>
                    <w:top w:val="outset" w:sz="6" w:space="0" w:color="auto"/>
                    <w:left w:val="outset" w:sz="6" w:space="0" w:color="auto"/>
                    <w:bottom w:val="outset" w:sz="6" w:space="0" w:color="auto"/>
                    <w:right w:val="outset" w:sz="6" w:space="0" w:color="auto"/>
                  </w:tcBorders>
                  <w:vAlign w:val="center"/>
                </w:tcPr>
                <w:p w:rsidR="0093254C" w:rsidRPr="00D71E0B" w:rsidRDefault="0093254C" w:rsidP="00EA22EA">
                  <w:pPr>
                    <w:spacing w:before="100" w:beforeAutospacing="1" w:after="100" w:afterAutospacing="1"/>
                    <w:ind w:left="153"/>
                    <w:rPr>
                      <w:rFonts w:cstheme="minorHAnsi"/>
                      <w:lang w:eastAsia="fr-CD"/>
                    </w:rPr>
                  </w:pPr>
                  <w:r w:rsidRPr="00D71E0B">
                    <w:rPr>
                      <w:rFonts w:cstheme="minorHAnsi"/>
                      <w:lang w:eastAsia="fr-CD"/>
                    </w:rPr>
                    <w:t>Remplir le tableau</w:t>
                  </w:r>
                </w:p>
              </w:tc>
              <w:tc>
                <w:tcPr>
                  <w:tcW w:w="2582" w:type="dxa"/>
                  <w:tcBorders>
                    <w:top w:val="outset" w:sz="6" w:space="0" w:color="auto"/>
                    <w:left w:val="outset" w:sz="6" w:space="0" w:color="auto"/>
                    <w:bottom w:val="outset" w:sz="6" w:space="0" w:color="auto"/>
                    <w:right w:val="outset" w:sz="6" w:space="0" w:color="auto"/>
                  </w:tcBorders>
                  <w:vAlign w:val="center"/>
                </w:tcPr>
                <w:p w:rsidR="0093254C" w:rsidRPr="00D71E0B" w:rsidRDefault="00660504" w:rsidP="00EA22EA">
                  <w:pPr>
                    <w:spacing w:before="100" w:beforeAutospacing="1" w:after="100" w:afterAutospacing="1"/>
                    <w:ind w:left="66"/>
                    <w:rPr>
                      <w:rFonts w:cstheme="minorHAnsi"/>
                      <w:lang w:eastAsia="fr-CD"/>
                    </w:rPr>
                  </w:pPr>
                  <w:r w:rsidRPr="00D71E0B">
                    <w:rPr>
                      <w:rFonts w:cstheme="minorHAnsi"/>
                      <w:lang w:eastAsia="fr-CD"/>
                    </w:rPr>
                    <w:t>Annexe 2 « </w:t>
                  </w:r>
                  <w:hyperlink r:id="rId13" w:history="1">
                    <w:r w:rsidRPr="00D71E0B">
                      <w:rPr>
                        <w:rStyle w:val="Lienhypertexte"/>
                        <w:rFonts w:cstheme="minorHAnsi"/>
                        <w:lang w:eastAsia="fr-CD"/>
                      </w:rPr>
                      <w:t>Tableau des coûts</w:t>
                    </w:r>
                  </w:hyperlink>
                  <w:r w:rsidRPr="00D71E0B">
                    <w:rPr>
                      <w:rFonts w:cstheme="minorHAnsi"/>
                      <w:lang w:eastAsia="fr-CD"/>
                    </w:rPr>
                    <w:t> (annexe 2) ». (Cliquer sur « la lettre de soumission » pour télécharger le document)</w:t>
                  </w:r>
                </w:p>
              </w:tc>
            </w:tr>
          </w:tbl>
          <w:p w:rsidR="0093254C" w:rsidRPr="00D71E0B" w:rsidRDefault="0093254C" w:rsidP="00EA22EA">
            <w:pPr>
              <w:rPr>
                <w:rFonts w:cstheme="minorHAnsi"/>
              </w:rPr>
            </w:pPr>
          </w:p>
        </w:tc>
      </w:tr>
    </w:tbl>
    <w:p w:rsidR="0093254C" w:rsidRPr="00D71E0B" w:rsidRDefault="0093254C" w:rsidP="0093254C">
      <w:pPr>
        <w:rPr>
          <w:rFonts w:cstheme="minorHAnsi"/>
          <w:b/>
        </w:rPr>
      </w:pPr>
    </w:p>
    <w:p w:rsidR="0093254C" w:rsidRPr="00D71E0B" w:rsidRDefault="009007AD" w:rsidP="0093254C">
      <w:pPr>
        <w:rPr>
          <w:rFonts w:cstheme="minorHAnsi"/>
          <w:b/>
        </w:rPr>
      </w:pPr>
      <w:r>
        <w:rPr>
          <w:rFonts w:cstheme="minorHAnsi"/>
          <w:b/>
        </w:rPr>
        <w:t>9</w:t>
      </w:r>
      <w:r w:rsidR="0093254C" w:rsidRPr="00D71E0B">
        <w:rPr>
          <w:rFonts w:cstheme="minorHAnsi"/>
          <w:b/>
        </w:rPr>
        <w:t>. La proposition financière</w:t>
      </w:r>
    </w:p>
    <w:tbl>
      <w:tblPr>
        <w:tblStyle w:val="Grilledutableau"/>
        <w:tblW w:w="0" w:type="auto"/>
        <w:tblLook w:val="04A0"/>
      </w:tblPr>
      <w:tblGrid>
        <w:gridCol w:w="9350"/>
      </w:tblGrid>
      <w:tr w:rsidR="0093254C" w:rsidRPr="00D71E0B" w:rsidTr="00EA22EA">
        <w:tc>
          <w:tcPr>
            <w:tcW w:w="9350" w:type="dxa"/>
          </w:tcPr>
          <w:p w:rsidR="0093254C" w:rsidRPr="00D71E0B" w:rsidRDefault="0093254C" w:rsidP="00EA22EA">
            <w:pPr>
              <w:rPr>
                <w:rFonts w:cstheme="minorHAnsi"/>
                <w:b/>
              </w:rPr>
            </w:pPr>
            <w:r w:rsidRPr="00D71E0B">
              <w:rPr>
                <w:rFonts w:cstheme="minorHAnsi"/>
                <w:lang w:eastAsia="fr-CD"/>
              </w:rPr>
              <w:t xml:space="preserve">Le soumissionnaire fait sa proposition financière suivant le Tableau des coûts. Il doit proposer un montant forfaitaire et présenter dans le Tableau des coûts la ventilation de ce montant forfaitaire (en y incluant les éléments qui le composent à savoir les frais de voyage, les indemnités journalières/perdiems et le nombre de jours de prestation).  </w:t>
            </w:r>
          </w:p>
        </w:tc>
      </w:tr>
    </w:tbl>
    <w:p w:rsidR="0093254C" w:rsidRDefault="0093254C" w:rsidP="0093254C">
      <w:pPr>
        <w:rPr>
          <w:rFonts w:cstheme="minorHAnsi"/>
          <w:b/>
        </w:rPr>
      </w:pPr>
    </w:p>
    <w:p w:rsidR="00DF7B7E" w:rsidRDefault="00DF7B7E" w:rsidP="0093254C">
      <w:pPr>
        <w:rPr>
          <w:rFonts w:cstheme="minorHAnsi"/>
          <w:b/>
        </w:rPr>
      </w:pPr>
    </w:p>
    <w:p w:rsidR="00CE60F3" w:rsidRDefault="00CE60F3" w:rsidP="0093254C">
      <w:pPr>
        <w:rPr>
          <w:rFonts w:cstheme="minorHAnsi"/>
          <w:b/>
        </w:rPr>
      </w:pPr>
    </w:p>
    <w:p w:rsidR="00CE60F3" w:rsidRDefault="00CE60F3" w:rsidP="0093254C">
      <w:pPr>
        <w:rPr>
          <w:rFonts w:cstheme="minorHAnsi"/>
          <w:b/>
        </w:rPr>
      </w:pPr>
    </w:p>
    <w:p w:rsidR="00F221F4" w:rsidRPr="00BF459D" w:rsidRDefault="00DF7B7E" w:rsidP="00BF459D">
      <w:pPr>
        <w:rPr>
          <w:rFonts w:cstheme="minorHAnsi"/>
          <w:b/>
        </w:rPr>
      </w:pPr>
      <w:r>
        <w:rPr>
          <w:rFonts w:cstheme="minorHAnsi"/>
          <w:b/>
        </w:rPr>
        <w:lastRenderedPageBreak/>
        <w:t xml:space="preserve">10. </w:t>
      </w:r>
      <w:r w:rsidR="00F221F4">
        <w:rPr>
          <w:rFonts w:cstheme="minorHAnsi"/>
          <w:b/>
        </w:rPr>
        <w:t xml:space="preserve">Résultats attendus / </w:t>
      </w:r>
      <w:r w:rsidR="004F16F4">
        <w:rPr>
          <w:rFonts w:cstheme="minorHAnsi"/>
          <w:b/>
        </w:rPr>
        <w:t xml:space="preserve">Livrables </w:t>
      </w:r>
    </w:p>
    <w:tbl>
      <w:tblPr>
        <w:tblStyle w:val="Grilledutableau"/>
        <w:tblW w:w="0" w:type="auto"/>
        <w:tblLook w:val="04A0"/>
      </w:tblPr>
      <w:tblGrid>
        <w:gridCol w:w="9576"/>
      </w:tblGrid>
      <w:tr w:rsidR="00F221F4" w:rsidRPr="002C2B2C" w:rsidTr="00A77324">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1F4" w:rsidRPr="002C2B2C" w:rsidRDefault="00F221F4" w:rsidP="00A77324">
            <w:pPr>
              <w:jc w:val="both"/>
              <w:rPr>
                <w:rFonts w:eastAsia="Times New Roman" w:cstheme="minorHAnsi"/>
                <w:bCs/>
                <w:u w:val="single"/>
                <w:lang w:eastAsia="rw-R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gridCol w:w="6158"/>
              <w:gridCol w:w="1630"/>
              <w:gridCol w:w="1129"/>
            </w:tblGrid>
            <w:tr w:rsidR="00BF459D" w:rsidRPr="002C2B2C" w:rsidTr="00A77324">
              <w:tc>
                <w:tcPr>
                  <w:tcW w:w="237" w:type="pct"/>
                </w:tcPr>
                <w:p w:rsidR="00BF459D" w:rsidRPr="002C2B2C" w:rsidRDefault="00BF459D" w:rsidP="00BF459D">
                  <w:pPr>
                    <w:pStyle w:val="Default"/>
                    <w:jc w:val="both"/>
                    <w:rPr>
                      <w:rFonts w:asciiTheme="minorHAnsi" w:eastAsia="Times New Roman" w:hAnsiTheme="minorHAnsi" w:cstheme="minorHAnsi"/>
                      <w:bCs/>
                      <w:color w:val="auto"/>
                      <w:sz w:val="22"/>
                      <w:szCs w:val="22"/>
                      <w:lang w:val="fr-FR"/>
                    </w:rPr>
                  </w:pPr>
                  <w:r w:rsidRPr="002C2B2C">
                    <w:rPr>
                      <w:rFonts w:asciiTheme="minorHAnsi" w:eastAsia="Times New Roman" w:hAnsiTheme="minorHAnsi" w:cstheme="minorHAnsi"/>
                      <w:bCs/>
                      <w:color w:val="auto"/>
                      <w:sz w:val="22"/>
                      <w:szCs w:val="22"/>
                      <w:lang w:val="fr-FR"/>
                    </w:rPr>
                    <w:t>N°</w:t>
                  </w:r>
                </w:p>
              </w:tc>
              <w:tc>
                <w:tcPr>
                  <w:tcW w:w="3418" w:type="pct"/>
                  <w:shd w:val="clear" w:color="auto" w:fill="auto"/>
                </w:tcPr>
                <w:p w:rsidR="00BF459D" w:rsidRPr="002C2B2C" w:rsidRDefault="00BF459D" w:rsidP="00BF459D">
                  <w:pPr>
                    <w:pStyle w:val="Default"/>
                    <w:jc w:val="both"/>
                    <w:rPr>
                      <w:rFonts w:asciiTheme="minorHAnsi" w:eastAsia="Times New Roman" w:hAnsiTheme="minorHAnsi" w:cstheme="minorHAnsi"/>
                      <w:bCs/>
                      <w:color w:val="auto"/>
                      <w:sz w:val="22"/>
                      <w:szCs w:val="22"/>
                      <w:lang w:val="fr-FR"/>
                    </w:rPr>
                  </w:pPr>
                  <w:r w:rsidRPr="002C2B2C">
                    <w:rPr>
                      <w:rFonts w:asciiTheme="minorHAnsi" w:eastAsia="Times New Roman" w:hAnsiTheme="minorHAnsi" w:cstheme="minorHAnsi"/>
                      <w:bCs/>
                      <w:color w:val="auto"/>
                      <w:sz w:val="22"/>
                      <w:szCs w:val="22"/>
                      <w:lang w:val="fr-FR"/>
                    </w:rPr>
                    <w:t>Livrables</w:t>
                  </w:r>
                </w:p>
              </w:tc>
              <w:tc>
                <w:tcPr>
                  <w:tcW w:w="676" w:type="pct"/>
                  <w:shd w:val="clear" w:color="auto" w:fill="auto"/>
                </w:tcPr>
                <w:p w:rsidR="00BF459D" w:rsidRPr="002C2B2C" w:rsidRDefault="00BF459D" w:rsidP="00BF459D">
                  <w:pPr>
                    <w:pStyle w:val="Default"/>
                    <w:jc w:val="both"/>
                    <w:rPr>
                      <w:rFonts w:asciiTheme="minorHAnsi" w:eastAsia="Times New Roman" w:hAnsiTheme="minorHAnsi" w:cstheme="minorHAnsi"/>
                      <w:bCs/>
                      <w:color w:val="auto"/>
                      <w:sz w:val="22"/>
                      <w:szCs w:val="22"/>
                      <w:lang w:val="fr-FR"/>
                    </w:rPr>
                  </w:pPr>
                  <w:r w:rsidRPr="002C2B2C">
                    <w:rPr>
                      <w:rFonts w:asciiTheme="minorHAnsi" w:eastAsia="Times New Roman" w:hAnsiTheme="minorHAnsi" w:cstheme="minorHAnsi"/>
                      <w:bCs/>
                      <w:color w:val="auto"/>
                      <w:sz w:val="22"/>
                      <w:szCs w:val="22"/>
                      <w:lang w:val="fr-FR"/>
                    </w:rPr>
                    <w:t>Délais</w:t>
                  </w:r>
                </w:p>
              </w:tc>
              <w:tc>
                <w:tcPr>
                  <w:tcW w:w="669" w:type="pct"/>
                </w:tcPr>
                <w:p w:rsidR="00BF459D" w:rsidRPr="002C2B2C" w:rsidRDefault="00BF459D" w:rsidP="00BF459D">
                  <w:pPr>
                    <w:pStyle w:val="Default"/>
                    <w:ind w:right="-209"/>
                    <w:jc w:val="both"/>
                    <w:rPr>
                      <w:rFonts w:asciiTheme="minorHAnsi" w:eastAsia="Times New Roman" w:hAnsiTheme="minorHAnsi" w:cstheme="minorHAnsi"/>
                      <w:bCs/>
                      <w:color w:val="auto"/>
                      <w:sz w:val="22"/>
                      <w:szCs w:val="22"/>
                      <w:lang w:val="fr-FR"/>
                    </w:rPr>
                  </w:pPr>
                  <w:r w:rsidRPr="002C2B2C">
                    <w:rPr>
                      <w:rFonts w:asciiTheme="minorHAnsi" w:eastAsia="Times New Roman" w:hAnsiTheme="minorHAnsi" w:cstheme="minorHAnsi"/>
                      <w:bCs/>
                      <w:color w:val="auto"/>
                      <w:sz w:val="22"/>
                      <w:szCs w:val="22"/>
                      <w:lang w:val="fr-FR"/>
                    </w:rPr>
                    <w:t>Payement (%)</w:t>
                  </w:r>
                </w:p>
              </w:tc>
            </w:tr>
            <w:tr w:rsidR="00BF459D" w:rsidRPr="002C2B2C" w:rsidTr="00A77324">
              <w:trPr>
                <w:trHeight w:val="59"/>
              </w:trPr>
              <w:tc>
                <w:tcPr>
                  <w:tcW w:w="237" w:type="pct"/>
                </w:tcPr>
                <w:p w:rsidR="00BF459D" w:rsidRPr="002C2B2C" w:rsidRDefault="00BF459D" w:rsidP="00BF459D">
                  <w:pPr>
                    <w:pStyle w:val="Default"/>
                    <w:jc w:val="both"/>
                    <w:rPr>
                      <w:rFonts w:asciiTheme="minorHAnsi" w:eastAsia="Times New Roman" w:hAnsiTheme="minorHAnsi" w:cstheme="minorHAnsi"/>
                      <w:bCs/>
                      <w:color w:val="auto"/>
                      <w:sz w:val="22"/>
                      <w:szCs w:val="22"/>
                      <w:lang w:val="fr-FR"/>
                    </w:rPr>
                  </w:pPr>
                  <w:r w:rsidRPr="002C2B2C">
                    <w:rPr>
                      <w:rFonts w:asciiTheme="minorHAnsi" w:eastAsia="Times New Roman" w:hAnsiTheme="minorHAnsi" w:cstheme="minorHAnsi"/>
                      <w:bCs/>
                      <w:color w:val="auto"/>
                      <w:sz w:val="22"/>
                      <w:szCs w:val="22"/>
                      <w:lang w:val="fr-FR"/>
                    </w:rPr>
                    <w:t>1</w:t>
                  </w:r>
                </w:p>
              </w:tc>
              <w:tc>
                <w:tcPr>
                  <w:tcW w:w="3418" w:type="pct"/>
                  <w:shd w:val="clear" w:color="auto" w:fill="auto"/>
                </w:tcPr>
                <w:p w:rsidR="00BF459D" w:rsidRPr="00813A0D" w:rsidRDefault="00BF459D" w:rsidP="00BF459D">
                  <w:pPr>
                    <w:spacing w:line="293" w:lineRule="atLeast"/>
                    <w:textAlignment w:val="baseline"/>
                    <w:rPr>
                      <w:rFonts w:cstheme="minorHAnsi"/>
                      <w:b/>
                      <w:bCs/>
                    </w:rPr>
                  </w:pPr>
                  <w:r w:rsidRPr="00813A0D">
                    <w:rPr>
                      <w:rFonts w:cstheme="minorHAnsi"/>
                      <w:b/>
                      <w:bCs/>
                    </w:rPr>
                    <w:t>Note de cadrage et planning de travail</w:t>
                  </w:r>
                </w:p>
              </w:tc>
              <w:tc>
                <w:tcPr>
                  <w:tcW w:w="676" w:type="pct"/>
                  <w:shd w:val="clear" w:color="auto" w:fill="auto"/>
                </w:tcPr>
                <w:p w:rsidR="00BF459D" w:rsidRPr="002C2B2C" w:rsidRDefault="00BF459D" w:rsidP="00BF459D">
                  <w:pPr>
                    <w:spacing w:line="293" w:lineRule="atLeast"/>
                    <w:textAlignment w:val="baseline"/>
                    <w:rPr>
                      <w:rFonts w:cstheme="minorHAnsi"/>
                      <w:bCs/>
                    </w:rPr>
                  </w:pPr>
                  <w:r w:rsidRPr="002C2B2C">
                    <w:rPr>
                      <w:rFonts w:cstheme="minorHAnsi"/>
                      <w:bCs/>
                    </w:rPr>
                    <w:t>5 jours après la signature du contrat</w:t>
                  </w:r>
                </w:p>
              </w:tc>
              <w:tc>
                <w:tcPr>
                  <w:tcW w:w="669" w:type="pct"/>
                </w:tcPr>
                <w:p w:rsidR="00BF459D" w:rsidRPr="002C2B2C" w:rsidRDefault="00BF459D" w:rsidP="00BF459D">
                  <w:pPr>
                    <w:spacing w:line="293" w:lineRule="atLeast"/>
                    <w:jc w:val="center"/>
                    <w:textAlignment w:val="baseline"/>
                    <w:rPr>
                      <w:rFonts w:cstheme="minorHAnsi"/>
                      <w:bCs/>
                    </w:rPr>
                  </w:pPr>
                  <w:r w:rsidRPr="002C2B2C">
                    <w:rPr>
                      <w:rFonts w:cstheme="minorHAnsi"/>
                      <w:bCs/>
                    </w:rPr>
                    <w:t>15%</w:t>
                  </w:r>
                </w:p>
              </w:tc>
            </w:tr>
            <w:tr w:rsidR="00BF459D" w:rsidRPr="002C2B2C" w:rsidTr="00A77324">
              <w:trPr>
                <w:trHeight w:val="59"/>
              </w:trPr>
              <w:tc>
                <w:tcPr>
                  <w:tcW w:w="237" w:type="pct"/>
                </w:tcPr>
                <w:p w:rsidR="00BF459D" w:rsidRPr="002C2B2C" w:rsidRDefault="00BF459D" w:rsidP="00BF459D">
                  <w:pPr>
                    <w:pStyle w:val="Default"/>
                    <w:jc w:val="both"/>
                    <w:rPr>
                      <w:rFonts w:asciiTheme="minorHAnsi" w:eastAsia="Times New Roman" w:hAnsiTheme="minorHAnsi" w:cstheme="minorHAnsi"/>
                      <w:bCs/>
                      <w:color w:val="auto"/>
                      <w:sz w:val="22"/>
                      <w:szCs w:val="22"/>
                      <w:lang w:val="fr-FR"/>
                    </w:rPr>
                  </w:pPr>
                  <w:r w:rsidRPr="002C2B2C">
                    <w:rPr>
                      <w:rFonts w:asciiTheme="minorHAnsi" w:eastAsia="Times New Roman" w:hAnsiTheme="minorHAnsi" w:cstheme="minorHAnsi"/>
                      <w:bCs/>
                      <w:color w:val="auto"/>
                      <w:sz w:val="22"/>
                      <w:szCs w:val="22"/>
                      <w:lang w:val="fr-FR"/>
                    </w:rPr>
                    <w:t>2</w:t>
                  </w:r>
                </w:p>
              </w:tc>
              <w:tc>
                <w:tcPr>
                  <w:tcW w:w="3418" w:type="pct"/>
                  <w:shd w:val="clear" w:color="auto" w:fill="auto"/>
                </w:tcPr>
                <w:p w:rsidR="00BF459D" w:rsidRPr="002C2B2C" w:rsidRDefault="00BF459D" w:rsidP="00BF459D">
                  <w:pPr>
                    <w:pStyle w:val="Default"/>
                    <w:jc w:val="both"/>
                    <w:rPr>
                      <w:rFonts w:asciiTheme="minorHAnsi" w:hAnsiTheme="minorHAnsi" w:cstheme="minorHAnsi"/>
                      <w:bCs/>
                      <w:sz w:val="22"/>
                      <w:szCs w:val="22"/>
                      <w:lang w:val="fr-FR" w:eastAsia="fr-CD"/>
                    </w:rPr>
                  </w:pPr>
                  <w:r w:rsidRPr="00813A0D">
                    <w:rPr>
                      <w:rFonts w:asciiTheme="minorHAnsi" w:hAnsiTheme="minorHAnsi" w:cstheme="minorHAnsi"/>
                      <w:b/>
                      <w:bCs/>
                      <w:sz w:val="22"/>
                      <w:szCs w:val="22"/>
                    </w:rPr>
                    <w:t>Un rapport de diagnostic</w:t>
                  </w:r>
                  <w:r w:rsidRPr="002C2B2C">
                    <w:rPr>
                      <w:rFonts w:asciiTheme="minorHAnsi" w:hAnsiTheme="minorHAnsi" w:cstheme="minorHAnsi"/>
                      <w:bCs/>
                      <w:sz w:val="22"/>
                      <w:szCs w:val="22"/>
                    </w:rPr>
                    <w:t xml:space="preserve"> sommaire du fonctionnement des services de collecte des recettes de chaque ETD assorti d’un plan de restructuration et d’un organigramme du service </w:t>
                  </w:r>
                </w:p>
              </w:tc>
              <w:tc>
                <w:tcPr>
                  <w:tcW w:w="676" w:type="pct"/>
                  <w:shd w:val="clear" w:color="auto" w:fill="auto"/>
                </w:tcPr>
                <w:p w:rsidR="00BF459D" w:rsidRPr="002C2B2C" w:rsidRDefault="00BF459D" w:rsidP="00BF459D">
                  <w:pPr>
                    <w:spacing w:line="293" w:lineRule="atLeast"/>
                    <w:textAlignment w:val="baseline"/>
                    <w:rPr>
                      <w:rFonts w:cstheme="minorHAnsi"/>
                      <w:bCs/>
                      <w:lang w:eastAsia="fr-CD"/>
                    </w:rPr>
                  </w:pPr>
                  <w:r w:rsidRPr="002C2B2C">
                    <w:rPr>
                      <w:rFonts w:cstheme="minorHAnsi"/>
                      <w:bCs/>
                    </w:rPr>
                    <w:t>20 jours après la signature du contrat</w:t>
                  </w:r>
                </w:p>
              </w:tc>
              <w:tc>
                <w:tcPr>
                  <w:tcW w:w="669" w:type="pct"/>
                </w:tcPr>
                <w:p w:rsidR="00BF459D" w:rsidRPr="002C2B2C" w:rsidRDefault="00BF459D" w:rsidP="00BF459D">
                  <w:pPr>
                    <w:spacing w:line="293" w:lineRule="atLeast"/>
                    <w:jc w:val="center"/>
                    <w:textAlignment w:val="baseline"/>
                    <w:rPr>
                      <w:rFonts w:cstheme="minorHAnsi"/>
                      <w:bCs/>
                    </w:rPr>
                  </w:pPr>
                  <w:r w:rsidRPr="002C2B2C">
                    <w:rPr>
                      <w:rFonts w:cstheme="minorHAnsi"/>
                      <w:bCs/>
                    </w:rPr>
                    <w:t>25%</w:t>
                  </w:r>
                </w:p>
              </w:tc>
            </w:tr>
            <w:tr w:rsidR="00BF459D" w:rsidRPr="002C2B2C" w:rsidTr="00A77324">
              <w:trPr>
                <w:trHeight w:val="59"/>
              </w:trPr>
              <w:tc>
                <w:tcPr>
                  <w:tcW w:w="237" w:type="pct"/>
                </w:tcPr>
                <w:p w:rsidR="00BF459D" w:rsidRPr="002C2B2C" w:rsidRDefault="00BF459D" w:rsidP="00BF459D">
                  <w:pPr>
                    <w:pStyle w:val="Default"/>
                    <w:jc w:val="both"/>
                    <w:rPr>
                      <w:rFonts w:asciiTheme="minorHAnsi" w:eastAsia="Times New Roman" w:hAnsiTheme="minorHAnsi" w:cstheme="minorHAnsi"/>
                      <w:bCs/>
                      <w:color w:val="auto"/>
                      <w:sz w:val="22"/>
                      <w:szCs w:val="22"/>
                      <w:lang w:val="fr-FR"/>
                    </w:rPr>
                  </w:pPr>
                  <w:r w:rsidRPr="002C2B2C">
                    <w:rPr>
                      <w:rFonts w:asciiTheme="minorHAnsi" w:eastAsia="Times New Roman" w:hAnsiTheme="minorHAnsi" w:cstheme="minorHAnsi"/>
                      <w:bCs/>
                      <w:color w:val="auto"/>
                      <w:sz w:val="22"/>
                      <w:szCs w:val="22"/>
                      <w:lang w:val="fr-FR"/>
                    </w:rPr>
                    <w:t>3</w:t>
                  </w:r>
                </w:p>
              </w:tc>
              <w:tc>
                <w:tcPr>
                  <w:tcW w:w="3418" w:type="pct"/>
                  <w:shd w:val="clear" w:color="auto" w:fill="auto"/>
                </w:tcPr>
                <w:p w:rsidR="00BF459D" w:rsidRPr="002C2B2C" w:rsidRDefault="00BF459D" w:rsidP="00BF459D">
                  <w:pPr>
                    <w:pStyle w:val="Default"/>
                    <w:jc w:val="both"/>
                    <w:rPr>
                      <w:rFonts w:asciiTheme="minorHAnsi" w:eastAsia="Times New Roman" w:hAnsiTheme="minorHAnsi" w:cstheme="minorHAnsi"/>
                      <w:bCs/>
                      <w:color w:val="auto"/>
                      <w:sz w:val="22"/>
                      <w:szCs w:val="22"/>
                      <w:lang w:val="fr-FR"/>
                    </w:rPr>
                  </w:pPr>
                  <w:r w:rsidRPr="002C2B2C">
                    <w:rPr>
                      <w:rFonts w:asciiTheme="minorHAnsi" w:hAnsiTheme="minorHAnsi" w:cstheme="minorHAnsi"/>
                      <w:bCs/>
                      <w:sz w:val="22"/>
                      <w:szCs w:val="22"/>
                    </w:rPr>
                    <w:t xml:space="preserve">Une nouvelle mise en place du </w:t>
                  </w:r>
                  <w:r w:rsidRPr="00813A0D">
                    <w:rPr>
                      <w:rFonts w:asciiTheme="minorHAnsi" w:hAnsiTheme="minorHAnsi" w:cstheme="minorHAnsi"/>
                      <w:b/>
                      <w:bCs/>
                      <w:sz w:val="22"/>
                      <w:szCs w:val="22"/>
                    </w:rPr>
                    <w:t>service structuré</w:t>
                  </w:r>
                  <w:r w:rsidRPr="002C2B2C">
                    <w:rPr>
                      <w:rFonts w:asciiTheme="minorHAnsi" w:hAnsiTheme="minorHAnsi" w:cstheme="minorHAnsi"/>
                      <w:bCs/>
                      <w:sz w:val="22"/>
                      <w:szCs w:val="22"/>
                    </w:rPr>
                    <w:t xml:space="preserve"> et/ou restructuré doté d’un </w:t>
                  </w:r>
                  <w:r w:rsidRPr="00813A0D">
                    <w:rPr>
                      <w:rFonts w:asciiTheme="minorHAnsi" w:hAnsiTheme="minorHAnsi" w:cstheme="minorHAnsi"/>
                      <w:b/>
                      <w:bCs/>
                      <w:sz w:val="22"/>
                      <w:szCs w:val="22"/>
                    </w:rPr>
                    <w:t>plan de mobilisation des recettes locales</w:t>
                  </w:r>
                  <w:r w:rsidRPr="002C2B2C">
                    <w:rPr>
                      <w:rFonts w:asciiTheme="minorHAnsi" w:hAnsiTheme="minorHAnsi" w:cstheme="minorHAnsi"/>
                      <w:bCs/>
                      <w:sz w:val="22"/>
                      <w:szCs w:val="22"/>
                    </w:rPr>
                    <w:t xml:space="preserve">, incluant une analyse du potentiel fiscal de l’entité ; </w:t>
                  </w:r>
                  <w:r w:rsidRPr="00813A0D">
                    <w:rPr>
                      <w:rFonts w:asciiTheme="minorHAnsi" w:hAnsiTheme="minorHAnsi" w:cstheme="minorHAnsi"/>
                      <w:b/>
                      <w:bCs/>
                      <w:sz w:val="22"/>
                      <w:szCs w:val="22"/>
                    </w:rPr>
                    <w:t>Un service fonctionnel constitué d’agents taxateurs/percepteurs formés</w:t>
                  </w:r>
                  <w:r w:rsidRPr="002C2B2C">
                    <w:rPr>
                      <w:rFonts w:asciiTheme="minorHAnsi" w:hAnsiTheme="minorHAnsi" w:cstheme="minorHAnsi"/>
                      <w:bCs/>
                      <w:sz w:val="22"/>
                      <w:szCs w:val="22"/>
                    </w:rPr>
                    <w:t xml:space="preserve"> pour la collecte et l'encadrement des recettes locales ; Résultat : </w:t>
                  </w:r>
                  <w:r w:rsidRPr="00813A0D">
                    <w:rPr>
                      <w:rFonts w:asciiTheme="minorHAnsi" w:hAnsiTheme="minorHAnsi" w:cstheme="minorHAnsi"/>
                      <w:b/>
                      <w:bCs/>
                      <w:sz w:val="22"/>
                      <w:szCs w:val="22"/>
                    </w:rPr>
                    <w:t>rapport de restructuration des services des 2 ETD, plan de mobilisation de recettes locales propres, plan de formation des taxateurs et percepteurs</w:t>
                  </w:r>
                </w:p>
              </w:tc>
              <w:tc>
                <w:tcPr>
                  <w:tcW w:w="676" w:type="pct"/>
                  <w:shd w:val="clear" w:color="auto" w:fill="auto"/>
                </w:tcPr>
                <w:p w:rsidR="00BF459D" w:rsidRPr="002C2B2C" w:rsidRDefault="00BF459D" w:rsidP="00BF459D">
                  <w:pPr>
                    <w:spacing w:line="293" w:lineRule="atLeast"/>
                    <w:textAlignment w:val="baseline"/>
                    <w:rPr>
                      <w:rFonts w:cstheme="minorHAnsi"/>
                      <w:bCs/>
                      <w:lang w:eastAsia="fr-CD"/>
                    </w:rPr>
                  </w:pPr>
                  <w:r w:rsidRPr="002C2B2C">
                    <w:rPr>
                      <w:rFonts w:cstheme="minorHAnsi"/>
                      <w:bCs/>
                    </w:rPr>
                    <w:t>20 jours après validation du rapport diagnostic</w:t>
                  </w:r>
                </w:p>
              </w:tc>
              <w:tc>
                <w:tcPr>
                  <w:tcW w:w="669" w:type="pct"/>
                </w:tcPr>
                <w:p w:rsidR="00BF459D" w:rsidRPr="002C2B2C" w:rsidRDefault="00BF459D" w:rsidP="00BF459D">
                  <w:pPr>
                    <w:spacing w:line="293" w:lineRule="atLeast"/>
                    <w:jc w:val="center"/>
                    <w:textAlignment w:val="baseline"/>
                    <w:rPr>
                      <w:rFonts w:cstheme="minorHAnsi"/>
                      <w:bCs/>
                      <w:lang w:eastAsia="fr-CD"/>
                    </w:rPr>
                  </w:pPr>
                  <w:r w:rsidRPr="002C2B2C">
                    <w:rPr>
                      <w:rFonts w:cstheme="minorHAnsi"/>
                      <w:bCs/>
                    </w:rPr>
                    <w:t>35%</w:t>
                  </w:r>
                </w:p>
              </w:tc>
            </w:tr>
            <w:tr w:rsidR="00BF459D" w:rsidRPr="002C2B2C" w:rsidTr="00A77324">
              <w:trPr>
                <w:trHeight w:val="59"/>
              </w:trPr>
              <w:tc>
                <w:tcPr>
                  <w:tcW w:w="237" w:type="pct"/>
                </w:tcPr>
                <w:p w:rsidR="00BF459D" w:rsidRPr="002C2B2C" w:rsidRDefault="00BF459D" w:rsidP="00BF459D">
                  <w:pPr>
                    <w:pStyle w:val="Default"/>
                    <w:jc w:val="both"/>
                    <w:rPr>
                      <w:rFonts w:asciiTheme="minorHAnsi" w:eastAsia="Times New Roman" w:hAnsiTheme="minorHAnsi" w:cstheme="minorHAnsi"/>
                      <w:bCs/>
                      <w:color w:val="auto"/>
                      <w:sz w:val="22"/>
                      <w:szCs w:val="22"/>
                      <w:lang w:val="fr-FR"/>
                    </w:rPr>
                  </w:pPr>
                  <w:r w:rsidRPr="002C2B2C">
                    <w:rPr>
                      <w:rFonts w:asciiTheme="minorHAnsi" w:eastAsia="Times New Roman" w:hAnsiTheme="minorHAnsi" w:cstheme="minorHAnsi"/>
                      <w:bCs/>
                      <w:color w:val="auto"/>
                      <w:sz w:val="22"/>
                      <w:szCs w:val="22"/>
                      <w:lang w:val="fr-FR"/>
                    </w:rPr>
                    <w:t>4</w:t>
                  </w:r>
                </w:p>
              </w:tc>
              <w:tc>
                <w:tcPr>
                  <w:tcW w:w="3418" w:type="pct"/>
                  <w:shd w:val="clear" w:color="auto" w:fill="auto"/>
                </w:tcPr>
                <w:p w:rsidR="00BF459D" w:rsidRPr="002C2B2C" w:rsidRDefault="00BF459D" w:rsidP="00BF459D">
                  <w:pPr>
                    <w:pStyle w:val="Default"/>
                    <w:jc w:val="both"/>
                    <w:rPr>
                      <w:rFonts w:asciiTheme="minorHAnsi" w:hAnsiTheme="minorHAnsi" w:cstheme="minorHAnsi"/>
                      <w:bCs/>
                      <w:sz w:val="22"/>
                      <w:szCs w:val="22"/>
                      <w:lang w:val="fr-FR" w:eastAsia="fr-CD"/>
                    </w:rPr>
                  </w:pPr>
                  <w:r w:rsidRPr="002C2B2C">
                    <w:rPr>
                      <w:rFonts w:asciiTheme="minorHAnsi" w:hAnsiTheme="minorHAnsi" w:cstheme="minorHAnsi"/>
                      <w:bCs/>
                      <w:sz w:val="22"/>
                      <w:szCs w:val="22"/>
                    </w:rPr>
                    <w:t xml:space="preserve">Des </w:t>
                  </w:r>
                  <w:r w:rsidRPr="00813A0D">
                    <w:rPr>
                      <w:rFonts w:asciiTheme="minorHAnsi" w:hAnsiTheme="minorHAnsi" w:cstheme="minorHAnsi"/>
                      <w:b/>
                      <w:bCs/>
                      <w:sz w:val="22"/>
                      <w:szCs w:val="22"/>
                    </w:rPr>
                    <w:t>outils</w:t>
                  </w:r>
                  <w:r w:rsidRPr="002C2B2C">
                    <w:rPr>
                      <w:rFonts w:asciiTheme="minorHAnsi" w:hAnsiTheme="minorHAnsi" w:cstheme="minorHAnsi"/>
                      <w:bCs/>
                      <w:sz w:val="22"/>
                      <w:szCs w:val="22"/>
                    </w:rPr>
                    <w:t xml:space="preserve"> de gestion des recettes et de dépenses élaborées et une </w:t>
                  </w:r>
                  <w:r w:rsidRPr="00813A0D">
                    <w:rPr>
                      <w:rFonts w:asciiTheme="minorHAnsi" w:hAnsiTheme="minorHAnsi" w:cstheme="minorHAnsi"/>
                      <w:b/>
                      <w:bCs/>
                      <w:sz w:val="22"/>
                      <w:szCs w:val="22"/>
                    </w:rPr>
                    <w:t>formation</w:t>
                  </w:r>
                  <w:r w:rsidRPr="002C2B2C">
                    <w:rPr>
                      <w:rFonts w:asciiTheme="minorHAnsi" w:hAnsiTheme="minorHAnsi" w:cstheme="minorHAnsi"/>
                      <w:bCs/>
                      <w:sz w:val="22"/>
                      <w:szCs w:val="22"/>
                    </w:rPr>
                    <w:t xml:space="preserve"> organisée et </w:t>
                  </w:r>
                  <w:r w:rsidRPr="00813A0D">
                    <w:rPr>
                      <w:rFonts w:asciiTheme="minorHAnsi" w:hAnsiTheme="minorHAnsi" w:cstheme="minorHAnsi"/>
                      <w:b/>
                      <w:bCs/>
                      <w:sz w:val="22"/>
                      <w:szCs w:val="22"/>
                    </w:rPr>
                    <w:t>coaching</w:t>
                  </w:r>
                  <w:r w:rsidRPr="002C2B2C">
                    <w:rPr>
                      <w:rFonts w:asciiTheme="minorHAnsi" w:hAnsiTheme="minorHAnsi" w:cstheme="minorHAnsi"/>
                      <w:bCs/>
                      <w:sz w:val="22"/>
                      <w:szCs w:val="22"/>
                    </w:rPr>
                    <w:t xml:space="preserve"> assuré pour assurer une bonne utilisation par les agents commis à cette tâche ; les actions de </w:t>
                  </w:r>
                  <w:r w:rsidRPr="00813A0D">
                    <w:rPr>
                      <w:rFonts w:asciiTheme="minorHAnsi" w:hAnsiTheme="minorHAnsi" w:cstheme="minorHAnsi"/>
                      <w:b/>
                      <w:bCs/>
                      <w:sz w:val="22"/>
                      <w:szCs w:val="22"/>
                    </w:rPr>
                    <w:t>prévention</w:t>
                  </w:r>
                  <w:r w:rsidRPr="002C2B2C">
                    <w:rPr>
                      <w:rFonts w:asciiTheme="minorHAnsi" w:hAnsiTheme="minorHAnsi" w:cstheme="minorHAnsi"/>
                      <w:bCs/>
                      <w:sz w:val="22"/>
                      <w:szCs w:val="22"/>
                    </w:rPr>
                    <w:t xml:space="preserve"> et </w:t>
                  </w:r>
                  <w:r w:rsidRPr="00813A0D">
                    <w:rPr>
                      <w:rFonts w:asciiTheme="minorHAnsi" w:hAnsiTheme="minorHAnsi" w:cstheme="minorHAnsi"/>
                      <w:b/>
                      <w:bCs/>
                      <w:sz w:val="22"/>
                      <w:szCs w:val="22"/>
                    </w:rPr>
                    <w:t>de lutte contre le coulage de recettes</w:t>
                  </w:r>
                  <w:r w:rsidRPr="002C2B2C">
                    <w:rPr>
                      <w:rFonts w:asciiTheme="minorHAnsi" w:hAnsiTheme="minorHAnsi" w:cstheme="minorHAnsi"/>
                      <w:bCs/>
                      <w:sz w:val="22"/>
                      <w:szCs w:val="22"/>
                    </w:rPr>
                    <w:t xml:space="preserve"> sont intégrées dans l’analyse du consultant.  Résultat : </w:t>
                  </w:r>
                  <w:r w:rsidRPr="00813A0D">
                    <w:rPr>
                      <w:rFonts w:asciiTheme="minorHAnsi" w:hAnsiTheme="minorHAnsi" w:cstheme="minorHAnsi"/>
                      <w:b/>
                      <w:bCs/>
                      <w:sz w:val="22"/>
                      <w:szCs w:val="22"/>
                    </w:rPr>
                    <w:t>outils de gestion des recettes et dépenses, rapport de formation, plan de lutte contre la corruption et outils de prévention et sensibilisation avec rapport général de la mission</w:t>
                  </w:r>
                </w:p>
              </w:tc>
              <w:tc>
                <w:tcPr>
                  <w:tcW w:w="676" w:type="pct"/>
                  <w:shd w:val="clear" w:color="auto" w:fill="auto"/>
                </w:tcPr>
                <w:p w:rsidR="00BF459D" w:rsidRPr="002C2B2C" w:rsidRDefault="00BF459D" w:rsidP="00BF459D">
                  <w:pPr>
                    <w:spacing w:line="293" w:lineRule="atLeast"/>
                    <w:textAlignment w:val="baseline"/>
                    <w:rPr>
                      <w:rFonts w:cstheme="minorHAnsi"/>
                      <w:bCs/>
                      <w:lang w:eastAsia="fr-CD"/>
                    </w:rPr>
                  </w:pPr>
                  <w:r w:rsidRPr="002C2B2C">
                    <w:rPr>
                      <w:rFonts w:cstheme="minorHAnsi"/>
                      <w:bCs/>
                    </w:rPr>
                    <w:t>20 jours après la validation du rapport de restructuration, du plan de mobilisation et du plan de formation et du rapport général de la mission</w:t>
                  </w:r>
                </w:p>
              </w:tc>
              <w:tc>
                <w:tcPr>
                  <w:tcW w:w="669" w:type="pct"/>
                </w:tcPr>
                <w:p w:rsidR="00BF459D" w:rsidRPr="002C2B2C" w:rsidRDefault="00BF459D" w:rsidP="00BF459D">
                  <w:pPr>
                    <w:spacing w:line="293" w:lineRule="atLeast"/>
                    <w:jc w:val="center"/>
                    <w:textAlignment w:val="baseline"/>
                    <w:rPr>
                      <w:rFonts w:cstheme="minorHAnsi"/>
                      <w:bCs/>
                      <w:lang w:eastAsia="fr-CD"/>
                    </w:rPr>
                  </w:pPr>
                  <w:r w:rsidRPr="002C2B2C">
                    <w:rPr>
                      <w:rFonts w:cstheme="minorHAnsi"/>
                      <w:bCs/>
                    </w:rPr>
                    <w:t>25%</w:t>
                  </w:r>
                </w:p>
              </w:tc>
            </w:tr>
          </w:tbl>
          <w:p w:rsidR="00BF459D" w:rsidRPr="002C2B2C" w:rsidRDefault="00BF459D" w:rsidP="00A77324">
            <w:pPr>
              <w:jc w:val="both"/>
              <w:rPr>
                <w:rFonts w:eastAsia="Times New Roman" w:cstheme="minorHAnsi"/>
                <w:bCs/>
                <w:u w:val="single"/>
                <w:lang w:eastAsia="rw-RW"/>
              </w:rPr>
            </w:pPr>
          </w:p>
          <w:p w:rsidR="00F221F4" w:rsidRPr="002C2B2C" w:rsidRDefault="00F221F4" w:rsidP="00A77324">
            <w:pPr>
              <w:jc w:val="both"/>
              <w:rPr>
                <w:rFonts w:eastAsia="Times New Roman" w:cstheme="minorHAnsi"/>
                <w:bCs/>
                <w:lang w:eastAsia="rw-RW"/>
              </w:rPr>
            </w:pPr>
          </w:p>
        </w:tc>
      </w:tr>
    </w:tbl>
    <w:p w:rsidR="004F16F4" w:rsidRPr="00D71E0B" w:rsidRDefault="004F16F4" w:rsidP="0093254C">
      <w:pPr>
        <w:rPr>
          <w:rFonts w:cstheme="minorHAnsi"/>
          <w:b/>
        </w:rPr>
      </w:pPr>
    </w:p>
    <w:p w:rsidR="002C2B2C" w:rsidRDefault="002C2B2C" w:rsidP="0093254C">
      <w:pPr>
        <w:rPr>
          <w:rFonts w:cstheme="minorHAnsi"/>
          <w:b/>
        </w:rPr>
      </w:pPr>
    </w:p>
    <w:p w:rsidR="002C2B2C" w:rsidRDefault="002C2B2C" w:rsidP="0093254C">
      <w:pPr>
        <w:rPr>
          <w:rFonts w:cstheme="minorHAnsi"/>
          <w:b/>
        </w:rPr>
      </w:pPr>
    </w:p>
    <w:p w:rsidR="002C2B2C" w:rsidRDefault="002C2B2C" w:rsidP="0093254C">
      <w:pPr>
        <w:rPr>
          <w:rFonts w:cstheme="minorHAnsi"/>
          <w:b/>
        </w:rPr>
      </w:pPr>
    </w:p>
    <w:p w:rsidR="002C2B2C" w:rsidRDefault="002C2B2C" w:rsidP="0093254C">
      <w:pPr>
        <w:rPr>
          <w:rFonts w:cstheme="minorHAnsi"/>
          <w:b/>
        </w:rPr>
      </w:pPr>
    </w:p>
    <w:p w:rsidR="0093254C" w:rsidRPr="00D71E0B" w:rsidRDefault="009007AD" w:rsidP="0093254C">
      <w:pPr>
        <w:rPr>
          <w:rFonts w:cstheme="minorHAnsi"/>
          <w:b/>
        </w:rPr>
      </w:pPr>
      <w:r>
        <w:rPr>
          <w:rFonts w:cstheme="minorHAnsi"/>
          <w:b/>
        </w:rPr>
        <w:lastRenderedPageBreak/>
        <w:t>1</w:t>
      </w:r>
      <w:r w:rsidR="002C2B2C">
        <w:rPr>
          <w:rFonts w:cstheme="minorHAnsi"/>
          <w:b/>
        </w:rPr>
        <w:t>1</w:t>
      </w:r>
      <w:r w:rsidR="0093254C" w:rsidRPr="00D71E0B">
        <w:rPr>
          <w:rFonts w:cstheme="minorHAnsi"/>
          <w:b/>
        </w:rPr>
        <w:t xml:space="preserve">. Evaluation </w:t>
      </w:r>
    </w:p>
    <w:tbl>
      <w:tblPr>
        <w:tblStyle w:val="Grilledutableau"/>
        <w:tblW w:w="0" w:type="auto"/>
        <w:tblLook w:val="04A0"/>
      </w:tblPr>
      <w:tblGrid>
        <w:gridCol w:w="9576"/>
      </w:tblGrid>
      <w:tr w:rsidR="0093254C" w:rsidRPr="00D71E0B" w:rsidTr="00EA22E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54C" w:rsidRPr="00D71E0B" w:rsidRDefault="0093254C" w:rsidP="00EA22EA">
            <w:pPr>
              <w:jc w:val="both"/>
              <w:rPr>
                <w:rFonts w:eastAsia="Times New Roman" w:cstheme="minorHAnsi"/>
                <w:b/>
                <w:u w:val="single"/>
                <w:lang w:eastAsia="rw-RW"/>
              </w:rPr>
            </w:pPr>
          </w:p>
          <w:p w:rsidR="0093254C" w:rsidRPr="00D71E0B" w:rsidRDefault="0093254C" w:rsidP="00EA22EA">
            <w:pPr>
              <w:rPr>
                <w:rFonts w:cstheme="minorHAnsi"/>
              </w:rPr>
            </w:pPr>
            <w:r w:rsidRPr="00D71E0B">
              <w:rPr>
                <w:rFonts w:cstheme="minorHAnsi"/>
              </w:rPr>
              <w:t xml:space="preserve">Le/la consultant/e individuel sera évalué sur la base de la méthodologie de </w:t>
            </w:r>
            <w:r w:rsidRPr="00D71E0B">
              <w:rPr>
                <w:rFonts w:cstheme="minorHAnsi"/>
                <w:b/>
              </w:rPr>
              <w:t>Notation combinée.</w:t>
            </w:r>
            <w:r w:rsidRPr="00D71E0B">
              <w:rPr>
                <w:rFonts w:cstheme="minorHAnsi"/>
              </w:rPr>
              <w:t xml:space="preserve"> Lorsque cette méthode d’évaluation est utilisée, le contrat est attribué au consultant individuel dont l’offre a été évaluée et jugée :</w:t>
            </w:r>
          </w:p>
          <w:p w:rsidR="0093254C" w:rsidRPr="00D71E0B" w:rsidRDefault="0093254C" w:rsidP="00EA22EA">
            <w:pPr>
              <w:rPr>
                <w:rFonts w:cstheme="minorHAnsi"/>
              </w:rPr>
            </w:pPr>
          </w:p>
          <w:p w:rsidR="0093254C" w:rsidRPr="00D71E0B" w:rsidRDefault="0093254C" w:rsidP="00EA22EA">
            <w:pPr>
              <w:pStyle w:val="Paragraphedeliste"/>
              <w:numPr>
                <w:ilvl w:val="0"/>
                <w:numId w:val="34"/>
              </w:numPr>
              <w:rPr>
                <w:rFonts w:cstheme="minorHAnsi"/>
              </w:rPr>
            </w:pPr>
            <w:r w:rsidRPr="00D71E0B">
              <w:rPr>
                <w:rFonts w:cstheme="minorHAnsi"/>
              </w:rPr>
              <w:t>Répondante/conforme/ acceptable et,</w:t>
            </w:r>
          </w:p>
          <w:p w:rsidR="0093254C" w:rsidRPr="00D71E0B" w:rsidRDefault="0093254C" w:rsidP="00EA22EA">
            <w:pPr>
              <w:pStyle w:val="Paragraphedeliste"/>
              <w:numPr>
                <w:ilvl w:val="0"/>
                <w:numId w:val="34"/>
              </w:numPr>
              <w:rPr>
                <w:rFonts w:cstheme="minorHAnsi"/>
              </w:rPr>
            </w:pPr>
            <w:r w:rsidRPr="00D71E0B">
              <w:rPr>
                <w:rFonts w:cstheme="minorHAnsi"/>
              </w:rPr>
              <w:t>Ayant reçue la note globale pondérée la plus élevée sur la base des critères technique et financier spécifiés</w:t>
            </w:r>
          </w:p>
          <w:p w:rsidR="0093254C" w:rsidRPr="00D71E0B" w:rsidRDefault="0093254C" w:rsidP="00EA22EA">
            <w:pPr>
              <w:pStyle w:val="Paragraphedeliste"/>
              <w:rPr>
                <w:rFonts w:cstheme="minorHAnsi"/>
              </w:rPr>
            </w:pPr>
          </w:p>
          <w:p w:rsidR="0093254C" w:rsidRPr="00D71E0B" w:rsidRDefault="0093254C" w:rsidP="00EA22EA">
            <w:pPr>
              <w:rPr>
                <w:rFonts w:cstheme="minorHAnsi"/>
              </w:rPr>
            </w:pPr>
            <w:r w:rsidRPr="00D71E0B">
              <w:rPr>
                <w:rFonts w:cstheme="minorHAnsi"/>
              </w:rPr>
              <w:t>*</w:t>
            </w:r>
            <w:r w:rsidRPr="00D71E0B">
              <w:rPr>
                <w:rFonts w:cstheme="minorHAnsi"/>
                <w:u w:val="single"/>
              </w:rPr>
              <w:t xml:space="preserve">Pondération de l’évaluation technique : 70 % </w:t>
            </w:r>
          </w:p>
          <w:p w:rsidR="0093254C" w:rsidRPr="00D71E0B" w:rsidRDefault="0093254C" w:rsidP="00EA22EA">
            <w:pPr>
              <w:rPr>
                <w:rFonts w:cstheme="minorHAnsi"/>
              </w:rPr>
            </w:pPr>
            <w:r w:rsidRPr="00D71E0B">
              <w:rPr>
                <w:rFonts w:cstheme="minorHAnsi"/>
              </w:rPr>
              <w:t>*</w:t>
            </w:r>
            <w:r w:rsidRPr="00D71E0B">
              <w:rPr>
                <w:rFonts w:cstheme="minorHAnsi"/>
                <w:u w:val="single"/>
              </w:rPr>
              <w:t>Pondération de l’évaluation financière : 30 %</w:t>
            </w:r>
          </w:p>
          <w:p w:rsidR="0093254C" w:rsidRPr="00D71E0B" w:rsidRDefault="0093254C" w:rsidP="00EA22EA">
            <w:pPr>
              <w:jc w:val="both"/>
              <w:rPr>
                <w:rFonts w:eastAsia="Times New Roman" w:cstheme="minorHAnsi"/>
                <w:bCs/>
                <w:lang w:eastAsia="rw-RW"/>
              </w:rPr>
            </w:pPr>
          </w:p>
          <w:p w:rsidR="0093254C" w:rsidRPr="00D71E0B" w:rsidRDefault="0093254C" w:rsidP="00EA22EA">
            <w:pPr>
              <w:jc w:val="both"/>
              <w:rPr>
                <w:rFonts w:eastAsia="Times New Roman" w:cstheme="minorHAnsi"/>
                <w:bCs/>
                <w:lang w:eastAsia="rw-RW"/>
              </w:rPr>
            </w:pPr>
            <w:r w:rsidRPr="00D71E0B">
              <w:rPr>
                <w:rFonts w:eastAsia="Times New Roman" w:cstheme="minorHAnsi"/>
                <w:bCs/>
                <w:lang w:eastAsia="rw-RW"/>
              </w:rPr>
              <w:t>L’évaluation des offres se déroule en deux temps. L’évaluation des propositions techniques est achevée avant l’ouverture et la comparaison des propositions financières.</w:t>
            </w:r>
          </w:p>
          <w:p w:rsidR="0093254C" w:rsidRPr="00D71E0B" w:rsidRDefault="0093254C" w:rsidP="00EA22EA">
            <w:pPr>
              <w:jc w:val="both"/>
              <w:rPr>
                <w:rFonts w:eastAsia="Times New Roman" w:cstheme="minorHAnsi"/>
                <w:bCs/>
                <w:lang w:eastAsia="rw-RW"/>
              </w:rPr>
            </w:pPr>
          </w:p>
          <w:p w:rsidR="0093254C" w:rsidRPr="00D71E0B" w:rsidRDefault="0093254C" w:rsidP="00EA22EA">
            <w:pPr>
              <w:jc w:val="both"/>
              <w:rPr>
                <w:rFonts w:eastAsia="Times New Roman" w:cstheme="minorHAnsi"/>
                <w:bCs/>
                <w:lang w:eastAsia="rw-RW"/>
              </w:rPr>
            </w:pPr>
            <w:r w:rsidRPr="00D71E0B">
              <w:rPr>
                <w:rFonts w:eastAsia="Times New Roman" w:cstheme="minorHAnsi"/>
                <w:bCs/>
                <w:lang w:eastAsia="rw-RW"/>
              </w:rPr>
              <w:t>Le marché sera attribué au/à la Consultant(e) ayant présenté le meilleur score combiné (rapport qualité/prix, évaluation cumulative).</w:t>
            </w:r>
          </w:p>
          <w:p w:rsidR="0093254C" w:rsidRPr="00D71E0B" w:rsidRDefault="0093254C" w:rsidP="00EA22EA">
            <w:pPr>
              <w:jc w:val="both"/>
              <w:rPr>
                <w:rFonts w:eastAsia="Times New Roman" w:cstheme="minorHAnsi"/>
                <w:bCs/>
                <w:lang w:eastAsia="rw-RW"/>
              </w:rPr>
            </w:pPr>
          </w:p>
          <w:p w:rsidR="0093254C" w:rsidRPr="00D71E0B" w:rsidRDefault="0093254C" w:rsidP="00EA22EA">
            <w:pPr>
              <w:numPr>
                <w:ilvl w:val="0"/>
                <w:numId w:val="35"/>
              </w:numPr>
              <w:jc w:val="both"/>
              <w:rPr>
                <w:rFonts w:eastAsia="Times New Roman" w:cstheme="minorHAnsi"/>
                <w:bCs/>
                <w:i/>
                <w:u w:val="single"/>
                <w:lang w:val="en-US" w:eastAsia="rw-RW"/>
              </w:rPr>
            </w:pPr>
            <w:r w:rsidRPr="00D71E0B">
              <w:rPr>
                <w:rFonts w:eastAsia="Times New Roman" w:cstheme="minorHAnsi"/>
                <w:bCs/>
                <w:i/>
                <w:u w:val="single"/>
                <w:lang w:eastAsia="rw-RW"/>
              </w:rPr>
              <w:t>Les propositions techniques</w:t>
            </w:r>
          </w:p>
          <w:p w:rsidR="0093254C" w:rsidRPr="00D71E0B" w:rsidRDefault="0093254C" w:rsidP="00EA22EA">
            <w:pPr>
              <w:jc w:val="both"/>
              <w:rPr>
                <w:rFonts w:eastAsia="Times New Roman" w:cstheme="minorHAnsi"/>
                <w:bCs/>
                <w:i/>
                <w:u w:val="single"/>
                <w:lang w:eastAsia="rw-RW"/>
              </w:rPr>
            </w:pPr>
          </w:p>
          <w:p w:rsidR="0093254C" w:rsidRPr="00D71E0B" w:rsidRDefault="0093254C" w:rsidP="00EA22EA">
            <w:pPr>
              <w:jc w:val="both"/>
              <w:rPr>
                <w:rFonts w:cstheme="minorHAnsi"/>
              </w:rPr>
            </w:pPr>
            <w:r w:rsidRPr="00D71E0B">
              <w:rPr>
                <w:rFonts w:cstheme="minorHAnsi"/>
              </w:rPr>
              <w:t>Les propositions techniques seront évaluées sur leur degré de réponse par rapport aux termes de référence et sur la base des critères suivants :</w:t>
            </w:r>
          </w:p>
          <w:p w:rsidR="0093254C" w:rsidRPr="00D71E0B" w:rsidRDefault="0093254C" w:rsidP="00EA22EA">
            <w:pPr>
              <w:jc w:val="both"/>
              <w:rPr>
                <w:rFonts w:cs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118"/>
              <w:gridCol w:w="1436"/>
            </w:tblGrid>
            <w:tr w:rsidR="006040EB" w:rsidRPr="00D71E0B" w:rsidTr="00157C92">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rsidR="006040EB" w:rsidRPr="00D71E0B" w:rsidRDefault="006040EB" w:rsidP="006040EB">
                  <w:pPr>
                    <w:spacing w:line="360" w:lineRule="auto"/>
                    <w:ind w:left="173"/>
                    <w:rPr>
                      <w:rFonts w:cstheme="minorHAnsi"/>
                      <w:b/>
                      <w:lang w:eastAsia="fr-CD"/>
                    </w:rPr>
                  </w:pPr>
                  <w:r w:rsidRPr="00D71E0B">
                    <w:rPr>
                      <w:rFonts w:cstheme="minorHAnsi"/>
                      <w:b/>
                      <w:lang w:eastAsia="fr-CD"/>
                    </w:rPr>
                    <w:t>Critères</w:t>
                  </w:r>
                </w:p>
              </w:tc>
              <w:tc>
                <w:tcPr>
                  <w:tcW w:w="1436" w:type="dxa"/>
                  <w:tcBorders>
                    <w:top w:val="outset" w:sz="6" w:space="0" w:color="auto"/>
                    <w:left w:val="outset" w:sz="6" w:space="0" w:color="auto"/>
                    <w:bottom w:val="outset" w:sz="6" w:space="0" w:color="auto"/>
                    <w:right w:val="outset" w:sz="6" w:space="0" w:color="auto"/>
                  </w:tcBorders>
                  <w:vAlign w:val="center"/>
                </w:tcPr>
                <w:p w:rsidR="006040EB" w:rsidRPr="00D71E0B" w:rsidRDefault="006040EB" w:rsidP="006040EB">
                  <w:pPr>
                    <w:spacing w:line="360" w:lineRule="auto"/>
                    <w:jc w:val="center"/>
                    <w:rPr>
                      <w:rFonts w:cstheme="minorHAnsi"/>
                      <w:b/>
                      <w:lang w:eastAsia="fr-CD"/>
                    </w:rPr>
                  </w:pPr>
                  <w:r w:rsidRPr="00D71E0B">
                    <w:rPr>
                      <w:rFonts w:cstheme="minorHAnsi"/>
                      <w:b/>
                      <w:lang w:eastAsia="fr-CD"/>
                    </w:rPr>
                    <w:t>Points</w:t>
                  </w:r>
                </w:p>
              </w:tc>
            </w:tr>
            <w:tr w:rsidR="006040EB" w:rsidRPr="00D71E0B" w:rsidTr="00157C92">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rsidR="006040EB" w:rsidRPr="00D71E0B" w:rsidRDefault="006040EB" w:rsidP="006040EB">
                  <w:pPr>
                    <w:spacing w:before="100" w:beforeAutospacing="1" w:after="100" w:afterAutospacing="1"/>
                    <w:ind w:left="153"/>
                    <w:rPr>
                      <w:rFonts w:cstheme="minorHAnsi"/>
                      <w:lang w:eastAsia="fr-CD"/>
                    </w:rPr>
                  </w:pPr>
                  <w:r w:rsidRPr="00D71E0B">
                    <w:rPr>
                      <w:rFonts w:cstheme="minorHAnsi"/>
                      <w:lang w:eastAsia="fr-CD"/>
                    </w:rPr>
                    <w:t>Le soumissionnaire a-t-il le diplôme requis ?</w:t>
                  </w:r>
                </w:p>
              </w:tc>
              <w:tc>
                <w:tcPr>
                  <w:tcW w:w="1436" w:type="dxa"/>
                  <w:tcBorders>
                    <w:top w:val="outset" w:sz="6" w:space="0" w:color="auto"/>
                    <w:left w:val="outset" w:sz="6" w:space="0" w:color="auto"/>
                    <w:bottom w:val="outset" w:sz="6" w:space="0" w:color="auto"/>
                    <w:right w:val="outset" w:sz="6" w:space="0" w:color="auto"/>
                  </w:tcBorders>
                  <w:vAlign w:val="center"/>
                </w:tcPr>
                <w:p w:rsidR="006040EB" w:rsidRPr="00150A0E" w:rsidRDefault="00D81A0B" w:rsidP="006040EB">
                  <w:pPr>
                    <w:spacing w:line="360" w:lineRule="auto"/>
                    <w:jc w:val="center"/>
                    <w:rPr>
                      <w:rFonts w:cstheme="minorHAnsi"/>
                      <w:lang w:eastAsia="fr-CD"/>
                    </w:rPr>
                  </w:pPr>
                  <w:r w:rsidRPr="00150A0E">
                    <w:rPr>
                      <w:rFonts w:cstheme="minorHAnsi"/>
                      <w:lang w:eastAsia="fr-CD"/>
                    </w:rPr>
                    <w:t>10</w:t>
                  </w:r>
                </w:p>
              </w:tc>
            </w:tr>
            <w:tr w:rsidR="006040EB" w:rsidRPr="00D71E0B" w:rsidTr="00157C92">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rsidR="006040EB" w:rsidRPr="00D71E0B" w:rsidRDefault="006040EB" w:rsidP="006040EB">
                  <w:pPr>
                    <w:spacing w:before="100" w:beforeAutospacing="1" w:after="100" w:afterAutospacing="1"/>
                    <w:ind w:left="153"/>
                    <w:rPr>
                      <w:rFonts w:cstheme="minorHAnsi"/>
                      <w:lang w:eastAsia="fr-CD"/>
                    </w:rPr>
                  </w:pPr>
                  <w:r w:rsidRPr="00D71E0B">
                    <w:rPr>
                      <w:rFonts w:cstheme="minorHAnsi"/>
                      <w:lang w:eastAsia="fr-CD"/>
                    </w:rPr>
                    <w:t>À quel degré le soumissionnaire comprend-il la tâche ?</w:t>
                  </w:r>
                </w:p>
              </w:tc>
              <w:tc>
                <w:tcPr>
                  <w:tcW w:w="1436" w:type="dxa"/>
                  <w:tcBorders>
                    <w:top w:val="outset" w:sz="6" w:space="0" w:color="auto"/>
                    <w:left w:val="outset" w:sz="6" w:space="0" w:color="auto"/>
                    <w:bottom w:val="outset" w:sz="6" w:space="0" w:color="auto"/>
                    <w:right w:val="outset" w:sz="6" w:space="0" w:color="auto"/>
                  </w:tcBorders>
                  <w:vAlign w:val="center"/>
                </w:tcPr>
                <w:p w:rsidR="006040EB" w:rsidRPr="00150A0E" w:rsidRDefault="00D81A0B" w:rsidP="006040EB">
                  <w:pPr>
                    <w:spacing w:line="360" w:lineRule="auto"/>
                    <w:jc w:val="center"/>
                    <w:rPr>
                      <w:rFonts w:cstheme="minorHAnsi"/>
                      <w:lang w:eastAsia="fr-CD"/>
                    </w:rPr>
                  </w:pPr>
                  <w:r w:rsidRPr="00150A0E">
                    <w:rPr>
                      <w:rFonts w:cstheme="minorHAnsi"/>
                      <w:lang w:eastAsia="fr-CD"/>
                    </w:rPr>
                    <w:t>30</w:t>
                  </w:r>
                </w:p>
              </w:tc>
            </w:tr>
            <w:tr w:rsidR="006040EB" w:rsidRPr="00D71E0B" w:rsidTr="00157C92">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rsidR="006040EB" w:rsidRPr="00D71E0B" w:rsidRDefault="006040EB" w:rsidP="006040EB">
                  <w:pPr>
                    <w:spacing w:before="100" w:beforeAutospacing="1" w:after="100" w:afterAutospacing="1"/>
                    <w:ind w:left="153"/>
                    <w:rPr>
                      <w:rFonts w:cstheme="minorHAnsi"/>
                      <w:lang w:eastAsia="fr-CD"/>
                    </w:rPr>
                  </w:pPr>
                  <w:r w:rsidRPr="00D71E0B">
                    <w:rPr>
                      <w:rFonts w:cstheme="minorHAnsi"/>
                      <w:lang w:eastAsia="fr-CD"/>
                    </w:rPr>
                    <w:t>Le cadre de travail conceptuel proposé est-il approprié à la tâche et l’objectif de la tâche est-il bien défini et correspond-il aux TDR ?</w:t>
                  </w:r>
                </w:p>
              </w:tc>
              <w:tc>
                <w:tcPr>
                  <w:tcW w:w="1436" w:type="dxa"/>
                  <w:tcBorders>
                    <w:top w:val="outset" w:sz="6" w:space="0" w:color="auto"/>
                    <w:left w:val="outset" w:sz="6" w:space="0" w:color="auto"/>
                    <w:bottom w:val="outset" w:sz="6" w:space="0" w:color="auto"/>
                    <w:right w:val="outset" w:sz="6" w:space="0" w:color="auto"/>
                  </w:tcBorders>
                  <w:vAlign w:val="center"/>
                </w:tcPr>
                <w:p w:rsidR="006040EB" w:rsidRPr="00150A0E" w:rsidRDefault="00D81A0B" w:rsidP="006040EB">
                  <w:pPr>
                    <w:spacing w:line="360" w:lineRule="auto"/>
                    <w:jc w:val="center"/>
                    <w:rPr>
                      <w:rFonts w:cstheme="minorHAnsi"/>
                      <w:lang w:eastAsia="fr-CD"/>
                    </w:rPr>
                  </w:pPr>
                  <w:r w:rsidRPr="00150A0E">
                    <w:rPr>
                      <w:rFonts w:cstheme="minorHAnsi"/>
                      <w:lang w:eastAsia="fr-CD"/>
                    </w:rPr>
                    <w:t>35</w:t>
                  </w:r>
                </w:p>
              </w:tc>
            </w:tr>
            <w:tr w:rsidR="006040EB" w:rsidRPr="00D71E0B" w:rsidTr="00157C92">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rsidR="006040EB" w:rsidRPr="00D71E0B" w:rsidRDefault="006040EB" w:rsidP="006040EB">
                  <w:pPr>
                    <w:spacing w:before="100" w:beforeAutospacing="1" w:after="100" w:afterAutospacing="1"/>
                    <w:ind w:left="153"/>
                    <w:rPr>
                      <w:rFonts w:cstheme="minorHAnsi"/>
                      <w:lang w:eastAsia="fr-CD"/>
                    </w:rPr>
                  </w:pPr>
                  <w:r w:rsidRPr="00D71E0B">
                    <w:rPr>
                      <w:rFonts w:cstheme="minorHAnsi"/>
                      <w:lang w:eastAsia="fr-CD"/>
                    </w:rPr>
                    <w:t>La présentation est-elle claire et l’organisation des activités ainsi que le calendrier proposé sont-ils réalisables et garantissent-il la bonne réalisation des produits attendus de la mission d’évaluation ?</w:t>
                  </w:r>
                </w:p>
              </w:tc>
              <w:tc>
                <w:tcPr>
                  <w:tcW w:w="1436" w:type="dxa"/>
                  <w:tcBorders>
                    <w:top w:val="outset" w:sz="6" w:space="0" w:color="auto"/>
                    <w:left w:val="outset" w:sz="6" w:space="0" w:color="auto"/>
                    <w:bottom w:val="outset" w:sz="6" w:space="0" w:color="auto"/>
                    <w:right w:val="outset" w:sz="6" w:space="0" w:color="auto"/>
                  </w:tcBorders>
                  <w:vAlign w:val="center"/>
                </w:tcPr>
                <w:p w:rsidR="006040EB" w:rsidRPr="00150A0E" w:rsidRDefault="006040EB" w:rsidP="006040EB">
                  <w:pPr>
                    <w:spacing w:line="360" w:lineRule="auto"/>
                    <w:jc w:val="center"/>
                    <w:rPr>
                      <w:rFonts w:cstheme="minorHAnsi"/>
                      <w:lang w:eastAsia="fr-CD"/>
                    </w:rPr>
                  </w:pPr>
                  <w:r w:rsidRPr="00150A0E">
                    <w:rPr>
                      <w:rFonts w:cstheme="minorHAnsi"/>
                      <w:lang w:eastAsia="fr-CD"/>
                    </w:rPr>
                    <w:t>2</w:t>
                  </w:r>
                  <w:r w:rsidR="00D81A0B" w:rsidRPr="00150A0E">
                    <w:rPr>
                      <w:rFonts w:cstheme="minorHAnsi"/>
                      <w:lang w:eastAsia="fr-CD"/>
                    </w:rPr>
                    <w:t>5</w:t>
                  </w:r>
                </w:p>
              </w:tc>
            </w:tr>
            <w:tr w:rsidR="006040EB" w:rsidRPr="00D71E0B" w:rsidTr="00157C92">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rsidR="006040EB" w:rsidRPr="00D71E0B" w:rsidRDefault="006040EB" w:rsidP="006040EB">
                  <w:pPr>
                    <w:spacing w:line="360" w:lineRule="auto"/>
                    <w:ind w:left="173"/>
                    <w:rPr>
                      <w:rFonts w:cstheme="minorHAnsi"/>
                      <w:b/>
                      <w:lang w:eastAsia="fr-CD"/>
                    </w:rPr>
                  </w:pPr>
                  <w:r w:rsidRPr="00D71E0B">
                    <w:rPr>
                      <w:rFonts w:cstheme="minorHAnsi"/>
                      <w:b/>
                      <w:lang w:eastAsia="fr-CD"/>
                    </w:rPr>
                    <w:t>Total note technique</w:t>
                  </w:r>
                </w:p>
              </w:tc>
              <w:tc>
                <w:tcPr>
                  <w:tcW w:w="1436" w:type="dxa"/>
                  <w:tcBorders>
                    <w:top w:val="outset" w:sz="6" w:space="0" w:color="auto"/>
                    <w:left w:val="outset" w:sz="6" w:space="0" w:color="auto"/>
                    <w:bottom w:val="outset" w:sz="6" w:space="0" w:color="auto"/>
                    <w:right w:val="outset" w:sz="6" w:space="0" w:color="auto"/>
                  </w:tcBorders>
                  <w:vAlign w:val="center"/>
                </w:tcPr>
                <w:p w:rsidR="006040EB" w:rsidRPr="00150A0E" w:rsidRDefault="006040EB" w:rsidP="006040EB">
                  <w:pPr>
                    <w:spacing w:line="360" w:lineRule="auto"/>
                    <w:jc w:val="center"/>
                    <w:rPr>
                      <w:rFonts w:cstheme="minorHAnsi"/>
                      <w:b/>
                      <w:lang w:eastAsia="fr-CD"/>
                    </w:rPr>
                  </w:pPr>
                  <w:r w:rsidRPr="00150A0E">
                    <w:rPr>
                      <w:rFonts w:cstheme="minorHAnsi"/>
                      <w:b/>
                      <w:lang w:eastAsia="fr-CD"/>
                    </w:rPr>
                    <w:t>100</w:t>
                  </w:r>
                </w:p>
              </w:tc>
            </w:tr>
          </w:tbl>
          <w:p w:rsidR="0093254C" w:rsidRPr="00D71E0B" w:rsidRDefault="0093254C" w:rsidP="00EA22EA">
            <w:pPr>
              <w:jc w:val="both"/>
              <w:rPr>
                <w:rFonts w:eastAsia="Times New Roman" w:cstheme="minorHAnsi"/>
                <w:bCs/>
                <w:lang w:eastAsia="rw-RW"/>
              </w:rPr>
            </w:pPr>
          </w:p>
          <w:p w:rsidR="0093254C" w:rsidRPr="00D71E0B" w:rsidRDefault="0093254C" w:rsidP="00EA22EA">
            <w:pPr>
              <w:jc w:val="both"/>
              <w:rPr>
                <w:rFonts w:cstheme="minorHAnsi"/>
                <w:b/>
              </w:rPr>
            </w:pPr>
            <w:r w:rsidRPr="00D71E0B">
              <w:rPr>
                <w:rFonts w:cstheme="minorHAnsi"/>
                <w:b/>
              </w:rPr>
              <w:t>Seront jugées qualifiées, les propositions techniques qui obtiendront 70% de la note maximale de 100 points ; cette note technique sera pondérée a 70%.</w:t>
            </w:r>
          </w:p>
          <w:p w:rsidR="0093254C" w:rsidRPr="00D71E0B" w:rsidRDefault="0093254C" w:rsidP="00EA22EA">
            <w:pPr>
              <w:jc w:val="both"/>
              <w:rPr>
                <w:rFonts w:cstheme="minorHAnsi"/>
                <w:b/>
                <w:i/>
              </w:rPr>
            </w:pPr>
          </w:p>
          <w:p w:rsidR="0093254C" w:rsidRPr="00D71E0B" w:rsidRDefault="0093254C" w:rsidP="00EA22EA">
            <w:pPr>
              <w:jc w:val="both"/>
              <w:rPr>
                <w:rFonts w:cstheme="minorHAnsi"/>
                <w:b/>
                <w:i/>
              </w:rPr>
            </w:pPr>
            <w:r w:rsidRPr="00D71E0B">
              <w:rPr>
                <w:rFonts w:cstheme="minorHAnsi"/>
                <w:b/>
                <w:i/>
              </w:rPr>
              <w:t>Seulement les candidats ayant obtenu la note minimale de 70/100 à l´évaluation technique seront considérés pour l’évaluation financièr</w:t>
            </w:r>
            <w:r w:rsidR="00093AE4">
              <w:rPr>
                <w:rFonts w:cstheme="minorHAnsi"/>
                <w:b/>
                <w:i/>
              </w:rPr>
              <w:t>s</w:t>
            </w:r>
            <w:r w:rsidRPr="00D71E0B">
              <w:rPr>
                <w:rFonts w:cstheme="minorHAnsi"/>
                <w:b/>
                <w:i/>
              </w:rPr>
              <w:t>e.</w:t>
            </w:r>
          </w:p>
          <w:p w:rsidR="0093254C" w:rsidRPr="00D71E0B" w:rsidRDefault="0093254C" w:rsidP="00EA22EA">
            <w:pPr>
              <w:jc w:val="both"/>
              <w:rPr>
                <w:rFonts w:cstheme="minorHAnsi"/>
                <w:b/>
                <w:i/>
              </w:rPr>
            </w:pPr>
          </w:p>
          <w:p w:rsidR="0093254C" w:rsidRPr="00D71E0B" w:rsidRDefault="0093254C" w:rsidP="00EA22EA">
            <w:pPr>
              <w:numPr>
                <w:ilvl w:val="0"/>
                <w:numId w:val="35"/>
              </w:numPr>
              <w:contextualSpacing/>
              <w:jc w:val="both"/>
              <w:rPr>
                <w:rFonts w:eastAsia="Times New Roman" w:cstheme="minorHAnsi"/>
                <w:i/>
                <w:u w:val="single"/>
                <w:lang w:val="en-US" w:eastAsia="rw-RW"/>
              </w:rPr>
            </w:pPr>
            <w:r w:rsidRPr="00D71E0B">
              <w:rPr>
                <w:rFonts w:eastAsia="Times New Roman" w:cstheme="minorHAnsi"/>
                <w:i/>
                <w:u w:val="single"/>
                <w:lang w:eastAsia="rw-RW"/>
              </w:rPr>
              <w:t>Les propositions financières</w:t>
            </w:r>
          </w:p>
          <w:p w:rsidR="0093254C" w:rsidRPr="00D71E0B" w:rsidRDefault="0093254C" w:rsidP="00EA22EA">
            <w:pPr>
              <w:jc w:val="both"/>
              <w:rPr>
                <w:rFonts w:eastAsia="Times New Roman" w:cstheme="minorHAnsi"/>
                <w:bCs/>
                <w:lang w:eastAsia="rw-RW"/>
              </w:rPr>
            </w:pPr>
          </w:p>
          <w:p w:rsidR="0093254C" w:rsidRPr="00D71E0B" w:rsidRDefault="0093254C" w:rsidP="00EA22EA">
            <w:pPr>
              <w:jc w:val="both"/>
              <w:rPr>
                <w:rFonts w:eastAsia="Times New Roman" w:cstheme="minorHAnsi"/>
                <w:lang w:eastAsia="rw-RW"/>
              </w:rPr>
            </w:pPr>
            <w:r w:rsidRPr="00D71E0B">
              <w:rPr>
                <w:rFonts w:eastAsia="Times New Roman" w:cstheme="minorHAnsi"/>
                <w:lang w:eastAsia="rw-RW"/>
              </w:rPr>
              <w:t>Dans une deuxième étape du processus d’évaluation, les enveloppes financières seront ouvertes et les offres financières comparées ; une note financière sera calculée pour chaque proposition sur la base de la formule :</w:t>
            </w:r>
          </w:p>
          <w:p w:rsidR="0093254C" w:rsidRPr="00D71E0B" w:rsidRDefault="0093254C" w:rsidP="00EA22EA">
            <w:pPr>
              <w:jc w:val="both"/>
              <w:rPr>
                <w:rFonts w:eastAsia="Times New Roman" w:cstheme="minorHAnsi"/>
                <w:lang w:eastAsia="rw-RW"/>
              </w:rPr>
            </w:pPr>
          </w:p>
          <w:p w:rsidR="0093254C" w:rsidRPr="00D71E0B" w:rsidRDefault="0093254C" w:rsidP="0093254C">
            <w:pPr>
              <w:pStyle w:val="Paragraphedeliste"/>
              <w:numPr>
                <w:ilvl w:val="0"/>
                <w:numId w:val="13"/>
              </w:numPr>
              <w:jc w:val="both"/>
              <w:rPr>
                <w:rFonts w:eastAsia="Times New Roman" w:cstheme="minorHAnsi"/>
                <w:b/>
                <w:i/>
                <w:lang w:eastAsia="rw-RW"/>
              </w:rPr>
            </w:pPr>
            <w:r w:rsidRPr="00D71E0B">
              <w:rPr>
                <w:rFonts w:eastAsia="Times New Roman" w:cstheme="minorHAnsi"/>
                <w:b/>
                <w:i/>
                <w:lang w:eastAsia="rw-RW"/>
              </w:rPr>
              <w:t>Note financière A = [(Offre financière la moins disante)/Offre financière de A] x 30</w:t>
            </w:r>
          </w:p>
          <w:p w:rsidR="0093254C" w:rsidRPr="00D71E0B" w:rsidRDefault="0093254C" w:rsidP="00EA22EA">
            <w:pPr>
              <w:jc w:val="both"/>
              <w:rPr>
                <w:rFonts w:eastAsia="Times New Roman" w:cstheme="minorHAnsi"/>
                <w:b/>
                <w:i/>
                <w:u w:val="single"/>
                <w:lang w:eastAsia="rw-RW"/>
              </w:rPr>
            </w:pPr>
          </w:p>
          <w:p w:rsidR="0093254C" w:rsidRPr="00D71E0B" w:rsidRDefault="0093254C" w:rsidP="00EA22EA">
            <w:pPr>
              <w:jc w:val="both"/>
              <w:rPr>
                <w:rFonts w:eastAsia="Times New Roman" w:cstheme="minorHAnsi"/>
                <w:b/>
                <w:lang w:eastAsia="rw-RW"/>
              </w:rPr>
            </w:pPr>
            <w:r w:rsidRPr="00D71E0B">
              <w:rPr>
                <w:rFonts w:eastAsia="Times New Roman" w:cstheme="minorHAnsi"/>
                <w:b/>
                <w:lang w:eastAsia="rw-RW"/>
              </w:rPr>
              <w:t>Le/la Consultant (e) avec le cumul de notes (Technique + Financière) le plus élevé sera retenu pour le contrat.</w:t>
            </w:r>
          </w:p>
          <w:p w:rsidR="0093254C" w:rsidRPr="00D71E0B" w:rsidRDefault="0093254C" w:rsidP="00EA22EA">
            <w:pPr>
              <w:jc w:val="both"/>
              <w:rPr>
                <w:rFonts w:cstheme="minorHAnsi"/>
                <w:b/>
                <w:i/>
              </w:rPr>
            </w:pPr>
          </w:p>
          <w:p w:rsidR="0093254C" w:rsidRPr="00D71E0B" w:rsidRDefault="0093254C" w:rsidP="00EA22EA">
            <w:pPr>
              <w:jc w:val="both"/>
              <w:rPr>
                <w:rFonts w:eastAsia="Times New Roman" w:cstheme="minorHAnsi"/>
                <w:bCs/>
                <w:lang w:eastAsia="rw-RW"/>
              </w:rPr>
            </w:pPr>
            <w:r w:rsidRPr="00D71E0B">
              <w:rPr>
                <w:rFonts w:eastAsia="Times New Roman" w:cstheme="minorHAnsi"/>
                <w:bCs/>
                <w:lang w:eastAsia="rw-RW"/>
              </w:rPr>
              <w:t>Le/la Consultant(e) fait sa proposition financière suivant le Tableau des coûts dans l´Annexe II (Lettre de soumission au PNUD). Il doit proposer un montant forfaitaire et présenter, dans le Tableau des coûts, la ventilation de ce montant forfaitaire.</w:t>
            </w:r>
          </w:p>
          <w:p w:rsidR="0093254C" w:rsidRPr="00D71E0B" w:rsidRDefault="0093254C" w:rsidP="00EA22EA">
            <w:pPr>
              <w:jc w:val="both"/>
              <w:rPr>
                <w:rFonts w:eastAsia="Times New Roman" w:cstheme="minorHAnsi"/>
                <w:bCs/>
                <w:lang w:eastAsia="rw-RW"/>
              </w:rPr>
            </w:pPr>
          </w:p>
          <w:p w:rsidR="0093254C" w:rsidRPr="00D71E0B" w:rsidRDefault="0093254C" w:rsidP="00EA22EA">
            <w:pPr>
              <w:jc w:val="both"/>
              <w:rPr>
                <w:rFonts w:eastAsia="Times New Roman" w:cstheme="minorHAnsi"/>
                <w:bCs/>
                <w:lang w:eastAsia="rw-RW"/>
              </w:rPr>
            </w:pPr>
            <w:r w:rsidRPr="00D71E0B">
              <w:rPr>
                <w:rFonts w:eastAsia="Times New Roman" w:cstheme="minorHAnsi"/>
                <w:bCs/>
                <w:lang w:eastAsia="rw-RW"/>
              </w:rPr>
              <w:t>Le/la consultant/e devra inclure tous les frais lui permettant d’exécuter la mission suivant la durée prévue. Les paiements seront effectués sur la base de la production des livrables tels que mentionné dans la Section 3 – Livrables et Tranches de Paiement.</w:t>
            </w:r>
          </w:p>
        </w:tc>
      </w:tr>
    </w:tbl>
    <w:p w:rsidR="0093254C" w:rsidRPr="00D71E0B" w:rsidRDefault="0093254C" w:rsidP="0093254C">
      <w:pPr>
        <w:rPr>
          <w:rFonts w:cstheme="minorHAnsi"/>
          <w:b/>
        </w:rPr>
      </w:pPr>
    </w:p>
    <w:p w:rsidR="0093254C" w:rsidRPr="00D71E0B" w:rsidRDefault="0093254C" w:rsidP="0093254C">
      <w:pPr>
        <w:rPr>
          <w:rFonts w:cstheme="minorHAnsi"/>
          <w:b/>
        </w:rPr>
      </w:pPr>
      <w:r w:rsidRPr="00D71E0B">
        <w:rPr>
          <w:rFonts w:cstheme="minorHAnsi"/>
          <w:b/>
        </w:rPr>
        <w:t>1</w:t>
      </w:r>
      <w:r w:rsidR="0006654C">
        <w:rPr>
          <w:rFonts w:cstheme="minorHAnsi"/>
          <w:b/>
        </w:rPr>
        <w:t>2</w:t>
      </w:r>
      <w:r w:rsidRPr="00D71E0B">
        <w:rPr>
          <w:rFonts w:cstheme="minorHAnsi"/>
          <w:b/>
        </w:rPr>
        <w:t xml:space="preserve">. </w:t>
      </w:r>
      <w:r w:rsidRPr="00D71E0B">
        <w:rPr>
          <w:rFonts w:eastAsia="Calibri" w:cstheme="minorHAnsi"/>
          <w:b/>
        </w:rPr>
        <w:t>Autres informations pertinentes</w:t>
      </w:r>
    </w:p>
    <w:tbl>
      <w:tblPr>
        <w:tblStyle w:val="Grilledutableau"/>
        <w:tblW w:w="0" w:type="auto"/>
        <w:tblLook w:val="04A0"/>
      </w:tblPr>
      <w:tblGrid>
        <w:gridCol w:w="9576"/>
      </w:tblGrid>
      <w:tr w:rsidR="0093254C" w:rsidRPr="00D71E0B" w:rsidTr="00EA22EA">
        <w:trPr>
          <w:trHeight w:val="2415"/>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254C" w:rsidRPr="00D71E0B" w:rsidRDefault="0093254C" w:rsidP="0093254C">
            <w:pPr>
              <w:pStyle w:val="Paragraphedeliste"/>
              <w:numPr>
                <w:ilvl w:val="0"/>
                <w:numId w:val="13"/>
              </w:numPr>
              <w:rPr>
                <w:rFonts w:cstheme="minorHAnsi"/>
              </w:rPr>
            </w:pPr>
            <w:r w:rsidRPr="00D71E0B">
              <w:rPr>
                <w:rFonts w:cstheme="minorHAnsi"/>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93254C" w:rsidRPr="00D71E0B" w:rsidRDefault="0093254C" w:rsidP="00EA22EA">
            <w:pPr>
              <w:rPr>
                <w:rFonts w:cstheme="minorHAnsi"/>
              </w:rPr>
            </w:pPr>
          </w:p>
          <w:p w:rsidR="0093254C" w:rsidRPr="00D71E0B" w:rsidRDefault="0093254C" w:rsidP="0093254C">
            <w:pPr>
              <w:pStyle w:val="Paragraphedeliste"/>
              <w:numPr>
                <w:ilvl w:val="0"/>
                <w:numId w:val="13"/>
              </w:numPr>
              <w:rPr>
                <w:rFonts w:cstheme="minorHAnsi"/>
              </w:rPr>
            </w:pPr>
            <w:r w:rsidRPr="00D71E0B">
              <w:rPr>
                <w:rFonts w:cstheme="minorHAnsi"/>
              </w:rPr>
              <w:t xml:space="preserve">Le consultant retenu devra prendre toutes les dispositions nécessaires pour faire les </w:t>
            </w:r>
            <w:r w:rsidRPr="00D71E0B">
              <w:rPr>
                <w:rFonts w:cstheme="minorHAnsi"/>
                <w:b/>
              </w:rPr>
              <w:t xml:space="preserve">formations sécuritaires requises </w:t>
            </w:r>
            <w:r w:rsidRPr="00D71E0B">
              <w:rPr>
                <w:rFonts w:cstheme="minorHAnsi"/>
              </w:rPr>
              <w:t>avant tout démarrage de mission (ces certificats sont obtenus en ligne, le PNUD fournira tous les détails au consultant retenu au moment de l´attribution du contrat).</w:t>
            </w:r>
          </w:p>
        </w:tc>
        <w:bookmarkEnd w:id="1"/>
      </w:tr>
    </w:tbl>
    <w:p w:rsidR="0093254C" w:rsidRPr="00D71E0B" w:rsidRDefault="0093254C" w:rsidP="0093254C">
      <w:pPr>
        <w:rPr>
          <w:rFonts w:cstheme="minorHAnsi"/>
          <w:b/>
          <w:lang w:val="fr-CD"/>
        </w:rPr>
      </w:pPr>
    </w:p>
    <w:p w:rsidR="002627AC" w:rsidRDefault="002627AC" w:rsidP="00CD050A">
      <w:pPr>
        <w:rPr>
          <w:rStyle w:val="lev"/>
          <w:rFonts w:cstheme="minorHAnsi"/>
          <w:color w:val="2F5597"/>
          <w:bdr w:val="none" w:sz="0" w:space="0" w:color="auto" w:frame="1"/>
        </w:rPr>
      </w:pPr>
    </w:p>
    <w:p w:rsidR="002627AC" w:rsidRDefault="002627AC" w:rsidP="00CD050A">
      <w:pPr>
        <w:rPr>
          <w:rStyle w:val="lev"/>
          <w:rFonts w:cstheme="minorHAnsi"/>
          <w:color w:val="2F5597"/>
          <w:bdr w:val="none" w:sz="0" w:space="0" w:color="auto" w:frame="1"/>
        </w:rPr>
      </w:pPr>
    </w:p>
    <w:p w:rsidR="002627AC" w:rsidRDefault="002627AC" w:rsidP="00CD050A">
      <w:pPr>
        <w:rPr>
          <w:rStyle w:val="lev"/>
          <w:rFonts w:cstheme="minorHAnsi"/>
          <w:color w:val="2F5597"/>
          <w:bdr w:val="none" w:sz="0" w:space="0" w:color="auto" w:frame="1"/>
        </w:rPr>
      </w:pPr>
    </w:p>
    <w:p w:rsidR="0093254C" w:rsidRPr="00CD050A" w:rsidRDefault="0093254C" w:rsidP="00CD050A">
      <w:pPr>
        <w:rPr>
          <w:rStyle w:val="lev"/>
          <w:rFonts w:cstheme="minorHAnsi"/>
          <w:b w:val="0"/>
          <w:bCs w:val="0"/>
        </w:rPr>
      </w:pPr>
      <w:r w:rsidRPr="00D71E0B">
        <w:rPr>
          <w:rStyle w:val="lev"/>
          <w:rFonts w:cstheme="minorHAnsi"/>
          <w:color w:val="2F5597"/>
          <w:bdr w:val="none" w:sz="0" w:space="0" w:color="auto" w:frame="1"/>
        </w:rPr>
        <w:lastRenderedPageBreak/>
        <w:t xml:space="preserve">La Notice de Sélection, y compris les annexes, sont publiées sur le site UNDP Procurement Notices :  </w:t>
      </w:r>
      <w:hyperlink r:id="rId14" w:history="1">
        <w:r w:rsidRPr="00D71E0B">
          <w:rPr>
            <w:rStyle w:val="Lienhypertexte"/>
            <w:rFonts w:cstheme="minorHAnsi"/>
          </w:rPr>
          <w:t>http://procurement-notices.undp.org/view_notice.cfm?notice_id=62492</w:t>
        </w:r>
      </w:hyperlink>
    </w:p>
    <w:p w:rsidR="0093254C" w:rsidRDefault="0093254C"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r w:rsidRPr="00D71E0B">
        <w:rPr>
          <w:rStyle w:val="lev"/>
          <w:rFonts w:asciiTheme="minorHAnsi" w:hAnsiTheme="minorHAnsi" w:cstheme="minorHAnsi"/>
          <w:color w:val="2F5597"/>
          <w:sz w:val="22"/>
          <w:szCs w:val="22"/>
          <w:bdr w:val="none" w:sz="0" w:space="0" w:color="auto" w:frame="1"/>
        </w:rPr>
        <w:t>Veuillez suivre ce lien pour télécharger la Notice de Sélection complète et les annexes.</w:t>
      </w:r>
    </w:p>
    <w:p w:rsidR="005B4EC2" w:rsidRPr="00D71E0B" w:rsidRDefault="005B4EC2"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p>
    <w:p w:rsidR="0093254C" w:rsidRPr="00BC2DB6" w:rsidRDefault="0093254C" w:rsidP="00BC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lang w:eastAsia="fr-FR"/>
        </w:rPr>
      </w:pPr>
      <w:r w:rsidRPr="00D71E0B">
        <w:rPr>
          <w:rFonts w:cstheme="minorHAnsi"/>
          <w:color w:val="2F5597"/>
        </w:rPr>
        <w:t>Également, prière de suivre les instructions indiquées dans la Notice de Sélection pour la soumission de votre offre. Vos propositions (propositions technique et financière) dûment signées doivent être envoyées à l’adresse e-mail </w:t>
      </w:r>
      <w:hyperlink r:id="rId15" w:history="1">
        <w:r w:rsidRPr="00D71E0B">
          <w:rPr>
            <w:rStyle w:val="Lienhypertexte"/>
            <w:rFonts w:cstheme="minorHAnsi"/>
            <w:bdr w:val="none" w:sz="0" w:space="0" w:color="auto" w:frame="1"/>
          </w:rPr>
          <w:t>ic.soumission.cd@undp.org</w:t>
        </w:r>
      </w:hyperlink>
      <w:r w:rsidRPr="00D71E0B">
        <w:rPr>
          <w:rStyle w:val="lev"/>
          <w:rFonts w:cstheme="minorHAnsi"/>
          <w:color w:val="2F5597"/>
          <w:bdr w:val="none" w:sz="0" w:space="0" w:color="auto" w:frame="1"/>
        </w:rPr>
        <w:t> </w:t>
      </w:r>
      <w:r w:rsidRPr="00D71E0B">
        <w:rPr>
          <w:rFonts w:cstheme="minorHAnsi"/>
          <w:color w:val="2F5597"/>
        </w:rPr>
        <w:t>avec mention de la référence et intitulé du dossier (</w:t>
      </w:r>
      <w:r w:rsidR="00BC2DB6" w:rsidRPr="00BC2DB6">
        <w:rPr>
          <w:rFonts w:eastAsia="Times New Roman" w:cstheme="minorHAnsi"/>
          <w:b/>
          <w:lang w:eastAsia="rw-RW"/>
        </w:rPr>
        <w:t>147/IC-NAT/CPRD/2020</w:t>
      </w:r>
      <w:r w:rsidR="00BC2DB6" w:rsidRPr="00BC2DB6">
        <w:rPr>
          <w:rFonts w:eastAsia="Times New Roman" w:cstheme="minorHAnsi"/>
          <w:b/>
        </w:rPr>
        <w:t xml:space="preserve"> Recrutement d´un(e) consultant(e) d´expertise national (e)</w:t>
      </w:r>
      <w:r w:rsidR="00BC2DB6" w:rsidRPr="00BC2DB6">
        <w:rPr>
          <w:rFonts w:eastAsia="Times New Roman" w:cstheme="minorHAnsi"/>
          <w:b/>
          <w:lang w:eastAsia="fr-FR"/>
        </w:rPr>
        <w:t>Expert(e) en Finances Locales</w:t>
      </w:r>
      <w:r w:rsidRPr="00D71E0B">
        <w:rPr>
          <w:rFonts w:cstheme="minorHAnsi"/>
          <w:color w:val="2F5597"/>
        </w:rPr>
        <w:t>).</w:t>
      </w:r>
    </w:p>
    <w:p w:rsidR="0093254C" w:rsidRPr="00D71E0B" w:rsidRDefault="0093254C"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p>
    <w:p w:rsidR="0093254C" w:rsidRPr="00D71E0B" w:rsidRDefault="0093254C" w:rsidP="0093254C">
      <w:pPr>
        <w:pStyle w:val="NormalWeb"/>
        <w:spacing w:before="0" w:beforeAutospacing="0" w:after="0" w:afterAutospacing="0" w:line="293" w:lineRule="atLeast"/>
        <w:textAlignment w:val="baseline"/>
        <w:rPr>
          <w:rStyle w:val="lev"/>
          <w:rFonts w:asciiTheme="minorHAnsi" w:hAnsiTheme="minorHAnsi" w:cstheme="minorHAnsi"/>
          <w:color w:val="2F5597"/>
          <w:sz w:val="22"/>
          <w:szCs w:val="22"/>
          <w:bdr w:val="none" w:sz="0" w:space="0" w:color="auto" w:frame="1"/>
        </w:rPr>
      </w:pPr>
      <w:r w:rsidRPr="00D71E0B">
        <w:rPr>
          <w:rStyle w:val="lev"/>
          <w:rFonts w:asciiTheme="minorHAnsi" w:hAnsiTheme="minorHAnsi" w:cstheme="minorHAnsi"/>
          <w:color w:val="2F5597"/>
          <w:sz w:val="22"/>
          <w:szCs w:val="22"/>
          <w:bdr w:val="none" w:sz="0" w:space="0" w:color="auto" w:frame="1"/>
        </w:rPr>
        <w:t xml:space="preserve">Votre proposition devra être reçue au plus tard le </w:t>
      </w:r>
      <w:r w:rsidR="008F5E3B">
        <w:rPr>
          <w:rStyle w:val="lev"/>
          <w:rFonts w:asciiTheme="minorHAnsi" w:hAnsiTheme="minorHAnsi" w:cstheme="minorHAnsi"/>
          <w:color w:val="2F5597"/>
          <w:sz w:val="22"/>
          <w:szCs w:val="22"/>
          <w:bdr w:val="none" w:sz="0" w:space="0" w:color="auto" w:frame="1"/>
        </w:rPr>
        <w:t>samedi05septembre</w:t>
      </w:r>
      <w:r w:rsidRPr="00D71E0B">
        <w:rPr>
          <w:rStyle w:val="lev"/>
          <w:rFonts w:asciiTheme="minorHAnsi" w:hAnsiTheme="minorHAnsi" w:cstheme="minorHAnsi"/>
          <w:color w:val="2F5597"/>
          <w:sz w:val="22"/>
          <w:szCs w:val="22"/>
          <w:bdr w:val="none" w:sz="0" w:space="0" w:color="auto" w:frame="1"/>
        </w:rPr>
        <w:t xml:space="preserve"> 2020 à 16 heures de Kinshasa. </w:t>
      </w:r>
    </w:p>
    <w:p w:rsidR="008F5E3B" w:rsidRDefault="008F5E3B"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p>
    <w:p w:rsidR="0093254C" w:rsidRPr="00D71E0B" w:rsidRDefault="0093254C"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r w:rsidRPr="00D71E0B">
        <w:rPr>
          <w:rFonts w:asciiTheme="minorHAnsi" w:hAnsiTheme="minorHAnsi" w:cstheme="minorHAnsi"/>
          <w:color w:val="2F5597"/>
          <w:sz w:val="22"/>
          <w:szCs w:val="22"/>
        </w:rPr>
        <w:t>Toute offre soumise après ce délai sera automatiquement rejetée.</w:t>
      </w:r>
    </w:p>
    <w:p w:rsidR="0093254C" w:rsidRPr="00D71E0B" w:rsidRDefault="0093254C"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p>
    <w:p w:rsidR="0093254C" w:rsidRDefault="0093254C"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r w:rsidRPr="00D71E0B">
        <w:rPr>
          <w:rFonts w:asciiTheme="minorHAnsi" w:hAnsiTheme="minorHAnsi" w:cstheme="minorHAnsi"/>
          <w:color w:val="2F5597"/>
          <w:sz w:val="22"/>
          <w:szCs w:val="22"/>
        </w:rPr>
        <w:t>N’hésitez pas à écrire à l’adresse </w:t>
      </w:r>
      <w:hyperlink r:id="rId16" w:history="1">
        <w:r w:rsidRPr="00D71E0B">
          <w:rPr>
            <w:rStyle w:val="Lienhypertexte"/>
            <w:rFonts w:asciiTheme="minorHAnsi" w:hAnsiTheme="minorHAnsi" w:cstheme="minorHAnsi"/>
            <w:color w:val="2F5597"/>
            <w:sz w:val="22"/>
            <w:szCs w:val="22"/>
            <w:bdr w:val="none" w:sz="0" w:space="0" w:color="auto" w:frame="1"/>
          </w:rPr>
          <w:t>soumission.info@undp.org</w:t>
        </w:r>
      </w:hyperlink>
      <w:r w:rsidRPr="00D71E0B">
        <w:rPr>
          <w:rFonts w:asciiTheme="minorHAnsi" w:hAnsiTheme="minorHAnsi" w:cstheme="minorHAnsi"/>
          <w:color w:val="2F5597"/>
          <w:sz w:val="22"/>
          <w:szCs w:val="22"/>
        </w:rPr>
        <w:t xml:space="preserve"> pour toute information complémentaire avant la date limite de dépôt des offres. </w:t>
      </w:r>
    </w:p>
    <w:p w:rsidR="005B4EC2" w:rsidRDefault="005B4EC2"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p>
    <w:p w:rsidR="005B4EC2" w:rsidRPr="00D71E0B" w:rsidRDefault="005B4EC2" w:rsidP="005B4EC2">
      <w:pPr>
        <w:rPr>
          <w:rFonts w:cstheme="minorHAnsi"/>
          <w:b/>
          <w:u w:val="single"/>
        </w:rPr>
      </w:pPr>
      <w:r w:rsidRPr="00D71E0B">
        <w:rPr>
          <w:rFonts w:cstheme="minorHAnsi"/>
          <w:b/>
          <w:u w:val="single"/>
        </w:rPr>
        <w:t>ANNEXES</w:t>
      </w:r>
    </w:p>
    <w:p w:rsidR="005B4EC2" w:rsidRPr="00D71E0B" w:rsidRDefault="005B4EC2" w:rsidP="005B4EC2">
      <w:pPr>
        <w:rPr>
          <w:rFonts w:cstheme="minorHAnsi"/>
          <w:b/>
        </w:rPr>
      </w:pPr>
      <w:r w:rsidRPr="00D71E0B">
        <w:rPr>
          <w:rFonts w:cstheme="minorHAnsi"/>
          <w:b/>
        </w:rPr>
        <w:t>ANNEX 1 – Termes et Conditions des contrats IC (IndividualContracts)</w:t>
      </w:r>
    </w:p>
    <w:bookmarkStart w:id="2" w:name="_MON_1440321617"/>
    <w:bookmarkEnd w:id="2"/>
    <w:p w:rsidR="005B4EC2" w:rsidRPr="006C45F8" w:rsidRDefault="005B4EC2" w:rsidP="005B4EC2">
      <w:pPr>
        <w:rPr>
          <w:rFonts w:cstheme="minorHAnsi"/>
          <w:b/>
        </w:rPr>
      </w:pPr>
      <w:r w:rsidRPr="00D71E0B">
        <w:rPr>
          <w:rFonts w:eastAsia="Times New Roman" w:cstheme="minorHAnsi"/>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pt;height:49.8pt;mso-width-percent:0;mso-height-percent:0;mso-width-percent:0;mso-height-percent:0" o:ole="">
            <v:imagedata r:id="rId17" o:title=""/>
          </v:shape>
          <o:OLEObject Type="Embed" ProgID="Word.Document.12" ShapeID="_x0000_i1025" DrawAspect="Icon" ObjectID="_1659938963" r:id="rId18">
            <o:FieldCodes>\s</o:FieldCodes>
          </o:OLEObject>
        </w:object>
      </w:r>
    </w:p>
    <w:p w:rsidR="005B4EC2" w:rsidRPr="00D71E0B" w:rsidRDefault="005B4EC2" w:rsidP="005B4EC2">
      <w:pPr>
        <w:rPr>
          <w:rFonts w:cstheme="minorHAnsi"/>
          <w:b/>
        </w:rPr>
      </w:pPr>
      <w:r w:rsidRPr="00D71E0B">
        <w:rPr>
          <w:rFonts w:cstheme="minorHAnsi"/>
          <w:b/>
        </w:rPr>
        <w:t>ANNEX 2 – Lettre de soumission au PNUD confirmant l´intérêt et la disponibilité du prestataire individuel (IC) pour la mission (y compris le tableau des couts)</w:t>
      </w:r>
    </w:p>
    <w:bookmarkStart w:id="3" w:name="_MON_1620108486"/>
    <w:bookmarkEnd w:id="3"/>
    <w:p w:rsidR="005B4EC2" w:rsidRPr="00D71E0B" w:rsidRDefault="005B4EC2" w:rsidP="005B4EC2">
      <w:pPr>
        <w:rPr>
          <w:rFonts w:cstheme="minorHAnsi"/>
          <w:b/>
        </w:rPr>
      </w:pPr>
      <w:r w:rsidRPr="00D71E0B">
        <w:rPr>
          <w:rFonts w:cstheme="minorHAnsi"/>
          <w:b/>
          <w:noProof/>
        </w:rPr>
        <w:object w:dxaOrig="1478" w:dyaOrig="973">
          <v:shape id="_x0000_i1026" type="#_x0000_t75" style="width:73.8pt;height:48.6pt" o:ole="">
            <v:imagedata r:id="rId19" o:title=""/>
          </v:shape>
          <o:OLEObject Type="Embed" ProgID="Word.Document.12" ShapeID="_x0000_i1026" DrawAspect="Icon" ObjectID="_1659938964" r:id="rId20">
            <o:FieldCodes>\s</o:FieldCodes>
          </o:OLEObject>
        </w:object>
      </w:r>
    </w:p>
    <w:p w:rsidR="005B4EC2" w:rsidRPr="00D71E0B" w:rsidRDefault="005B4EC2" w:rsidP="0093254C">
      <w:pPr>
        <w:pStyle w:val="NormalWeb"/>
        <w:spacing w:before="0" w:beforeAutospacing="0" w:after="0" w:afterAutospacing="0" w:line="293" w:lineRule="atLeast"/>
        <w:textAlignment w:val="baseline"/>
        <w:rPr>
          <w:rFonts w:asciiTheme="minorHAnsi" w:hAnsiTheme="minorHAnsi" w:cstheme="minorHAnsi"/>
          <w:color w:val="2F5597"/>
          <w:sz w:val="22"/>
          <w:szCs w:val="22"/>
        </w:rPr>
      </w:pPr>
      <w:bookmarkStart w:id="4" w:name="_GoBack"/>
      <w:bookmarkEnd w:id="4"/>
    </w:p>
    <w:sectPr w:rsidR="005B4EC2" w:rsidRPr="00D71E0B" w:rsidSect="008429D1">
      <w:headerReference w:type="default" r:id="rId21"/>
      <w:footerReference w:type="default" r:id="rId22"/>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120" w:rsidRDefault="00330120" w:rsidP="00A24134">
      <w:pPr>
        <w:spacing w:after="0" w:line="240" w:lineRule="auto"/>
      </w:pPr>
      <w:r>
        <w:separator/>
      </w:r>
    </w:p>
  </w:endnote>
  <w:endnote w:type="continuationSeparator" w:id="1">
    <w:p w:rsidR="00330120" w:rsidRDefault="00330120"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44" w:rsidRPr="00874096" w:rsidRDefault="00874096" w:rsidP="0087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i/>
        <w:iCs/>
        <w:sz w:val="20"/>
        <w:szCs w:val="20"/>
        <w:lang w:eastAsia="fr-FR"/>
      </w:rPr>
    </w:pPr>
    <w:r w:rsidRPr="00874096">
      <w:rPr>
        <w:rFonts w:eastAsia="Times New Roman" w:cstheme="minorHAnsi"/>
        <w:bCs/>
        <w:i/>
        <w:iCs/>
        <w:sz w:val="20"/>
        <w:szCs w:val="20"/>
        <w:lang w:eastAsia="rw-RW"/>
      </w:rPr>
      <w:t>1</w:t>
    </w:r>
    <w:r w:rsidR="0085182B">
      <w:rPr>
        <w:rFonts w:eastAsia="Times New Roman" w:cstheme="minorHAnsi"/>
        <w:bCs/>
        <w:i/>
        <w:iCs/>
        <w:sz w:val="20"/>
        <w:szCs w:val="20"/>
        <w:lang w:eastAsia="rw-RW"/>
      </w:rPr>
      <w:t>47</w:t>
    </w:r>
    <w:r w:rsidRPr="00874096">
      <w:rPr>
        <w:rFonts w:eastAsia="Times New Roman" w:cstheme="minorHAnsi"/>
        <w:bCs/>
        <w:i/>
        <w:iCs/>
        <w:sz w:val="20"/>
        <w:szCs w:val="20"/>
        <w:lang w:eastAsia="rw-RW"/>
      </w:rPr>
      <w:t>/IC-NAT/</w:t>
    </w:r>
    <w:r w:rsidR="0085182B">
      <w:rPr>
        <w:rFonts w:eastAsia="Times New Roman" w:cstheme="minorHAnsi"/>
        <w:bCs/>
        <w:i/>
        <w:iCs/>
        <w:sz w:val="20"/>
        <w:szCs w:val="20"/>
        <w:lang w:eastAsia="rw-RW"/>
      </w:rPr>
      <w:t>CP</w:t>
    </w:r>
    <w:r w:rsidR="00584A44">
      <w:rPr>
        <w:rFonts w:eastAsia="Times New Roman" w:cstheme="minorHAnsi"/>
        <w:bCs/>
        <w:i/>
        <w:iCs/>
        <w:sz w:val="20"/>
        <w:szCs w:val="20"/>
        <w:lang w:eastAsia="rw-RW"/>
      </w:rPr>
      <w:t>RD</w:t>
    </w:r>
    <w:r w:rsidRPr="00874096">
      <w:rPr>
        <w:rFonts w:eastAsia="Times New Roman" w:cstheme="minorHAnsi"/>
        <w:bCs/>
        <w:i/>
        <w:iCs/>
        <w:sz w:val="20"/>
        <w:szCs w:val="20"/>
        <w:lang w:eastAsia="rw-RW"/>
      </w:rPr>
      <w:t>/2020</w:t>
    </w:r>
    <w:r w:rsidRPr="00874096">
      <w:rPr>
        <w:rFonts w:eastAsia="Times New Roman" w:cstheme="minorHAnsi"/>
        <w:bCs/>
        <w:i/>
        <w:iCs/>
        <w:sz w:val="20"/>
        <w:szCs w:val="20"/>
      </w:rPr>
      <w:t xml:space="preserve"> Recrutement d´un(e) consultant(e) d´expertise national (e)</w:t>
    </w:r>
    <w:r w:rsidRPr="00874096">
      <w:rPr>
        <w:rFonts w:eastAsia="Times New Roman" w:cstheme="minorHAnsi"/>
        <w:bCs/>
        <w:i/>
        <w:iCs/>
        <w:sz w:val="20"/>
        <w:szCs w:val="20"/>
        <w:lang w:eastAsia="fr-FR"/>
      </w:rPr>
      <w:t>Expert</w:t>
    </w:r>
    <w:r w:rsidR="00584A44">
      <w:rPr>
        <w:rFonts w:eastAsia="Times New Roman" w:cstheme="minorHAnsi"/>
        <w:bCs/>
        <w:i/>
        <w:iCs/>
        <w:sz w:val="20"/>
        <w:szCs w:val="20"/>
        <w:lang w:eastAsia="fr-FR"/>
      </w:rPr>
      <w:t>(e) en Finances Locales</w:t>
    </w:r>
  </w:p>
  <w:p w:rsidR="005810AD" w:rsidRPr="005810AD" w:rsidRDefault="005810AD" w:rsidP="00581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i/>
        <w:sz w:val="20"/>
        <w:szCs w:val="20"/>
        <w:lang w:eastAsia="fr-FR"/>
      </w:rPr>
    </w:pPr>
  </w:p>
  <w:p w:rsidR="003343CB" w:rsidRPr="005810AD" w:rsidRDefault="003343CB" w:rsidP="00E4293F">
    <w:pPr>
      <w:pStyle w:val="Pieddepage"/>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120" w:rsidRDefault="00330120" w:rsidP="00A24134">
      <w:pPr>
        <w:spacing w:after="0" w:line="240" w:lineRule="auto"/>
      </w:pPr>
      <w:r>
        <w:separator/>
      </w:r>
    </w:p>
  </w:footnote>
  <w:footnote w:type="continuationSeparator" w:id="1">
    <w:p w:rsidR="00330120" w:rsidRDefault="00330120"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093"/>
    <w:multiLevelType w:val="hybridMultilevel"/>
    <w:tmpl w:val="718A19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43637AC"/>
    <w:multiLevelType w:val="hybridMultilevel"/>
    <w:tmpl w:val="750E3CBE"/>
    <w:lvl w:ilvl="0" w:tplc="240C000F">
      <w:start w:val="6"/>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nsid w:val="04C34AE1"/>
    <w:multiLevelType w:val="hybridMultilevel"/>
    <w:tmpl w:val="6A526DC4"/>
    <w:lvl w:ilvl="0" w:tplc="1040ECD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A71C0"/>
    <w:multiLevelType w:val="hybridMultilevel"/>
    <w:tmpl w:val="3ED4C3EE"/>
    <w:lvl w:ilvl="0" w:tplc="1EE47C9E">
      <w:start w:val="3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3E43CA7"/>
    <w:multiLevelType w:val="hybridMultilevel"/>
    <w:tmpl w:val="8788FAC4"/>
    <w:lvl w:ilvl="0" w:tplc="0409000F">
      <w:start w:val="1"/>
      <w:numFmt w:val="decimal"/>
      <w:lvlText w:val="%1."/>
      <w:lvlJc w:val="left"/>
      <w:pPr>
        <w:ind w:left="720" w:hanging="360"/>
      </w:pPr>
      <w:rPr>
        <w:rFonts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9">
    <w:nsid w:val="15F638BD"/>
    <w:multiLevelType w:val="multilevel"/>
    <w:tmpl w:val="DE6A07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606261D"/>
    <w:multiLevelType w:val="hybridMultilevel"/>
    <w:tmpl w:val="96B8B1D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005C01"/>
    <w:multiLevelType w:val="multilevel"/>
    <w:tmpl w:val="ADF899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F6A5B68"/>
    <w:multiLevelType w:val="hybridMultilevel"/>
    <w:tmpl w:val="11E625AA"/>
    <w:lvl w:ilvl="0" w:tplc="C35639C2">
      <w:numFmt w:val="bullet"/>
      <w:lvlText w:val=""/>
      <w:lvlJc w:val="left"/>
      <w:pPr>
        <w:ind w:left="786" w:hanging="360"/>
      </w:pPr>
      <w:rPr>
        <w:rFonts w:ascii="Symbol" w:eastAsiaTheme="minorHAnsi" w:hAnsi="Symbol" w:cs="Times New Roman" w:hint="default"/>
      </w:rPr>
    </w:lvl>
    <w:lvl w:ilvl="1" w:tplc="240C0003">
      <w:start w:val="1"/>
      <w:numFmt w:val="bullet"/>
      <w:lvlText w:val="o"/>
      <w:lvlJc w:val="left"/>
      <w:pPr>
        <w:ind w:left="1506" w:hanging="360"/>
      </w:pPr>
      <w:rPr>
        <w:rFonts w:ascii="Courier New" w:hAnsi="Courier New" w:cs="Courier New" w:hint="default"/>
      </w:rPr>
    </w:lvl>
    <w:lvl w:ilvl="2" w:tplc="240C0005">
      <w:start w:val="1"/>
      <w:numFmt w:val="bullet"/>
      <w:lvlText w:val=""/>
      <w:lvlJc w:val="left"/>
      <w:pPr>
        <w:ind w:left="2226" w:hanging="360"/>
      </w:pPr>
      <w:rPr>
        <w:rFonts w:ascii="Wingdings" w:hAnsi="Wingdings" w:hint="default"/>
      </w:rPr>
    </w:lvl>
    <w:lvl w:ilvl="3" w:tplc="240C0001">
      <w:start w:val="1"/>
      <w:numFmt w:val="bullet"/>
      <w:lvlText w:val=""/>
      <w:lvlJc w:val="left"/>
      <w:pPr>
        <w:ind w:left="2946" w:hanging="360"/>
      </w:pPr>
      <w:rPr>
        <w:rFonts w:ascii="Symbol" w:hAnsi="Symbol" w:hint="default"/>
      </w:rPr>
    </w:lvl>
    <w:lvl w:ilvl="4" w:tplc="240C0003">
      <w:start w:val="1"/>
      <w:numFmt w:val="bullet"/>
      <w:lvlText w:val="o"/>
      <w:lvlJc w:val="left"/>
      <w:pPr>
        <w:ind w:left="3666" w:hanging="360"/>
      </w:pPr>
      <w:rPr>
        <w:rFonts w:ascii="Courier New" w:hAnsi="Courier New" w:cs="Courier New" w:hint="default"/>
      </w:rPr>
    </w:lvl>
    <w:lvl w:ilvl="5" w:tplc="240C0005">
      <w:start w:val="1"/>
      <w:numFmt w:val="bullet"/>
      <w:lvlText w:val=""/>
      <w:lvlJc w:val="left"/>
      <w:pPr>
        <w:ind w:left="4386" w:hanging="360"/>
      </w:pPr>
      <w:rPr>
        <w:rFonts w:ascii="Wingdings" w:hAnsi="Wingdings" w:hint="default"/>
      </w:rPr>
    </w:lvl>
    <w:lvl w:ilvl="6" w:tplc="240C0001">
      <w:start w:val="1"/>
      <w:numFmt w:val="bullet"/>
      <w:lvlText w:val=""/>
      <w:lvlJc w:val="left"/>
      <w:pPr>
        <w:ind w:left="5106" w:hanging="360"/>
      </w:pPr>
      <w:rPr>
        <w:rFonts w:ascii="Symbol" w:hAnsi="Symbol" w:hint="default"/>
      </w:rPr>
    </w:lvl>
    <w:lvl w:ilvl="7" w:tplc="240C0003">
      <w:start w:val="1"/>
      <w:numFmt w:val="bullet"/>
      <w:lvlText w:val="o"/>
      <w:lvlJc w:val="left"/>
      <w:pPr>
        <w:ind w:left="5826" w:hanging="360"/>
      </w:pPr>
      <w:rPr>
        <w:rFonts w:ascii="Courier New" w:hAnsi="Courier New" w:cs="Courier New" w:hint="default"/>
      </w:rPr>
    </w:lvl>
    <w:lvl w:ilvl="8" w:tplc="240C0005">
      <w:start w:val="1"/>
      <w:numFmt w:val="bullet"/>
      <w:lvlText w:val=""/>
      <w:lvlJc w:val="left"/>
      <w:pPr>
        <w:ind w:left="6546" w:hanging="360"/>
      </w:pPr>
      <w:rPr>
        <w:rFonts w:ascii="Wingdings" w:hAnsi="Wingdings" w:hint="default"/>
      </w:rPr>
    </w:lvl>
  </w:abstractNum>
  <w:abstractNum w:abstractNumId="13">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882E57"/>
    <w:multiLevelType w:val="hybridMultilevel"/>
    <w:tmpl w:val="14C2B2AE"/>
    <w:lvl w:ilvl="0" w:tplc="EF2AE67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658" w:hanging="360"/>
      </w:pPr>
      <w:rPr>
        <w:rFonts w:ascii="Courier New" w:hAnsi="Courier New" w:cs="Courier New" w:hint="default"/>
      </w:rPr>
    </w:lvl>
    <w:lvl w:ilvl="2" w:tplc="040C0005">
      <w:start w:val="1"/>
      <w:numFmt w:val="bullet"/>
      <w:lvlText w:val=""/>
      <w:lvlJc w:val="left"/>
      <w:pPr>
        <w:ind w:left="2378" w:hanging="360"/>
      </w:pPr>
      <w:rPr>
        <w:rFonts w:ascii="Wingdings" w:hAnsi="Wingdings" w:hint="default"/>
      </w:rPr>
    </w:lvl>
    <w:lvl w:ilvl="3" w:tplc="040C0001">
      <w:start w:val="1"/>
      <w:numFmt w:val="bullet"/>
      <w:lvlText w:val=""/>
      <w:lvlJc w:val="left"/>
      <w:pPr>
        <w:ind w:left="3098" w:hanging="360"/>
      </w:pPr>
      <w:rPr>
        <w:rFonts w:ascii="Symbol" w:hAnsi="Symbol" w:hint="default"/>
      </w:rPr>
    </w:lvl>
    <w:lvl w:ilvl="4" w:tplc="040C0003">
      <w:start w:val="1"/>
      <w:numFmt w:val="bullet"/>
      <w:lvlText w:val="o"/>
      <w:lvlJc w:val="left"/>
      <w:pPr>
        <w:ind w:left="3818" w:hanging="360"/>
      </w:pPr>
      <w:rPr>
        <w:rFonts w:ascii="Courier New" w:hAnsi="Courier New" w:cs="Courier New" w:hint="default"/>
      </w:rPr>
    </w:lvl>
    <w:lvl w:ilvl="5" w:tplc="040C0005">
      <w:start w:val="1"/>
      <w:numFmt w:val="bullet"/>
      <w:lvlText w:val=""/>
      <w:lvlJc w:val="left"/>
      <w:pPr>
        <w:ind w:left="4538" w:hanging="360"/>
      </w:pPr>
      <w:rPr>
        <w:rFonts w:ascii="Wingdings" w:hAnsi="Wingdings" w:hint="default"/>
      </w:rPr>
    </w:lvl>
    <w:lvl w:ilvl="6" w:tplc="040C0001">
      <w:start w:val="1"/>
      <w:numFmt w:val="bullet"/>
      <w:lvlText w:val=""/>
      <w:lvlJc w:val="left"/>
      <w:pPr>
        <w:ind w:left="5258" w:hanging="360"/>
      </w:pPr>
      <w:rPr>
        <w:rFonts w:ascii="Symbol" w:hAnsi="Symbol" w:hint="default"/>
      </w:rPr>
    </w:lvl>
    <w:lvl w:ilvl="7" w:tplc="040C0003">
      <w:start w:val="1"/>
      <w:numFmt w:val="bullet"/>
      <w:lvlText w:val="o"/>
      <w:lvlJc w:val="left"/>
      <w:pPr>
        <w:ind w:left="5978" w:hanging="360"/>
      </w:pPr>
      <w:rPr>
        <w:rFonts w:ascii="Courier New" w:hAnsi="Courier New" w:cs="Courier New" w:hint="default"/>
      </w:rPr>
    </w:lvl>
    <w:lvl w:ilvl="8" w:tplc="040C0005">
      <w:start w:val="1"/>
      <w:numFmt w:val="bullet"/>
      <w:lvlText w:val=""/>
      <w:lvlJc w:val="left"/>
      <w:pPr>
        <w:ind w:left="6698" w:hanging="360"/>
      </w:pPr>
      <w:rPr>
        <w:rFonts w:ascii="Wingdings" w:hAnsi="Wingdings" w:hint="default"/>
      </w:rPr>
    </w:lvl>
  </w:abstractNum>
  <w:abstractNum w:abstractNumId="15">
    <w:nsid w:val="30085A04"/>
    <w:multiLevelType w:val="hybridMultilevel"/>
    <w:tmpl w:val="25F6CA76"/>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6">
    <w:nsid w:val="30EB5C94"/>
    <w:multiLevelType w:val="hybridMultilevel"/>
    <w:tmpl w:val="CACA36A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0308B"/>
    <w:multiLevelType w:val="hybridMultilevel"/>
    <w:tmpl w:val="C5B8AF8A"/>
    <w:lvl w:ilvl="0" w:tplc="AD10F370">
      <w:start w:val="1"/>
      <w:numFmt w:val="bullet"/>
      <w:lvlText w:val="-"/>
      <w:lvlJc w:val="left"/>
      <w:pPr>
        <w:ind w:left="1080" w:hanging="360"/>
      </w:pPr>
      <w:rPr>
        <w:rFonts w:ascii="Calibri Light" w:eastAsiaTheme="minorHAnsi" w:hAnsi="Calibri Ligh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16574DD"/>
    <w:multiLevelType w:val="hybridMultilevel"/>
    <w:tmpl w:val="19A40E4E"/>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2">
    <w:nsid w:val="48AE0E22"/>
    <w:multiLevelType w:val="hybridMultilevel"/>
    <w:tmpl w:val="8C368ABE"/>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3">
    <w:nsid w:val="49795EDC"/>
    <w:multiLevelType w:val="hybridMultilevel"/>
    <w:tmpl w:val="B82CEF78"/>
    <w:lvl w:ilvl="0" w:tplc="46F82C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5">
    <w:nsid w:val="4C4E00C3"/>
    <w:multiLevelType w:val="hybridMultilevel"/>
    <w:tmpl w:val="BF6ADCB2"/>
    <w:lvl w:ilvl="0" w:tplc="240C0001">
      <w:start w:val="1"/>
      <w:numFmt w:val="bullet"/>
      <w:lvlText w:val=""/>
      <w:lvlJc w:val="left"/>
      <w:pPr>
        <w:ind w:left="720" w:hanging="360"/>
      </w:pPr>
      <w:rPr>
        <w:rFonts w:ascii="Symbol" w:hAnsi="Symbol" w:hint="default"/>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26">
    <w:nsid w:val="4D4A50EC"/>
    <w:multiLevelType w:val="hybridMultilevel"/>
    <w:tmpl w:val="19B0E5C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9">
    <w:nsid w:val="55C10DB3"/>
    <w:multiLevelType w:val="hybridMultilevel"/>
    <w:tmpl w:val="78C0C8D4"/>
    <w:lvl w:ilvl="0" w:tplc="1EE47C9E">
      <w:start w:val="3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92771CD"/>
    <w:multiLevelType w:val="hybridMultilevel"/>
    <w:tmpl w:val="46708ADC"/>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8F792F"/>
    <w:multiLevelType w:val="hybridMultilevel"/>
    <w:tmpl w:val="22300CFE"/>
    <w:lvl w:ilvl="0" w:tplc="1EE47C9E">
      <w:start w:val="3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3375648"/>
    <w:multiLevelType w:val="hybridMultilevel"/>
    <w:tmpl w:val="8788FAC4"/>
    <w:lvl w:ilvl="0" w:tplc="0409000F">
      <w:start w:val="1"/>
      <w:numFmt w:val="decimal"/>
      <w:lvlText w:val="%1."/>
      <w:lvlJc w:val="left"/>
      <w:pPr>
        <w:ind w:left="720" w:hanging="360"/>
      </w:pPr>
      <w:rPr>
        <w:rFonts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6">
    <w:nsid w:val="748F6DFD"/>
    <w:multiLevelType w:val="hybridMultilevel"/>
    <w:tmpl w:val="9FEEF84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abstractNum w:abstractNumId="37">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CD4A28"/>
    <w:multiLevelType w:val="hybridMultilevel"/>
    <w:tmpl w:val="4596F7D8"/>
    <w:lvl w:ilvl="0" w:tplc="1EE47C9E">
      <w:start w:val="3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FA65D8A"/>
    <w:multiLevelType w:val="hybridMultilevel"/>
    <w:tmpl w:val="5D0CE75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30"/>
  </w:num>
  <w:num w:numId="3">
    <w:abstractNumId w:val="4"/>
  </w:num>
  <w:num w:numId="4">
    <w:abstractNumId w:val="13"/>
  </w:num>
  <w:num w:numId="5">
    <w:abstractNumId w:val="28"/>
  </w:num>
  <w:num w:numId="6">
    <w:abstractNumId w:val="6"/>
  </w:num>
  <w:num w:numId="7">
    <w:abstractNumId w:val="37"/>
  </w:num>
  <w:num w:numId="8">
    <w:abstractNumId w:val="27"/>
  </w:num>
  <w:num w:numId="9">
    <w:abstractNumId w:val="33"/>
  </w:num>
  <w:num w:numId="10">
    <w:abstractNumId w:val="17"/>
  </w:num>
  <w:num w:numId="11">
    <w:abstractNumId w:val="18"/>
  </w:num>
  <w:num w:numId="12">
    <w:abstractNumId w:val="3"/>
  </w:num>
  <w:num w:numId="13">
    <w:abstractNumId w:val="19"/>
  </w:num>
  <w:num w:numId="14">
    <w:abstractNumId w:val="38"/>
  </w:num>
  <w:num w:numId="15">
    <w:abstractNumId w:val="34"/>
  </w:num>
  <w:num w:numId="16">
    <w:abstractNumId w:val="7"/>
  </w:num>
  <w:num w:numId="17">
    <w:abstractNumId w:val="29"/>
  </w:num>
  <w:num w:numId="18">
    <w:abstractNumId w:val="37"/>
  </w:num>
  <w:num w:numId="19">
    <w:abstractNumId w:val="12"/>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6"/>
  </w:num>
  <w:num w:numId="24">
    <w:abstractNumId w:val="12"/>
  </w:num>
  <w:num w:numId="25">
    <w:abstractNumId w:val="2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6"/>
  </w:num>
  <w:num w:numId="29">
    <w:abstractNumId w:val="15"/>
  </w:num>
  <w:num w:numId="30">
    <w:abstractNumId w:val="1"/>
  </w:num>
  <w:num w:numId="31">
    <w:abstractNumId w:val="1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9"/>
  </w:num>
  <w:num w:numId="38">
    <w:abstractNumId w:val="25"/>
  </w:num>
  <w:num w:numId="39">
    <w:abstractNumId w:val="35"/>
  </w:num>
  <w:num w:numId="40">
    <w:abstractNumId w:val="11"/>
  </w:num>
  <w:num w:numId="41">
    <w:abstractNumId w:val="23"/>
  </w:num>
  <w:num w:numId="42">
    <w:abstractNumId w:val="8"/>
  </w:num>
  <w:num w:numId="43">
    <w:abstractNumId w:val="20"/>
  </w:num>
  <w:num w:numId="44">
    <w:abstractNumId w:val="26"/>
  </w:num>
  <w:num w:numId="45">
    <w:abstractNumId w:val="2"/>
  </w:num>
  <w:num w:numId="46">
    <w:abstractNumId w:val="39"/>
  </w:num>
  <w:num w:numId="47">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E2B22"/>
    <w:rsid w:val="00003CF1"/>
    <w:rsid w:val="00005A87"/>
    <w:rsid w:val="0001012F"/>
    <w:rsid w:val="000121F0"/>
    <w:rsid w:val="0001469E"/>
    <w:rsid w:val="00023420"/>
    <w:rsid w:val="000247EB"/>
    <w:rsid w:val="000440EC"/>
    <w:rsid w:val="00057DA8"/>
    <w:rsid w:val="0006654C"/>
    <w:rsid w:val="00076BC5"/>
    <w:rsid w:val="00081838"/>
    <w:rsid w:val="0008283A"/>
    <w:rsid w:val="000853CD"/>
    <w:rsid w:val="00086485"/>
    <w:rsid w:val="00092DBB"/>
    <w:rsid w:val="00093AE4"/>
    <w:rsid w:val="000964DE"/>
    <w:rsid w:val="00097CE8"/>
    <w:rsid w:val="000A39CC"/>
    <w:rsid w:val="000A6993"/>
    <w:rsid w:val="000B254C"/>
    <w:rsid w:val="000D2201"/>
    <w:rsid w:val="000D7BD3"/>
    <w:rsid w:val="000E1EB5"/>
    <w:rsid w:val="000E2C6B"/>
    <w:rsid w:val="000E45E5"/>
    <w:rsid w:val="000E5FED"/>
    <w:rsid w:val="000E6FDF"/>
    <w:rsid w:val="00103276"/>
    <w:rsid w:val="00107B38"/>
    <w:rsid w:val="00121461"/>
    <w:rsid w:val="00123982"/>
    <w:rsid w:val="00134850"/>
    <w:rsid w:val="00134A66"/>
    <w:rsid w:val="0014257B"/>
    <w:rsid w:val="001446F6"/>
    <w:rsid w:val="00144DE7"/>
    <w:rsid w:val="001461D4"/>
    <w:rsid w:val="001473B3"/>
    <w:rsid w:val="00150A0E"/>
    <w:rsid w:val="00151CC7"/>
    <w:rsid w:val="00157D70"/>
    <w:rsid w:val="00164555"/>
    <w:rsid w:val="001659A7"/>
    <w:rsid w:val="00167362"/>
    <w:rsid w:val="00170654"/>
    <w:rsid w:val="00170792"/>
    <w:rsid w:val="00170915"/>
    <w:rsid w:val="00173BB8"/>
    <w:rsid w:val="00174B83"/>
    <w:rsid w:val="00180DF8"/>
    <w:rsid w:val="0018325D"/>
    <w:rsid w:val="001922DD"/>
    <w:rsid w:val="001922FE"/>
    <w:rsid w:val="001A0DCE"/>
    <w:rsid w:val="001A7B70"/>
    <w:rsid w:val="001C10E0"/>
    <w:rsid w:val="001C2F5F"/>
    <w:rsid w:val="001C5504"/>
    <w:rsid w:val="001C7567"/>
    <w:rsid w:val="001D5A49"/>
    <w:rsid w:val="001D6CD5"/>
    <w:rsid w:val="001E0176"/>
    <w:rsid w:val="001E22BC"/>
    <w:rsid w:val="001E30BA"/>
    <w:rsid w:val="001F1D56"/>
    <w:rsid w:val="001F42E7"/>
    <w:rsid w:val="00200AA0"/>
    <w:rsid w:val="0020701F"/>
    <w:rsid w:val="00210248"/>
    <w:rsid w:val="0021101E"/>
    <w:rsid w:val="00213A46"/>
    <w:rsid w:val="00213D4A"/>
    <w:rsid w:val="00215236"/>
    <w:rsid w:val="00221BAA"/>
    <w:rsid w:val="002223E0"/>
    <w:rsid w:val="002265EC"/>
    <w:rsid w:val="00240981"/>
    <w:rsid w:val="00251037"/>
    <w:rsid w:val="002526AF"/>
    <w:rsid w:val="002627AC"/>
    <w:rsid w:val="0027027B"/>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B21BD"/>
    <w:rsid w:val="002B54A3"/>
    <w:rsid w:val="002C2B2C"/>
    <w:rsid w:val="002C2C8E"/>
    <w:rsid w:val="002C52C5"/>
    <w:rsid w:val="002C745A"/>
    <w:rsid w:val="002C7E57"/>
    <w:rsid w:val="002D19B4"/>
    <w:rsid w:val="002D4965"/>
    <w:rsid w:val="002D55CD"/>
    <w:rsid w:val="002D780D"/>
    <w:rsid w:val="002E6205"/>
    <w:rsid w:val="002E6AFF"/>
    <w:rsid w:val="002E726F"/>
    <w:rsid w:val="002F5E62"/>
    <w:rsid w:val="002F799A"/>
    <w:rsid w:val="002F7B77"/>
    <w:rsid w:val="003033CA"/>
    <w:rsid w:val="003112F7"/>
    <w:rsid w:val="00314F51"/>
    <w:rsid w:val="003230F4"/>
    <w:rsid w:val="003231AD"/>
    <w:rsid w:val="00325928"/>
    <w:rsid w:val="00330120"/>
    <w:rsid w:val="0033218C"/>
    <w:rsid w:val="003322B0"/>
    <w:rsid w:val="00332354"/>
    <w:rsid w:val="0033411B"/>
    <w:rsid w:val="003343CB"/>
    <w:rsid w:val="00336E59"/>
    <w:rsid w:val="00336EF8"/>
    <w:rsid w:val="00337558"/>
    <w:rsid w:val="00343717"/>
    <w:rsid w:val="00343852"/>
    <w:rsid w:val="00343A62"/>
    <w:rsid w:val="0034697D"/>
    <w:rsid w:val="00352CF1"/>
    <w:rsid w:val="00354655"/>
    <w:rsid w:val="00374D57"/>
    <w:rsid w:val="003754C3"/>
    <w:rsid w:val="00377996"/>
    <w:rsid w:val="0038031A"/>
    <w:rsid w:val="003812A9"/>
    <w:rsid w:val="003836C0"/>
    <w:rsid w:val="00385EEF"/>
    <w:rsid w:val="00387CFA"/>
    <w:rsid w:val="00393024"/>
    <w:rsid w:val="00394B99"/>
    <w:rsid w:val="003A22D4"/>
    <w:rsid w:val="003A663B"/>
    <w:rsid w:val="003B0C3C"/>
    <w:rsid w:val="003B189C"/>
    <w:rsid w:val="003C107F"/>
    <w:rsid w:val="003E6FC9"/>
    <w:rsid w:val="003F0258"/>
    <w:rsid w:val="003F640F"/>
    <w:rsid w:val="00420FEA"/>
    <w:rsid w:val="004319ED"/>
    <w:rsid w:val="00431ED4"/>
    <w:rsid w:val="00432027"/>
    <w:rsid w:val="00440ECE"/>
    <w:rsid w:val="00443E94"/>
    <w:rsid w:val="00445903"/>
    <w:rsid w:val="004550BE"/>
    <w:rsid w:val="00460345"/>
    <w:rsid w:val="00464661"/>
    <w:rsid w:val="004702AE"/>
    <w:rsid w:val="00473B49"/>
    <w:rsid w:val="004758AA"/>
    <w:rsid w:val="004762C8"/>
    <w:rsid w:val="0048306B"/>
    <w:rsid w:val="004830B9"/>
    <w:rsid w:val="00497F1C"/>
    <w:rsid w:val="004A2B79"/>
    <w:rsid w:val="004B150A"/>
    <w:rsid w:val="004B1614"/>
    <w:rsid w:val="004C04B6"/>
    <w:rsid w:val="004D3F24"/>
    <w:rsid w:val="004E1860"/>
    <w:rsid w:val="004E6556"/>
    <w:rsid w:val="004F16F4"/>
    <w:rsid w:val="004F4F1B"/>
    <w:rsid w:val="004F50EA"/>
    <w:rsid w:val="00500D27"/>
    <w:rsid w:val="005042AF"/>
    <w:rsid w:val="00504B1D"/>
    <w:rsid w:val="005063F9"/>
    <w:rsid w:val="005131C5"/>
    <w:rsid w:val="00522104"/>
    <w:rsid w:val="00526069"/>
    <w:rsid w:val="005342F9"/>
    <w:rsid w:val="00536806"/>
    <w:rsid w:val="00540BD0"/>
    <w:rsid w:val="00550CF0"/>
    <w:rsid w:val="005515CA"/>
    <w:rsid w:val="0055219C"/>
    <w:rsid w:val="00552801"/>
    <w:rsid w:val="00553F34"/>
    <w:rsid w:val="00557FCC"/>
    <w:rsid w:val="0056423A"/>
    <w:rsid w:val="005810AD"/>
    <w:rsid w:val="00584A44"/>
    <w:rsid w:val="005A4F55"/>
    <w:rsid w:val="005B00D9"/>
    <w:rsid w:val="005B038A"/>
    <w:rsid w:val="005B0396"/>
    <w:rsid w:val="005B06EA"/>
    <w:rsid w:val="005B0A24"/>
    <w:rsid w:val="005B0FCA"/>
    <w:rsid w:val="005B4EC2"/>
    <w:rsid w:val="005B4F54"/>
    <w:rsid w:val="005B634A"/>
    <w:rsid w:val="005C5B19"/>
    <w:rsid w:val="005E7853"/>
    <w:rsid w:val="005F1B65"/>
    <w:rsid w:val="005F1C17"/>
    <w:rsid w:val="005F5DD8"/>
    <w:rsid w:val="005F64C1"/>
    <w:rsid w:val="006010EF"/>
    <w:rsid w:val="006040EB"/>
    <w:rsid w:val="00605B7A"/>
    <w:rsid w:val="006060A5"/>
    <w:rsid w:val="00615FB7"/>
    <w:rsid w:val="0061692B"/>
    <w:rsid w:val="00627043"/>
    <w:rsid w:val="00630D83"/>
    <w:rsid w:val="0063524A"/>
    <w:rsid w:val="00637859"/>
    <w:rsid w:val="00642CC7"/>
    <w:rsid w:val="00644981"/>
    <w:rsid w:val="00653D95"/>
    <w:rsid w:val="0065681E"/>
    <w:rsid w:val="0065710B"/>
    <w:rsid w:val="00660504"/>
    <w:rsid w:val="0066198E"/>
    <w:rsid w:val="00662312"/>
    <w:rsid w:val="00662704"/>
    <w:rsid w:val="00666EED"/>
    <w:rsid w:val="00671528"/>
    <w:rsid w:val="00676AD5"/>
    <w:rsid w:val="006822FB"/>
    <w:rsid w:val="0068329C"/>
    <w:rsid w:val="00684307"/>
    <w:rsid w:val="006B707E"/>
    <w:rsid w:val="006C45F8"/>
    <w:rsid w:val="006C491D"/>
    <w:rsid w:val="006C5D0B"/>
    <w:rsid w:val="006D5111"/>
    <w:rsid w:val="006E1090"/>
    <w:rsid w:val="006E4092"/>
    <w:rsid w:val="006E47D3"/>
    <w:rsid w:val="006E4DAC"/>
    <w:rsid w:val="006F32E7"/>
    <w:rsid w:val="006F4513"/>
    <w:rsid w:val="00701C29"/>
    <w:rsid w:val="00702A18"/>
    <w:rsid w:val="00711A47"/>
    <w:rsid w:val="00711F0F"/>
    <w:rsid w:val="00714D65"/>
    <w:rsid w:val="00717476"/>
    <w:rsid w:val="007222BB"/>
    <w:rsid w:val="00722D7A"/>
    <w:rsid w:val="00726A53"/>
    <w:rsid w:val="00733BAA"/>
    <w:rsid w:val="007354EA"/>
    <w:rsid w:val="00741FDD"/>
    <w:rsid w:val="007421CA"/>
    <w:rsid w:val="00760BB3"/>
    <w:rsid w:val="00763D8C"/>
    <w:rsid w:val="007650C2"/>
    <w:rsid w:val="007654A8"/>
    <w:rsid w:val="00765B08"/>
    <w:rsid w:val="00776FB1"/>
    <w:rsid w:val="007849D4"/>
    <w:rsid w:val="007932DB"/>
    <w:rsid w:val="007A00F5"/>
    <w:rsid w:val="007A35A3"/>
    <w:rsid w:val="007B467A"/>
    <w:rsid w:val="007B4EEB"/>
    <w:rsid w:val="007B6AE2"/>
    <w:rsid w:val="007C3A10"/>
    <w:rsid w:val="007C4235"/>
    <w:rsid w:val="007C50C3"/>
    <w:rsid w:val="007C5AEC"/>
    <w:rsid w:val="007C60BB"/>
    <w:rsid w:val="007C7463"/>
    <w:rsid w:val="007D382E"/>
    <w:rsid w:val="007D6F77"/>
    <w:rsid w:val="007D77D5"/>
    <w:rsid w:val="007E3539"/>
    <w:rsid w:val="007E4F76"/>
    <w:rsid w:val="007F0C6C"/>
    <w:rsid w:val="00802D27"/>
    <w:rsid w:val="00806135"/>
    <w:rsid w:val="00810E0C"/>
    <w:rsid w:val="00810FC3"/>
    <w:rsid w:val="00813A0D"/>
    <w:rsid w:val="00816B78"/>
    <w:rsid w:val="008209C3"/>
    <w:rsid w:val="008221DF"/>
    <w:rsid w:val="0082245E"/>
    <w:rsid w:val="00822A19"/>
    <w:rsid w:val="00833B53"/>
    <w:rsid w:val="00834D1A"/>
    <w:rsid w:val="0083711D"/>
    <w:rsid w:val="00837F09"/>
    <w:rsid w:val="008429D1"/>
    <w:rsid w:val="00845D5B"/>
    <w:rsid w:val="0085182B"/>
    <w:rsid w:val="00852471"/>
    <w:rsid w:val="008558D1"/>
    <w:rsid w:val="00874096"/>
    <w:rsid w:val="008800F4"/>
    <w:rsid w:val="00881645"/>
    <w:rsid w:val="00882780"/>
    <w:rsid w:val="0088741C"/>
    <w:rsid w:val="008A0260"/>
    <w:rsid w:val="008A277A"/>
    <w:rsid w:val="008A4E69"/>
    <w:rsid w:val="008A6F73"/>
    <w:rsid w:val="008B15C3"/>
    <w:rsid w:val="008B2A2C"/>
    <w:rsid w:val="008B3280"/>
    <w:rsid w:val="008B33D2"/>
    <w:rsid w:val="008B4DB7"/>
    <w:rsid w:val="008B6321"/>
    <w:rsid w:val="008E128B"/>
    <w:rsid w:val="008E21EC"/>
    <w:rsid w:val="008E23EE"/>
    <w:rsid w:val="008E31C7"/>
    <w:rsid w:val="008F5E3B"/>
    <w:rsid w:val="008F69E3"/>
    <w:rsid w:val="009007AD"/>
    <w:rsid w:val="00903E19"/>
    <w:rsid w:val="00916940"/>
    <w:rsid w:val="009208E8"/>
    <w:rsid w:val="00922409"/>
    <w:rsid w:val="00922731"/>
    <w:rsid w:val="00927218"/>
    <w:rsid w:val="0093254C"/>
    <w:rsid w:val="00935247"/>
    <w:rsid w:val="00935503"/>
    <w:rsid w:val="00935DF2"/>
    <w:rsid w:val="00944F40"/>
    <w:rsid w:val="0094779C"/>
    <w:rsid w:val="00950C7B"/>
    <w:rsid w:val="00950F59"/>
    <w:rsid w:val="009546DB"/>
    <w:rsid w:val="0095565B"/>
    <w:rsid w:val="0096270F"/>
    <w:rsid w:val="009630B9"/>
    <w:rsid w:val="009723CE"/>
    <w:rsid w:val="00976D3C"/>
    <w:rsid w:val="00977742"/>
    <w:rsid w:val="009800C3"/>
    <w:rsid w:val="009912B9"/>
    <w:rsid w:val="00991F1B"/>
    <w:rsid w:val="00993E07"/>
    <w:rsid w:val="0099678D"/>
    <w:rsid w:val="009B45BD"/>
    <w:rsid w:val="009B61EA"/>
    <w:rsid w:val="009C5B91"/>
    <w:rsid w:val="009C7263"/>
    <w:rsid w:val="009C7D23"/>
    <w:rsid w:val="009C7D4E"/>
    <w:rsid w:val="009E2B22"/>
    <w:rsid w:val="009E74E7"/>
    <w:rsid w:val="00A030A0"/>
    <w:rsid w:val="00A04F9B"/>
    <w:rsid w:val="00A0735A"/>
    <w:rsid w:val="00A13851"/>
    <w:rsid w:val="00A1698C"/>
    <w:rsid w:val="00A24134"/>
    <w:rsid w:val="00A24A6D"/>
    <w:rsid w:val="00A35C84"/>
    <w:rsid w:val="00A4217E"/>
    <w:rsid w:val="00A4679A"/>
    <w:rsid w:val="00A521D1"/>
    <w:rsid w:val="00A538B9"/>
    <w:rsid w:val="00A62FDC"/>
    <w:rsid w:val="00A6756E"/>
    <w:rsid w:val="00A7215E"/>
    <w:rsid w:val="00A766AD"/>
    <w:rsid w:val="00A81E96"/>
    <w:rsid w:val="00A83454"/>
    <w:rsid w:val="00A84AEE"/>
    <w:rsid w:val="00A90065"/>
    <w:rsid w:val="00A90D06"/>
    <w:rsid w:val="00A91D81"/>
    <w:rsid w:val="00A932C0"/>
    <w:rsid w:val="00A9494D"/>
    <w:rsid w:val="00AA27D1"/>
    <w:rsid w:val="00AA449A"/>
    <w:rsid w:val="00AA4872"/>
    <w:rsid w:val="00AA5BAE"/>
    <w:rsid w:val="00AA76B6"/>
    <w:rsid w:val="00AB24DE"/>
    <w:rsid w:val="00AB3424"/>
    <w:rsid w:val="00AB6727"/>
    <w:rsid w:val="00AC3B2F"/>
    <w:rsid w:val="00AC6EA2"/>
    <w:rsid w:val="00AC6F4C"/>
    <w:rsid w:val="00AC78AD"/>
    <w:rsid w:val="00AD129C"/>
    <w:rsid w:val="00AD26AE"/>
    <w:rsid w:val="00AD5158"/>
    <w:rsid w:val="00AE0E6F"/>
    <w:rsid w:val="00AE76AC"/>
    <w:rsid w:val="00AF28E5"/>
    <w:rsid w:val="00AF3C0C"/>
    <w:rsid w:val="00AF4727"/>
    <w:rsid w:val="00AF5B97"/>
    <w:rsid w:val="00AF6929"/>
    <w:rsid w:val="00B00EF2"/>
    <w:rsid w:val="00B2445F"/>
    <w:rsid w:val="00B24D48"/>
    <w:rsid w:val="00B25E3A"/>
    <w:rsid w:val="00B27830"/>
    <w:rsid w:val="00B3038B"/>
    <w:rsid w:val="00B31E98"/>
    <w:rsid w:val="00B33B7F"/>
    <w:rsid w:val="00B376C7"/>
    <w:rsid w:val="00B40426"/>
    <w:rsid w:val="00B42DD4"/>
    <w:rsid w:val="00B438A3"/>
    <w:rsid w:val="00B43A67"/>
    <w:rsid w:val="00B4412E"/>
    <w:rsid w:val="00B46029"/>
    <w:rsid w:val="00B460B2"/>
    <w:rsid w:val="00B47D9C"/>
    <w:rsid w:val="00B50EDC"/>
    <w:rsid w:val="00B510DD"/>
    <w:rsid w:val="00B5352D"/>
    <w:rsid w:val="00B53585"/>
    <w:rsid w:val="00B60FD8"/>
    <w:rsid w:val="00B616BF"/>
    <w:rsid w:val="00B703AD"/>
    <w:rsid w:val="00B7117E"/>
    <w:rsid w:val="00B85129"/>
    <w:rsid w:val="00B871A7"/>
    <w:rsid w:val="00B879BD"/>
    <w:rsid w:val="00BA7B18"/>
    <w:rsid w:val="00BB6AA4"/>
    <w:rsid w:val="00BB7A0C"/>
    <w:rsid w:val="00BC2DB6"/>
    <w:rsid w:val="00BC623E"/>
    <w:rsid w:val="00BD09E0"/>
    <w:rsid w:val="00BD41FA"/>
    <w:rsid w:val="00BE03C8"/>
    <w:rsid w:val="00BE2C88"/>
    <w:rsid w:val="00BF32D9"/>
    <w:rsid w:val="00BF3F19"/>
    <w:rsid w:val="00BF459D"/>
    <w:rsid w:val="00BF6263"/>
    <w:rsid w:val="00BF7A46"/>
    <w:rsid w:val="00C03793"/>
    <w:rsid w:val="00C12769"/>
    <w:rsid w:val="00C13782"/>
    <w:rsid w:val="00C22B99"/>
    <w:rsid w:val="00C22E07"/>
    <w:rsid w:val="00C3053C"/>
    <w:rsid w:val="00C40A32"/>
    <w:rsid w:val="00C43CF3"/>
    <w:rsid w:val="00C5158D"/>
    <w:rsid w:val="00C564EB"/>
    <w:rsid w:val="00C615FD"/>
    <w:rsid w:val="00C62F49"/>
    <w:rsid w:val="00C63D7C"/>
    <w:rsid w:val="00C64099"/>
    <w:rsid w:val="00C641FE"/>
    <w:rsid w:val="00C650C0"/>
    <w:rsid w:val="00C73042"/>
    <w:rsid w:val="00C74855"/>
    <w:rsid w:val="00C75B64"/>
    <w:rsid w:val="00C82325"/>
    <w:rsid w:val="00C94C3F"/>
    <w:rsid w:val="00C95583"/>
    <w:rsid w:val="00C978E6"/>
    <w:rsid w:val="00CA2CE9"/>
    <w:rsid w:val="00CB0DEA"/>
    <w:rsid w:val="00CB68B7"/>
    <w:rsid w:val="00CC1E8E"/>
    <w:rsid w:val="00CD050A"/>
    <w:rsid w:val="00CD0B48"/>
    <w:rsid w:val="00CD14E5"/>
    <w:rsid w:val="00CD41C8"/>
    <w:rsid w:val="00CD4F12"/>
    <w:rsid w:val="00CD63C5"/>
    <w:rsid w:val="00CE15EE"/>
    <w:rsid w:val="00CE33B4"/>
    <w:rsid w:val="00CE60F3"/>
    <w:rsid w:val="00CF522C"/>
    <w:rsid w:val="00D0095F"/>
    <w:rsid w:val="00D02344"/>
    <w:rsid w:val="00D13398"/>
    <w:rsid w:val="00D1513C"/>
    <w:rsid w:val="00D17475"/>
    <w:rsid w:val="00D20044"/>
    <w:rsid w:val="00D200EC"/>
    <w:rsid w:val="00D2659A"/>
    <w:rsid w:val="00D32251"/>
    <w:rsid w:val="00D4443C"/>
    <w:rsid w:val="00D50C2F"/>
    <w:rsid w:val="00D54A05"/>
    <w:rsid w:val="00D56C11"/>
    <w:rsid w:val="00D56C66"/>
    <w:rsid w:val="00D71736"/>
    <w:rsid w:val="00D71E0B"/>
    <w:rsid w:val="00D72CA7"/>
    <w:rsid w:val="00D758FB"/>
    <w:rsid w:val="00D76AC4"/>
    <w:rsid w:val="00D81A0B"/>
    <w:rsid w:val="00D9214D"/>
    <w:rsid w:val="00D92FCE"/>
    <w:rsid w:val="00DA646F"/>
    <w:rsid w:val="00DA6EEB"/>
    <w:rsid w:val="00DB0EB6"/>
    <w:rsid w:val="00DB13D3"/>
    <w:rsid w:val="00DB4702"/>
    <w:rsid w:val="00DB4C24"/>
    <w:rsid w:val="00DB4E3B"/>
    <w:rsid w:val="00DB77DD"/>
    <w:rsid w:val="00DB7F57"/>
    <w:rsid w:val="00DC2CB2"/>
    <w:rsid w:val="00DD3375"/>
    <w:rsid w:val="00DD3BA3"/>
    <w:rsid w:val="00DD7A27"/>
    <w:rsid w:val="00DE1432"/>
    <w:rsid w:val="00DF1DC4"/>
    <w:rsid w:val="00DF61A0"/>
    <w:rsid w:val="00DF7B7E"/>
    <w:rsid w:val="00E1553B"/>
    <w:rsid w:val="00E33760"/>
    <w:rsid w:val="00E35467"/>
    <w:rsid w:val="00E36072"/>
    <w:rsid w:val="00E41813"/>
    <w:rsid w:val="00E4293F"/>
    <w:rsid w:val="00E430E5"/>
    <w:rsid w:val="00E44214"/>
    <w:rsid w:val="00E533DA"/>
    <w:rsid w:val="00E53AB2"/>
    <w:rsid w:val="00E56341"/>
    <w:rsid w:val="00E57459"/>
    <w:rsid w:val="00E6145B"/>
    <w:rsid w:val="00E67628"/>
    <w:rsid w:val="00E72A2C"/>
    <w:rsid w:val="00E72E1D"/>
    <w:rsid w:val="00E73D68"/>
    <w:rsid w:val="00E75675"/>
    <w:rsid w:val="00E8310E"/>
    <w:rsid w:val="00E849D6"/>
    <w:rsid w:val="00E84CA5"/>
    <w:rsid w:val="00E865AB"/>
    <w:rsid w:val="00E90323"/>
    <w:rsid w:val="00E94857"/>
    <w:rsid w:val="00E94CCB"/>
    <w:rsid w:val="00EA50D0"/>
    <w:rsid w:val="00EA697D"/>
    <w:rsid w:val="00EB1B71"/>
    <w:rsid w:val="00EB217C"/>
    <w:rsid w:val="00ED319C"/>
    <w:rsid w:val="00ED649B"/>
    <w:rsid w:val="00ED7C12"/>
    <w:rsid w:val="00EE420B"/>
    <w:rsid w:val="00EF2972"/>
    <w:rsid w:val="00EF4B6A"/>
    <w:rsid w:val="00EF59BB"/>
    <w:rsid w:val="00F00D58"/>
    <w:rsid w:val="00F06319"/>
    <w:rsid w:val="00F109CC"/>
    <w:rsid w:val="00F221F4"/>
    <w:rsid w:val="00F22E57"/>
    <w:rsid w:val="00F238D1"/>
    <w:rsid w:val="00F2411C"/>
    <w:rsid w:val="00F24D2A"/>
    <w:rsid w:val="00F35A73"/>
    <w:rsid w:val="00F40EEB"/>
    <w:rsid w:val="00F64848"/>
    <w:rsid w:val="00F653F5"/>
    <w:rsid w:val="00F65F9E"/>
    <w:rsid w:val="00F66064"/>
    <w:rsid w:val="00F662A3"/>
    <w:rsid w:val="00F7753E"/>
    <w:rsid w:val="00F824B4"/>
    <w:rsid w:val="00F84875"/>
    <w:rsid w:val="00F85A57"/>
    <w:rsid w:val="00F90BFC"/>
    <w:rsid w:val="00F9130D"/>
    <w:rsid w:val="00F918E6"/>
    <w:rsid w:val="00FA6913"/>
    <w:rsid w:val="00FB2748"/>
    <w:rsid w:val="00FB53EA"/>
    <w:rsid w:val="00FC096F"/>
    <w:rsid w:val="00FC2EB1"/>
    <w:rsid w:val="00FC3982"/>
    <w:rsid w:val="00FC5CF1"/>
    <w:rsid w:val="00FD5024"/>
    <w:rsid w:val="00FD5FC2"/>
    <w:rsid w:val="00FD63F5"/>
    <w:rsid w:val="00FD7C53"/>
    <w:rsid w:val="00FE0A7D"/>
    <w:rsid w:val="00FE0AD6"/>
    <w:rsid w:val="00FE60D6"/>
    <w:rsid w:val="00FE7847"/>
    <w:rsid w:val="00FE7C9D"/>
    <w:rsid w:val="00FF06CC"/>
    <w:rsid w:val="00FF0CD6"/>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rPr>
      <w:lang w:val="fr-FR"/>
    </w:rPr>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3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semiHidden/>
    <w:unhideWhenUsed/>
    <w:rsid w:val="00F918E6"/>
    <w:rPr>
      <w:sz w:val="16"/>
      <w:szCs w:val="16"/>
    </w:rPr>
  </w:style>
  <w:style w:type="paragraph" w:styleId="Commentaire">
    <w:name w:val="annotation text"/>
    <w:basedOn w:val="Normal"/>
    <w:link w:val="CommentaireCar"/>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n,ALTS FOOTNOTE,single space,footnote text,Footnote Text Quote,FOOTNOTES,Note de bas de page2,Note de bas de page Car Car Car,Note de bas de page Car Car,Note de bas de page Car Car Car2,Footnote Text Char1,Car,Footnote,12pt,ft,ADB"/>
    <w:basedOn w:val="Normal"/>
    <w:link w:val="NotedebasdepageCar"/>
    <w:uiPriority w:val="99"/>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n Car,ALTS FOOTNOTE Car,single space Car,footnote text Car,Footnote Text Quote Car,FOOTNOTES Car,Note de bas de page2 Car,Note de bas de page Car Car Car Car,Note de bas de page Car Car Car1,Note de bas de page Car Car Car2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aliases w:val="ftref,16 Point,Superscript 6 Point,Car Car Char Car Char Car Car Char Car Char Char,Car Car Car Car Car Car Car Car Char Car Car Char Car Car Car Char Car Char Char Char,SUPERS,Ref,de nota al pie,BVI fnr,Footnote Reference Number"/>
    <w:link w:val="BVIfnrCharCarChar"/>
    <w:uiPriority w:val="99"/>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paragraph" w:styleId="Corpsdetexte">
    <w:name w:val="Body Text"/>
    <w:basedOn w:val="Normal"/>
    <w:link w:val="CorpsdetexteCar"/>
    <w:uiPriority w:val="99"/>
    <w:semiHidden/>
    <w:unhideWhenUsed/>
    <w:rsid w:val="00AE0E6F"/>
    <w:pPr>
      <w:spacing w:after="120"/>
    </w:pPr>
  </w:style>
  <w:style w:type="character" w:customStyle="1" w:styleId="CorpsdetexteCar">
    <w:name w:val="Corps de texte Car"/>
    <w:basedOn w:val="Policepardfaut"/>
    <w:link w:val="Corpsdetexte"/>
    <w:uiPriority w:val="99"/>
    <w:semiHidden/>
    <w:rsid w:val="00AE0E6F"/>
  </w:style>
  <w:style w:type="paragraph" w:customStyle="1" w:styleId="BVIfnrCharCarChar">
    <w:name w:val="BVI fnr Char Car Char"/>
    <w:aliases w:val="BVI fnr Zchn Char Car Char Car Char Car Char,BVI fnr Car Car Zchn Zchn Char Char Car Car Char Char Car Car Char Char Char Char Car Char,BVI fnr Car Char Car Char"/>
    <w:basedOn w:val="Normal"/>
    <w:link w:val="Appelnotedebasdep"/>
    <w:uiPriority w:val="99"/>
    <w:rsid w:val="005810AD"/>
    <w:pPr>
      <w:spacing w:before="100" w:after="160" w:line="240" w:lineRule="exact"/>
      <w:jc w:val="both"/>
    </w:pPr>
    <w:rPr>
      <w:vertAlign w:val="superscript"/>
      <w:lang w:val="en-US"/>
    </w:rPr>
  </w:style>
</w:styles>
</file>

<file path=word/webSettings.xml><?xml version="1.0" encoding="utf-8"?>
<w:webSettings xmlns:r="http://schemas.openxmlformats.org/officeDocument/2006/relationships" xmlns:w="http://schemas.openxmlformats.org/wordprocessingml/2006/main">
  <w:divs>
    <w:div w:id="105973985">
      <w:bodyDiv w:val="1"/>
      <w:marLeft w:val="0"/>
      <w:marRight w:val="0"/>
      <w:marTop w:val="0"/>
      <w:marBottom w:val="0"/>
      <w:divBdr>
        <w:top w:val="none" w:sz="0" w:space="0" w:color="auto"/>
        <w:left w:val="none" w:sz="0" w:space="0" w:color="auto"/>
        <w:bottom w:val="none" w:sz="0" w:space="0" w:color="auto"/>
        <w:right w:val="none" w:sz="0" w:space="0" w:color="auto"/>
      </w:divBdr>
    </w:div>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313340524">
      <w:bodyDiv w:val="1"/>
      <w:marLeft w:val="0"/>
      <w:marRight w:val="0"/>
      <w:marTop w:val="0"/>
      <w:marBottom w:val="0"/>
      <w:divBdr>
        <w:top w:val="none" w:sz="0" w:space="0" w:color="auto"/>
        <w:left w:val="none" w:sz="0" w:space="0" w:color="auto"/>
        <w:bottom w:val="none" w:sz="0" w:space="0" w:color="auto"/>
        <w:right w:val="none" w:sz="0" w:space="0" w:color="auto"/>
      </w:divBdr>
    </w:div>
    <w:div w:id="640306926">
      <w:bodyDiv w:val="1"/>
      <w:marLeft w:val="0"/>
      <w:marRight w:val="0"/>
      <w:marTop w:val="0"/>
      <w:marBottom w:val="0"/>
      <w:divBdr>
        <w:top w:val="none" w:sz="0" w:space="0" w:color="auto"/>
        <w:left w:val="none" w:sz="0" w:space="0" w:color="auto"/>
        <w:bottom w:val="none" w:sz="0" w:space="0" w:color="auto"/>
        <w:right w:val="none" w:sz="0" w:space="0" w:color="auto"/>
      </w:divBdr>
    </w:div>
    <w:div w:id="689529003">
      <w:bodyDiv w:val="1"/>
      <w:marLeft w:val="0"/>
      <w:marRight w:val="0"/>
      <w:marTop w:val="0"/>
      <w:marBottom w:val="0"/>
      <w:divBdr>
        <w:top w:val="none" w:sz="0" w:space="0" w:color="auto"/>
        <w:left w:val="none" w:sz="0" w:space="0" w:color="auto"/>
        <w:bottom w:val="none" w:sz="0" w:space="0" w:color="auto"/>
        <w:right w:val="none" w:sz="0" w:space="0" w:color="auto"/>
      </w:divBdr>
    </w:div>
    <w:div w:id="753625140">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969361229">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214123423">
      <w:bodyDiv w:val="1"/>
      <w:marLeft w:val="0"/>
      <w:marRight w:val="0"/>
      <w:marTop w:val="0"/>
      <w:marBottom w:val="0"/>
      <w:divBdr>
        <w:top w:val="none" w:sz="0" w:space="0" w:color="auto"/>
        <w:left w:val="none" w:sz="0" w:space="0" w:color="auto"/>
        <w:bottom w:val="none" w:sz="0" w:space="0" w:color="auto"/>
        <w:right w:val="none" w:sz="0" w:space="0" w:color="auto"/>
      </w:divBdr>
    </w:div>
    <w:div w:id="1352537378">
      <w:bodyDiv w:val="1"/>
      <w:marLeft w:val="0"/>
      <w:marRight w:val="0"/>
      <w:marTop w:val="0"/>
      <w:marBottom w:val="0"/>
      <w:divBdr>
        <w:top w:val="none" w:sz="0" w:space="0" w:color="auto"/>
        <w:left w:val="none" w:sz="0" w:space="0" w:color="auto"/>
        <w:bottom w:val="none" w:sz="0" w:space="0" w:color="auto"/>
        <w:right w:val="none" w:sz="0" w:space="0" w:color="auto"/>
      </w:divBdr>
    </w:div>
    <w:div w:id="1457332343">
      <w:bodyDiv w:val="1"/>
      <w:marLeft w:val="0"/>
      <w:marRight w:val="0"/>
      <w:marTop w:val="0"/>
      <w:marBottom w:val="0"/>
      <w:divBdr>
        <w:top w:val="none" w:sz="0" w:space="0" w:color="auto"/>
        <w:left w:val="none" w:sz="0" w:space="0" w:color="auto"/>
        <w:bottom w:val="none" w:sz="0" w:space="0" w:color="auto"/>
        <w:right w:val="none" w:sz="0" w:space="0" w:color="auto"/>
      </w:divBdr>
    </w:div>
    <w:div w:id="1668291403">
      <w:bodyDiv w:val="1"/>
      <w:marLeft w:val="0"/>
      <w:marRight w:val="0"/>
      <w:marTop w:val="0"/>
      <w:marBottom w:val="0"/>
      <w:divBdr>
        <w:top w:val="none" w:sz="0" w:space="0" w:color="auto"/>
        <w:left w:val="none" w:sz="0" w:space="0" w:color="auto"/>
        <w:bottom w:val="none" w:sz="0" w:space="0" w:color="auto"/>
        <w:right w:val="none" w:sz="0" w:space="0" w:color="auto"/>
      </w:divBdr>
    </w:div>
    <w:div w:id="1941142268">
      <w:bodyDiv w:val="1"/>
      <w:marLeft w:val="0"/>
      <w:marRight w:val="0"/>
      <w:marTop w:val="0"/>
      <w:marBottom w:val="0"/>
      <w:divBdr>
        <w:top w:val="none" w:sz="0" w:space="0" w:color="auto"/>
        <w:left w:val="none" w:sz="0" w:space="0" w:color="auto"/>
        <w:bottom w:val="none" w:sz="0" w:space="0" w:color="auto"/>
        <w:right w:val="none" w:sz="0" w:space="0" w:color="auto"/>
      </w:divBdr>
    </w:div>
    <w:div w:id="1942180195">
      <w:bodyDiv w:val="1"/>
      <w:marLeft w:val="0"/>
      <w:marRight w:val="0"/>
      <w:marTop w:val="0"/>
      <w:marBottom w:val="0"/>
      <w:divBdr>
        <w:top w:val="none" w:sz="0" w:space="0" w:color="auto"/>
        <w:left w:val="none" w:sz="0" w:space="0" w:color="auto"/>
        <w:bottom w:val="none" w:sz="0" w:space="0" w:color="auto"/>
        <w:right w:val="none" w:sz="0" w:space="0" w:color="auto"/>
      </w:divBdr>
    </w:div>
    <w:div w:id="1990556556">
      <w:bodyDiv w:val="1"/>
      <w:marLeft w:val="0"/>
      <w:marRight w:val="0"/>
      <w:marTop w:val="0"/>
      <w:marBottom w:val="0"/>
      <w:divBdr>
        <w:top w:val="none" w:sz="0" w:space="0" w:color="auto"/>
        <w:left w:val="none" w:sz="0" w:space="0" w:color="auto"/>
        <w:bottom w:val="none" w:sz="0" w:space="0" w:color="auto"/>
        <w:right w:val="none" w:sz="0" w:space="0" w:color="auto"/>
      </w:divBdr>
    </w:div>
    <w:div w:id="20288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undp.org/hr/Tableau_des_Co%C3%BBts.pdf" TargetMode="External"/><Relationship Id="rId18" Type="http://schemas.openxmlformats.org/officeDocument/2006/relationships/package" Target="embeddings/Document_Microsoft_Office_Word1.docx"/><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soumission.info@undp.org" TargetMode="External"/><Relationship Id="rId20" Type="http://schemas.openxmlformats.org/officeDocument/2006/relationships/package" Target="embeddings/Document_Microsoft_Office_Word2.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c.soumission.cd@undp.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ocurement-notices.undp.org/view_notice.cfm?notice_id=62492"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C7D5C-9658-4F28-AA09-966EC957B0A8}">
  <ds:schemaRefs>
    <ds:schemaRef ds:uri="http://schemas.openxmlformats.org/officeDocument/2006/bibliography"/>
  </ds:schemaRefs>
</ds:datastoreItem>
</file>

<file path=customXml/itemProps5.xml><?xml version="1.0" encoding="utf-8"?>
<ds:datastoreItem xmlns:ds="http://schemas.openxmlformats.org/officeDocument/2006/customXml" ds:itemID="{E22C8FA4-7384-4E07-ACE6-6BA3AB4A83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2816</Words>
  <Characters>15493</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alvaro.meseguer</dc:creator>
  <cp:lastModifiedBy>MCN_Jacques</cp:lastModifiedBy>
  <cp:revision>2</cp:revision>
  <cp:lastPrinted>2011-03-24T14:16:00Z</cp:lastPrinted>
  <dcterms:created xsi:type="dcterms:W3CDTF">2020-08-26T08:23:00Z</dcterms:created>
  <dcterms:modified xsi:type="dcterms:W3CDTF">2020-08-26T08:23:00Z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