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62F2" w14:textId="77777777" w:rsidR="00D56C11" w:rsidRPr="0096270F" w:rsidRDefault="00D56C11" w:rsidP="00D56C11">
      <w:pPr>
        <w:tabs>
          <w:tab w:val="left" w:pos="1410"/>
        </w:tabs>
        <w:spacing w:after="0" w:line="240" w:lineRule="auto"/>
        <w:jc w:val="center"/>
        <w:rPr>
          <w:rFonts w:cstheme="minorHAnsi"/>
          <w:b/>
          <w:lang w:val="fr-FR"/>
        </w:rPr>
      </w:pPr>
      <w:bookmarkStart w:id="0" w:name="_GoBack"/>
      <w:bookmarkEnd w:id="0"/>
      <w:r w:rsidRPr="0096270F">
        <w:rPr>
          <w:rFonts w:cstheme="minorHAnsi"/>
          <w:b/>
          <w:lang w:val="fr-FR"/>
        </w:rPr>
        <w:t>NOTICE DE SELECTION</w:t>
      </w:r>
    </w:p>
    <w:p w14:paraId="782BB281" w14:textId="77777777" w:rsidR="007A00F5" w:rsidRPr="0096270F" w:rsidRDefault="007A00F5" w:rsidP="00E94CCB">
      <w:pPr>
        <w:tabs>
          <w:tab w:val="left" w:pos="1410"/>
        </w:tabs>
        <w:spacing w:after="0" w:line="240" w:lineRule="auto"/>
        <w:jc w:val="center"/>
        <w:rPr>
          <w:rFonts w:cstheme="minorHAnsi"/>
          <w:b/>
          <w:lang w:val="fr-FR"/>
        </w:rPr>
      </w:pPr>
    </w:p>
    <w:p w14:paraId="2D8F5C10" w14:textId="61CB8A44" w:rsidR="00D56C11" w:rsidRDefault="00E30D50" w:rsidP="00E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bCs/>
          <w:lang w:val="fr-FR"/>
        </w:rPr>
      </w:pPr>
      <w:r w:rsidRPr="00E30D50">
        <w:rPr>
          <w:rFonts w:eastAsia="Times New Roman" w:cstheme="minorHAnsi"/>
          <w:b/>
          <w:bCs/>
          <w:lang w:val="fr-FR"/>
        </w:rPr>
        <w:t xml:space="preserve">Un(e) Consultant(e) pour examiner les modalités de l’alignement du Programme National d’Investissement Agricole (PNIA) et de Mesure, Notification et Vérification (MRV) aux priorités d’adaptation aux changements climatiques </w:t>
      </w:r>
    </w:p>
    <w:p w14:paraId="588430E3" w14:textId="77777777" w:rsidR="00E30D50" w:rsidRPr="00E30D50" w:rsidRDefault="00E30D50" w:rsidP="00E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bCs/>
          <w:lang w:val="fr-FR"/>
        </w:rPr>
      </w:pPr>
    </w:p>
    <w:p w14:paraId="6FCBAC2C" w14:textId="2CCD03C4" w:rsidR="00D56C11" w:rsidRPr="0096270F" w:rsidRDefault="00D56C11" w:rsidP="00D56C11">
      <w:pPr>
        <w:spacing w:after="0" w:line="240" w:lineRule="auto"/>
        <w:jc w:val="center"/>
        <w:rPr>
          <w:rFonts w:eastAsia="Times New Roman" w:cstheme="minorHAnsi"/>
          <w:b/>
          <w:lang w:val="fr-FR" w:eastAsia="fr-FR"/>
        </w:rPr>
      </w:pPr>
      <w:r w:rsidRPr="0096270F">
        <w:rPr>
          <w:rFonts w:eastAsia="Times New Roman" w:cstheme="minorHAnsi"/>
          <w:b/>
          <w:lang w:val="fr-FR" w:eastAsia="rw-RW"/>
        </w:rPr>
        <w:t xml:space="preserve">Référence du dossier : </w:t>
      </w:r>
      <w:r w:rsidR="009B3F7F">
        <w:rPr>
          <w:rFonts w:eastAsia="Times New Roman" w:cstheme="minorHAnsi"/>
          <w:b/>
          <w:lang w:val="fr-FR" w:eastAsia="rw-RW"/>
        </w:rPr>
        <w:t>1</w:t>
      </w:r>
      <w:r w:rsidR="00E30D50">
        <w:rPr>
          <w:rFonts w:eastAsia="Times New Roman" w:cstheme="minorHAnsi"/>
          <w:b/>
          <w:lang w:val="fr-FR" w:eastAsia="rw-RW"/>
        </w:rPr>
        <w:t>57</w:t>
      </w:r>
      <w:r w:rsidR="003F640F" w:rsidRPr="0096270F">
        <w:rPr>
          <w:rFonts w:eastAsia="Times New Roman" w:cstheme="minorHAnsi"/>
          <w:b/>
          <w:lang w:val="fr-FR" w:eastAsia="rw-RW"/>
        </w:rPr>
        <w:t>/IC</w:t>
      </w:r>
      <w:r w:rsidR="00E30D50">
        <w:rPr>
          <w:rFonts w:eastAsia="Times New Roman" w:cstheme="minorHAnsi"/>
          <w:b/>
          <w:lang w:val="fr-FR" w:eastAsia="rw-RW"/>
        </w:rPr>
        <w:t>-NAT</w:t>
      </w:r>
      <w:r w:rsidR="003F640F" w:rsidRPr="0096270F">
        <w:rPr>
          <w:rFonts w:eastAsia="Times New Roman" w:cstheme="minorHAnsi"/>
          <w:b/>
          <w:lang w:val="fr-FR" w:eastAsia="rw-RW"/>
        </w:rPr>
        <w:t>/</w:t>
      </w:r>
      <w:r w:rsidR="00E30D50">
        <w:rPr>
          <w:rFonts w:eastAsia="Times New Roman" w:cstheme="minorHAnsi"/>
          <w:b/>
          <w:lang w:val="fr-FR" w:eastAsia="rw-RW"/>
        </w:rPr>
        <w:t>PNA</w:t>
      </w:r>
      <w:r w:rsidR="003F640F" w:rsidRPr="0096270F">
        <w:rPr>
          <w:rFonts w:eastAsia="Times New Roman" w:cstheme="minorHAnsi"/>
          <w:b/>
          <w:lang w:val="fr-FR" w:eastAsia="rw-RW"/>
        </w:rPr>
        <w:t>/2019</w:t>
      </w:r>
    </w:p>
    <w:p w14:paraId="7399166F" w14:textId="77777777" w:rsidR="00167362" w:rsidRPr="0096270F" w:rsidRDefault="00167362" w:rsidP="00D56C11">
      <w:pPr>
        <w:spacing w:after="0" w:line="240" w:lineRule="auto"/>
        <w:jc w:val="center"/>
        <w:rPr>
          <w:rFonts w:eastAsia="Times New Roman" w:cstheme="minorHAnsi"/>
          <w:b/>
          <w:lang w:val="fr-FR" w:eastAsia="fr-FR"/>
        </w:rPr>
      </w:pPr>
    </w:p>
    <w:p w14:paraId="52FE834E" w14:textId="180E7C3A" w:rsidR="003F640F" w:rsidRPr="0096270F" w:rsidRDefault="00D56C11" w:rsidP="003F640F">
      <w:pPr>
        <w:spacing w:after="0" w:line="240" w:lineRule="auto"/>
        <w:jc w:val="right"/>
        <w:rPr>
          <w:rFonts w:eastAsia="Times New Roman" w:cstheme="minorHAnsi"/>
          <w:lang w:val="fr-FR" w:eastAsia="rw-RW"/>
        </w:rPr>
      </w:pPr>
      <w:r w:rsidRPr="0096270F">
        <w:rPr>
          <w:rFonts w:eastAsia="Times New Roman" w:cstheme="minorHAnsi"/>
          <w:lang w:val="fr-FR" w:eastAsia="rw-RW"/>
        </w:rPr>
        <w:t xml:space="preserve">Date : </w:t>
      </w:r>
      <w:r w:rsidR="006E06DC">
        <w:rPr>
          <w:rFonts w:eastAsia="Times New Roman" w:cstheme="minorHAnsi"/>
          <w:lang w:val="fr-FR" w:eastAsia="rw-RW"/>
        </w:rPr>
        <w:t>1</w:t>
      </w:r>
      <w:r w:rsidR="00FC254B">
        <w:rPr>
          <w:rFonts w:eastAsia="Times New Roman" w:cstheme="minorHAnsi"/>
          <w:lang w:val="fr-FR" w:eastAsia="rw-RW"/>
        </w:rPr>
        <w:t>4</w:t>
      </w:r>
      <w:r w:rsidRPr="0096270F">
        <w:rPr>
          <w:rFonts w:eastAsia="Times New Roman" w:cstheme="minorHAnsi"/>
          <w:lang w:val="fr-FR" w:eastAsia="rw-RW"/>
        </w:rPr>
        <w:t>/0</w:t>
      </w:r>
      <w:r w:rsidR="009B3F7F">
        <w:rPr>
          <w:rFonts w:eastAsia="Times New Roman" w:cstheme="minorHAnsi"/>
          <w:lang w:val="fr-FR" w:eastAsia="rw-RW"/>
        </w:rPr>
        <w:t>6</w:t>
      </w:r>
      <w:r w:rsidRPr="0096270F">
        <w:rPr>
          <w:rFonts w:eastAsia="Times New Roman" w:cstheme="minorHAnsi"/>
          <w:lang w:val="fr-FR" w:eastAsia="rw-RW"/>
        </w:rPr>
        <w:t>/2019</w:t>
      </w:r>
    </w:p>
    <w:p w14:paraId="09001F3B" w14:textId="77777777" w:rsidR="009E2B22" w:rsidRPr="0096270F" w:rsidRDefault="00DA6EEB" w:rsidP="009E2B22">
      <w:pPr>
        <w:tabs>
          <w:tab w:val="left" w:pos="1410"/>
        </w:tabs>
        <w:rPr>
          <w:rFonts w:cstheme="minorHAnsi"/>
          <w:b/>
          <w:lang w:val="fr-FR"/>
        </w:rPr>
      </w:pPr>
      <w:r w:rsidRPr="0096270F">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96270F" w:rsidRDefault="009630B9" w:rsidP="0065710B">
      <w:pPr>
        <w:tabs>
          <w:tab w:val="left" w:pos="1410"/>
        </w:tabs>
        <w:rPr>
          <w:rFonts w:cstheme="minorHAnsi"/>
          <w:lang w:val="fr-FR"/>
        </w:rPr>
      </w:pPr>
      <w:r w:rsidRPr="0096270F">
        <w:rPr>
          <w:rFonts w:cstheme="minorHAnsi"/>
          <w:b/>
          <w:lang w:val="fr-FR"/>
        </w:rPr>
        <w:t>Pays :</w:t>
      </w:r>
      <w:r w:rsidR="00FC5CF1" w:rsidRPr="0096270F">
        <w:rPr>
          <w:rFonts w:cstheme="minorHAnsi"/>
          <w:b/>
          <w:lang w:val="fr-FR"/>
        </w:rPr>
        <w:t xml:space="preserve"> </w:t>
      </w:r>
      <w:r w:rsidR="00E75675" w:rsidRPr="0096270F">
        <w:rPr>
          <w:rFonts w:cstheme="minorHAnsi"/>
          <w:lang w:val="fr-FR"/>
        </w:rPr>
        <w:t>République Démocratique du Congo</w:t>
      </w:r>
      <w:r w:rsidR="00170915" w:rsidRPr="0096270F">
        <w:rPr>
          <w:rFonts w:cstheme="minorHAnsi"/>
          <w:lang w:val="fr-FR"/>
        </w:rPr>
        <w:t xml:space="preserve">, Ville : </w:t>
      </w:r>
      <w:r w:rsidR="00170915" w:rsidRPr="0096270F">
        <w:rPr>
          <w:rFonts w:cstheme="minorHAnsi"/>
          <w:u w:val="single"/>
          <w:lang w:val="fr-FR"/>
        </w:rPr>
        <w:t>Kinshasa</w:t>
      </w:r>
    </w:p>
    <w:p w14:paraId="3B6FE435" w14:textId="2088A068" w:rsidR="008800F4" w:rsidRPr="0096270F" w:rsidRDefault="009630B9" w:rsidP="00E30D50">
      <w:pPr>
        <w:rPr>
          <w:rFonts w:eastAsia="Times New Roman" w:cstheme="minorHAnsi"/>
          <w:b/>
          <w:sz w:val="24"/>
          <w:szCs w:val="24"/>
          <w:lang w:val="fr-FR" w:eastAsia="fr-FR"/>
        </w:rPr>
      </w:pPr>
      <w:r w:rsidRPr="0096270F">
        <w:rPr>
          <w:rFonts w:cstheme="minorHAnsi"/>
          <w:b/>
          <w:lang w:val="fr-FR"/>
        </w:rPr>
        <w:t>Description de la mission</w:t>
      </w:r>
      <w:r w:rsidR="00164555" w:rsidRPr="0096270F">
        <w:rPr>
          <w:rFonts w:cstheme="minorHAnsi"/>
          <w:b/>
          <w:lang w:val="fr-FR"/>
        </w:rPr>
        <w:t xml:space="preserve"> : </w:t>
      </w:r>
      <w:r w:rsidR="00E30D50" w:rsidRPr="00E30D50">
        <w:rPr>
          <w:rFonts w:eastAsia="Times New Roman" w:cstheme="minorHAnsi"/>
          <w:sz w:val="24"/>
          <w:szCs w:val="24"/>
          <w:lang w:val="fr-FR" w:eastAsia="fr-FR"/>
        </w:rPr>
        <w:t>Un(e) Consultant(e) pour examiner les modalités de l’alignement du Programme National d’Investissement Agricole (PNIA) et de Mesure, Notification et Vérification (MRV) aux priorités d’adaptation aux changements climatiques</w:t>
      </w:r>
      <w:r w:rsidR="00E30D50" w:rsidRPr="00A33864">
        <w:rPr>
          <w:rFonts w:eastAsia="Times New Roman" w:cstheme="minorHAnsi"/>
          <w:b/>
          <w:sz w:val="24"/>
          <w:szCs w:val="24"/>
          <w:lang w:val="fr-FR" w:eastAsia="fr-FR"/>
        </w:rPr>
        <w:t xml:space="preserve"> </w:t>
      </w:r>
    </w:p>
    <w:p w14:paraId="4E929FFE" w14:textId="5177F9BC" w:rsidR="00D56C11" w:rsidRDefault="00D56C11" w:rsidP="00D56C11">
      <w:pPr>
        <w:tabs>
          <w:tab w:val="left" w:pos="1410"/>
        </w:tabs>
        <w:spacing w:after="0" w:line="240" w:lineRule="auto"/>
        <w:ind w:left="3600" w:hanging="3600"/>
        <w:jc w:val="both"/>
        <w:rPr>
          <w:rFonts w:cstheme="minorHAnsi"/>
          <w:lang w:val="fr-FR"/>
        </w:rPr>
      </w:pPr>
      <w:r w:rsidRPr="0096270F">
        <w:rPr>
          <w:rFonts w:cstheme="minorHAnsi"/>
          <w:b/>
          <w:lang w:val="fr-FR"/>
        </w:rPr>
        <w:t>Niveau de poste et d’expérience :</w:t>
      </w:r>
      <w:r w:rsidRPr="0096270F">
        <w:rPr>
          <w:rFonts w:cstheme="minorHAnsi"/>
          <w:lang w:val="fr-FR"/>
        </w:rPr>
        <w:t xml:space="preserve"> </w:t>
      </w:r>
      <w:r w:rsidR="00E30D50">
        <w:rPr>
          <w:rFonts w:cstheme="minorHAnsi"/>
          <w:lang w:val="fr-FR"/>
        </w:rPr>
        <w:t>N</w:t>
      </w:r>
      <w:r w:rsidRPr="0096270F">
        <w:rPr>
          <w:rFonts w:cstheme="minorHAnsi"/>
          <w:lang w:val="fr-FR"/>
        </w:rPr>
        <w:t>ational</w:t>
      </w:r>
      <w:r w:rsidR="00D2444D">
        <w:rPr>
          <w:rFonts w:cstheme="minorHAnsi"/>
          <w:lang w:val="fr-FR"/>
        </w:rPr>
        <w:t>e</w:t>
      </w:r>
    </w:p>
    <w:p w14:paraId="642F77CC" w14:textId="0C13BD21" w:rsidR="00C860E4" w:rsidRDefault="00C860E4" w:rsidP="00D56C11">
      <w:pPr>
        <w:tabs>
          <w:tab w:val="left" w:pos="1410"/>
        </w:tabs>
        <w:spacing w:after="0" w:line="240" w:lineRule="auto"/>
        <w:ind w:left="3600" w:hanging="3600"/>
        <w:jc w:val="both"/>
        <w:rPr>
          <w:rFonts w:cstheme="minorHAnsi"/>
          <w:lang w:val="fr-FR"/>
        </w:rPr>
      </w:pPr>
    </w:p>
    <w:p w14:paraId="6C4B63AB" w14:textId="1DD40A25" w:rsidR="00C860E4" w:rsidRPr="0096270F" w:rsidRDefault="00C860E4" w:rsidP="00D56C11">
      <w:pPr>
        <w:tabs>
          <w:tab w:val="left" w:pos="1410"/>
        </w:tabs>
        <w:spacing w:after="0" w:line="240" w:lineRule="auto"/>
        <w:ind w:left="3600" w:hanging="3600"/>
        <w:jc w:val="both"/>
        <w:rPr>
          <w:rFonts w:cstheme="minorHAnsi"/>
          <w:lang w:val="fr-FR"/>
        </w:rPr>
      </w:pPr>
      <w:r w:rsidRPr="00C860E4">
        <w:rPr>
          <w:rFonts w:cstheme="minorHAnsi"/>
          <w:b/>
          <w:lang w:val="fr-FR"/>
        </w:rPr>
        <w:t>Lieu d’affectation</w:t>
      </w:r>
      <w:r>
        <w:rPr>
          <w:rFonts w:cstheme="minorHAnsi"/>
          <w:lang w:val="fr-FR"/>
        </w:rPr>
        <w:t xml:space="preserve"> : </w:t>
      </w:r>
      <w:r w:rsidRPr="00C860E4">
        <w:rPr>
          <w:rFonts w:cstheme="minorHAnsi"/>
          <w:lang w:val="fr-FR"/>
        </w:rPr>
        <w:t>Kinshasa,</w:t>
      </w:r>
      <w:r w:rsidR="00E30D50">
        <w:rPr>
          <w:rFonts w:cstheme="minorHAnsi"/>
          <w:lang w:val="fr-FR"/>
        </w:rPr>
        <w:t xml:space="preserve"> République démocratique du Congo</w:t>
      </w:r>
    </w:p>
    <w:p w14:paraId="6A10ABD6" w14:textId="77777777" w:rsidR="00D56C11" w:rsidRPr="0096270F" w:rsidRDefault="00D56C11" w:rsidP="00D56C11">
      <w:pPr>
        <w:tabs>
          <w:tab w:val="left" w:pos="1410"/>
        </w:tabs>
        <w:spacing w:after="0" w:line="240" w:lineRule="auto"/>
        <w:ind w:left="3600" w:hanging="3600"/>
        <w:jc w:val="both"/>
        <w:rPr>
          <w:rFonts w:cstheme="minorHAnsi"/>
          <w:lang w:val="fr-FR"/>
        </w:rPr>
      </w:pPr>
    </w:p>
    <w:p w14:paraId="1C9D2568" w14:textId="3D6F03DA" w:rsidR="0065710B" w:rsidRPr="0096270F" w:rsidRDefault="009630B9" w:rsidP="0065710B">
      <w:pPr>
        <w:tabs>
          <w:tab w:val="left" w:pos="1410"/>
        </w:tabs>
        <w:rPr>
          <w:rFonts w:cstheme="minorHAnsi"/>
          <w:b/>
          <w:lang w:val="fr-FR"/>
        </w:rPr>
      </w:pPr>
      <w:r w:rsidRPr="0096270F">
        <w:rPr>
          <w:rFonts w:cstheme="minorHAnsi"/>
          <w:b/>
          <w:lang w:val="fr-FR"/>
        </w:rPr>
        <w:t xml:space="preserve">Intitulé du projet </w:t>
      </w:r>
      <w:r w:rsidR="0065710B" w:rsidRPr="0096270F">
        <w:rPr>
          <w:rFonts w:cstheme="minorHAnsi"/>
          <w:b/>
          <w:lang w:val="fr-FR"/>
        </w:rPr>
        <w:t>:</w:t>
      </w:r>
      <w:r w:rsidR="00E67628" w:rsidRPr="0096270F">
        <w:rPr>
          <w:rFonts w:cstheme="minorHAnsi"/>
          <w:b/>
          <w:lang w:val="fr-FR"/>
        </w:rPr>
        <w:t xml:space="preserve"> </w:t>
      </w:r>
      <w:r w:rsidR="00E30D50" w:rsidRPr="00E30D50">
        <w:rPr>
          <w:rFonts w:cstheme="minorHAnsi"/>
          <w:lang w:val="fr-FR"/>
        </w:rPr>
        <w:t>PNA</w:t>
      </w:r>
      <w:r w:rsidR="00D2444D" w:rsidRPr="00E30D50">
        <w:rPr>
          <w:rFonts w:cstheme="minorHAnsi"/>
          <w:lang w:val="fr-FR"/>
        </w:rPr>
        <w:t xml:space="preserve"> </w:t>
      </w:r>
    </w:p>
    <w:p w14:paraId="53B0D980" w14:textId="55076D78" w:rsidR="00D56C11" w:rsidRPr="0096270F" w:rsidRDefault="009630B9" w:rsidP="00D56C11">
      <w:pPr>
        <w:tabs>
          <w:tab w:val="left" w:pos="1410"/>
        </w:tabs>
        <w:rPr>
          <w:rFonts w:cstheme="minorHAnsi"/>
          <w:lang w:val="fr-FR"/>
        </w:rPr>
      </w:pPr>
      <w:r w:rsidRPr="0096270F">
        <w:rPr>
          <w:rFonts w:cstheme="minorHAnsi"/>
          <w:b/>
          <w:lang w:val="fr-FR"/>
        </w:rPr>
        <w:t xml:space="preserve">Durée de la </w:t>
      </w:r>
      <w:r w:rsidR="00164555" w:rsidRPr="0096270F">
        <w:rPr>
          <w:rFonts w:cstheme="minorHAnsi"/>
          <w:b/>
          <w:lang w:val="fr-FR"/>
        </w:rPr>
        <w:t xml:space="preserve">mission : </w:t>
      </w:r>
      <w:r w:rsidR="000C1DFD" w:rsidRPr="00A33864">
        <w:rPr>
          <w:rFonts w:eastAsia="Times New Roman" w:cstheme="minorHAnsi"/>
          <w:sz w:val="24"/>
          <w:szCs w:val="24"/>
          <w:lang w:val="fr-FR"/>
        </w:rPr>
        <w:t>50</w:t>
      </w:r>
      <w:r w:rsidR="00B270C3">
        <w:rPr>
          <w:rFonts w:eastAsia="Times New Roman" w:cstheme="minorHAnsi"/>
          <w:sz w:val="24"/>
          <w:szCs w:val="24"/>
          <w:lang w:val="fr-FR"/>
        </w:rPr>
        <w:t xml:space="preserve"> ouvrables</w:t>
      </w:r>
      <w:r w:rsidR="00691E45">
        <w:rPr>
          <w:rFonts w:eastAsia="Times New Roman" w:cstheme="minorHAnsi"/>
          <w:sz w:val="24"/>
          <w:szCs w:val="24"/>
          <w:lang w:val="fr-FR"/>
        </w:rPr>
        <w:t xml:space="preserve"> : </w:t>
      </w:r>
      <w:r w:rsidR="00691E45" w:rsidRPr="0096270F">
        <w:rPr>
          <w:rFonts w:cstheme="minorHAnsi"/>
          <w:lang w:val="fr-FR"/>
        </w:rPr>
        <w:t>6 jours de travail par semaine</w:t>
      </w:r>
      <w:r w:rsidR="00691E45" w:rsidRPr="009A47F3">
        <w:rPr>
          <w:rFonts w:cstheme="minorHAnsi"/>
          <w:lang w:val="fr-FR"/>
        </w:rPr>
        <w:t>, du lundi au samedi</w:t>
      </w:r>
      <w:r w:rsidR="00691E45">
        <w:rPr>
          <w:rFonts w:cstheme="minorHAnsi"/>
          <w:lang w:val="fr-FR"/>
        </w:rPr>
        <w:t>.</w:t>
      </w:r>
      <w:r w:rsidR="00691E45" w:rsidRPr="00A33864">
        <w:rPr>
          <w:rFonts w:eastAsia="Times New Roman" w:cstheme="minorHAnsi"/>
          <w:sz w:val="24"/>
          <w:szCs w:val="24"/>
          <w:lang w:val="fr-FR"/>
        </w:rPr>
        <w:t xml:space="preserve"> (</w:t>
      </w:r>
      <w:r w:rsidR="00C52701" w:rsidRPr="00A33864">
        <w:rPr>
          <w:rFonts w:eastAsia="Times New Roman" w:cstheme="minorHAnsi"/>
          <w:sz w:val="24"/>
          <w:szCs w:val="24"/>
          <w:lang w:val="fr-FR"/>
        </w:rPr>
        <w:t>Période</w:t>
      </w:r>
      <w:r w:rsidR="000C1DFD" w:rsidRPr="00A33864">
        <w:rPr>
          <w:rFonts w:eastAsia="Times New Roman" w:cstheme="minorHAnsi"/>
          <w:sz w:val="24"/>
          <w:szCs w:val="24"/>
          <w:lang w:val="fr-FR"/>
        </w:rPr>
        <w:t xml:space="preserve"> étendue sur </w:t>
      </w:r>
      <w:r w:rsidR="000C1DFD">
        <w:rPr>
          <w:rFonts w:eastAsia="Times New Roman" w:cstheme="minorHAnsi"/>
          <w:sz w:val="24"/>
          <w:szCs w:val="24"/>
          <w:lang w:val="fr-FR"/>
        </w:rPr>
        <w:t>9</w:t>
      </w:r>
      <w:r w:rsidR="000C1DFD" w:rsidRPr="00A33864">
        <w:rPr>
          <w:rFonts w:eastAsia="Times New Roman" w:cstheme="minorHAnsi"/>
          <w:sz w:val="24"/>
          <w:szCs w:val="24"/>
          <w:lang w:val="fr-FR"/>
        </w:rPr>
        <w:t>0 jours calendaires</w:t>
      </w:r>
      <w:r w:rsidR="00691E45">
        <w:rPr>
          <w:rFonts w:eastAsia="Times New Roman" w:cstheme="minorHAnsi"/>
          <w:sz w:val="24"/>
          <w:szCs w:val="24"/>
          <w:lang w:val="fr-FR"/>
        </w:rPr>
        <w:t>)</w:t>
      </w:r>
      <w:r w:rsidR="00BA2938">
        <w:rPr>
          <w:rFonts w:eastAsia="Times New Roman" w:cstheme="minorHAnsi"/>
          <w:sz w:val="24"/>
          <w:szCs w:val="24"/>
          <w:lang w:val="fr-FR"/>
        </w:rPr>
        <w:t xml:space="preserve"> </w:t>
      </w:r>
    </w:p>
    <w:p w14:paraId="4294F1B8" w14:textId="77777777" w:rsidR="00D56C11" w:rsidRPr="0096270F" w:rsidRDefault="00D56C11" w:rsidP="00D56C11">
      <w:pPr>
        <w:spacing w:after="0" w:line="240" w:lineRule="auto"/>
        <w:jc w:val="both"/>
        <w:rPr>
          <w:rFonts w:eastAsia="Times New Roman" w:cstheme="minorHAnsi"/>
          <w:b/>
          <w:lang w:val="fr-FR" w:eastAsia="rw-RW"/>
        </w:rPr>
      </w:pPr>
      <w:r w:rsidRPr="0096270F">
        <w:rPr>
          <w:rFonts w:eastAsia="Times New Roman" w:cstheme="minorHAnsi"/>
          <w:lang w:val="fr-FR" w:eastAsia="rw-RW"/>
        </w:rPr>
        <w:t>Prière envoyer vos propositions (propositions technique et financière) dûment signées à l’adresse e-mail</w:t>
      </w:r>
      <w:r w:rsidRPr="0096270F">
        <w:rPr>
          <w:rFonts w:eastAsia="Times New Roman" w:cstheme="minorHAnsi"/>
          <w:b/>
          <w:lang w:val="fr-FR" w:eastAsia="rw-RW"/>
        </w:rPr>
        <w:t xml:space="preserve"> </w:t>
      </w:r>
      <w:r w:rsidR="003F640F" w:rsidRPr="0096270F">
        <w:rPr>
          <w:rStyle w:val="Lienhypertexte"/>
          <w:rFonts w:eastAsia="Times New Roman" w:cstheme="minorHAnsi"/>
          <w:b/>
          <w:lang w:val="fr-FR" w:eastAsia="rw-RW"/>
        </w:rPr>
        <w:t>ic.soumission.cd@undp.org</w:t>
      </w:r>
      <w:r w:rsidRPr="0096270F">
        <w:rPr>
          <w:rFonts w:eastAsia="Times New Roman" w:cstheme="minorHAnsi"/>
          <w:lang w:val="fr-FR" w:eastAsia="rw-RW"/>
        </w:rPr>
        <w:t xml:space="preserve"> avec mention de la référence et intitulé du dossier</w:t>
      </w:r>
      <w:r w:rsidRPr="0096270F">
        <w:rPr>
          <w:rFonts w:eastAsia="Times New Roman" w:cstheme="minorHAnsi"/>
          <w:b/>
          <w:lang w:val="fr-FR" w:eastAsia="rw-RW"/>
        </w:rPr>
        <w:t xml:space="preserve">. </w:t>
      </w:r>
    </w:p>
    <w:p w14:paraId="670A0119" w14:textId="77777777" w:rsidR="00D56C11" w:rsidRPr="0096270F" w:rsidRDefault="00D56C11" w:rsidP="00D56C11">
      <w:pPr>
        <w:spacing w:after="0" w:line="240" w:lineRule="auto"/>
        <w:jc w:val="both"/>
        <w:rPr>
          <w:rFonts w:cstheme="minorHAnsi"/>
          <w:b/>
          <w:lang w:val="fr-FR"/>
        </w:rPr>
      </w:pPr>
    </w:p>
    <w:p w14:paraId="05D91372" w14:textId="5AC7B6D0" w:rsidR="00D56C11" w:rsidRPr="00881ADC" w:rsidRDefault="00D56C11" w:rsidP="00D56C11">
      <w:pPr>
        <w:spacing w:after="0" w:line="240" w:lineRule="auto"/>
        <w:jc w:val="both"/>
        <w:rPr>
          <w:rFonts w:cstheme="minorHAnsi"/>
          <w:b/>
          <w:highlight w:val="yellow"/>
          <w:lang w:val="fr-FR"/>
        </w:rPr>
      </w:pPr>
      <w:r w:rsidRPr="00881ADC">
        <w:rPr>
          <w:rFonts w:cstheme="minorHAnsi"/>
          <w:b/>
          <w:highlight w:val="yellow"/>
          <w:lang w:val="fr-FR"/>
        </w:rPr>
        <w:t xml:space="preserve">Votre proposition devra être reçue au plus tard </w:t>
      </w:r>
      <w:r w:rsidRPr="00881ADC">
        <w:rPr>
          <w:rFonts w:cstheme="minorHAnsi"/>
          <w:b/>
          <w:highlight w:val="yellow"/>
          <w:u w:val="single"/>
          <w:lang w:val="fr-FR"/>
        </w:rPr>
        <w:t>le</w:t>
      </w:r>
      <w:r w:rsidR="00EB217C" w:rsidRPr="00881ADC">
        <w:rPr>
          <w:rFonts w:cstheme="minorHAnsi"/>
          <w:b/>
          <w:highlight w:val="yellow"/>
          <w:u w:val="single"/>
          <w:lang w:val="fr-FR"/>
        </w:rPr>
        <w:t xml:space="preserve"> </w:t>
      </w:r>
      <w:r w:rsidR="002311C4">
        <w:rPr>
          <w:rFonts w:cstheme="minorHAnsi"/>
          <w:b/>
          <w:highlight w:val="yellow"/>
          <w:u w:val="single"/>
          <w:lang w:val="fr-FR"/>
        </w:rPr>
        <w:t>vendred</w:t>
      </w:r>
      <w:r w:rsidR="00526069" w:rsidRPr="00881ADC">
        <w:rPr>
          <w:rFonts w:cstheme="minorHAnsi"/>
          <w:b/>
          <w:highlight w:val="yellow"/>
          <w:u w:val="single"/>
          <w:lang w:val="fr-FR"/>
        </w:rPr>
        <w:t>i</w:t>
      </w:r>
      <w:r w:rsidRPr="00881ADC">
        <w:rPr>
          <w:rFonts w:cstheme="minorHAnsi"/>
          <w:b/>
          <w:highlight w:val="yellow"/>
          <w:u w:val="single"/>
          <w:lang w:val="fr-FR"/>
        </w:rPr>
        <w:t xml:space="preserve"> </w:t>
      </w:r>
      <w:r w:rsidR="00BA2938">
        <w:rPr>
          <w:rFonts w:cstheme="minorHAnsi"/>
          <w:b/>
          <w:highlight w:val="yellow"/>
          <w:u w:val="single"/>
          <w:lang w:val="fr-FR"/>
        </w:rPr>
        <w:t>2</w:t>
      </w:r>
      <w:r w:rsidR="002311C4">
        <w:rPr>
          <w:rFonts w:cstheme="minorHAnsi"/>
          <w:b/>
          <w:highlight w:val="yellow"/>
          <w:u w:val="single"/>
          <w:lang w:val="fr-FR"/>
        </w:rPr>
        <w:t>8</w:t>
      </w:r>
      <w:r w:rsidR="00164555" w:rsidRPr="00881ADC">
        <w:rPr>
          <w:rFonts w:cstheme="minorHAnsi"/>
          <w:b/>
          <w:highlight w:val="yellow"/>
          <w:u w:val="single"/>
          <w:lang w:val="fr-FR"/>
        </w:rPr>
        <w:t xml:space="preserve"> </w:t>
      </w:r>
      <w:r w:rsidR="00D2444D">
        <w:rPr>
          <w:rFonts w:cstheme="minorHAnsi"/>
          <w:b/>
          <w:highlight w:val="yellow"/>
          <w:u w:val="single"/>
          <w:lang w:val="fr-FR"/>
        </w:rPr>
        <w:t>juin</w:t>
      </w:r>
      <w:r w:rsidRPr="00881ADC">
        <w:rPr>
          <w:rFonts w:cstheme="minorHAnsi"/>
          <w:b/>
          <w:highlight w:val="yellow"/>
          <w:u w:val="single"/>
          <w:lang w:val="fr-FR"/>
        </w:rPr>
        <w:t xml:space="preserve"> 2019 à 1</w:t>
      </w:r>
      <w:r w:rsidR="00523BE8" w:rsidRPr="00881ADC">
        <w:rPr>
          <w:rFonts w:cstheme="minorHAnsi"/>
          <w:b/>
          <w:highlight w:val="yellow"/>
          <w:u w:val="single"/>
          <w:lang w:val="fr-FR"/>
        </w:rPr>
        <w:t>6</w:t>
      </w:r>
      <w:r w:rsidRPr="00881ADC">
        <w:rPr>
          <w:rFonts w:cstheme="minorHAnsi"/>
          <w:b/>
          <w:highlight w:val="yellow"/>
          <w:u w:val="single"/>
          <w:lang w:val="fr-FR"/>
        </w:rPr>
        <w:t xml:space="preserve"> heure</w:t>
      </w:r>
      <w:r w:rsidR="00526069" w:rsidRPr="00881ADC">
        <w:rPr>
          <w:rFonts w:cstheme="minorHAnsi"/>
          <w:b/>
          <w:highlight w:val="yellow"/>
          <w:u w:val="single"/>
          <w:lang w:val="fr-FR"/>
        </w:rPr>
        <w:t>s</w:t>
      </w:r>
      <w:r w:rsidRPr="00881ADC">
        <w:rPr>
          <w:rFonts w:cstheme="minorHAnsi"/>
          <w:b/>
          <w:highlight w:val="yellow"/>
          <w:u w:val="single"/>
          <w:lang w:val="fr-FR"/>
        </w:rPr>
        <w:t xml:space="preserve"> de </w:t>
      </w:r>
      <w:r w:rsidR="00170915" w:rsidRPr="00881ADC">
        <w:rPr>
          <w:rFonts w:cstheme="minorHAnsi"/>
          <w:b/>
          <w:highlight w:val="yellow"/>
          <w:u w:val="single"/>
          <w:lang w:val="fr-FR"/>
        </w:rPr>
        <w:t>Kinshasa</w:t>
      </w:r>
    </w:p>
    <w:p w14:paraId="73CBBD73" w14:textId="77777777" w:rsidR="002E6AFF" w:rsidRPr="0096270F" w:rsidRDefault="002E6AFF" w:rsidP="002E6AFF">
      <w:pPr>
        <w:spacing w:after="0" w:line="240" w:lineRule="auto"/>
        <w:jc w:val="both"/>
        <w:rPr>
          <w:rFonts w:cstheme="minorHAnsi"/>
          <w:b/>
          <w:lang w:val="fr-FR"/>
        </w:rPr>
      </w:pPr>
      <w:r w:rsidRPr="00881ADC">
        <w:rPr>
          <w:rStyle w:val="lev"/>
          <w:rFonts w:cstheme="minorHAnsi"/>
          <w:highlight w:val="yellow"/>
          <w:lang w:val="fr-FR"/>
        </w:rPr>
        <w:t>Toute offre soumise après ce délai sera automatiquement rejetée.</w:t>
      </w:r>
    </w:p>
    <w:p w14:paraId="6A2FD817" w14:textId="77777777" w:rsidR="00D56C11" w:rsidRPr="0096270F" w:rsidRDefault="00D56C11" w:rsidP="00D56C11">
      <w:pPr>
        <w:spacing w:after="0" w:line="240" w:lineRule="auto"/>
        <w:jc w:val="both"/>
        <w:rPr>
          <w:rFonts w:cstheme="minorHAnsi"/>
          <w:lang w:val="fr-FR"/>
        </w:rPr>
      </w:pPr>
    </w:p>
    <w:p w14:paraId="4881D92D" w14:textId="77777777" w:rsidR="00D56C11" w:rsidRPr="0096270F" w:rsidRDefault="00D56C11" w:rsidP="00D56C11">
      <w:pPr>
        <w:pStyle w:val="Retraitcorpsdetexte"/>
        <w:ind w:left="0"/>
        <w:jc w:val="both"/>
        <w:rPr>
          <w:rFonts w:asciiTheme="minorHAnsi" w:hAnsiTheme="minorHAnsi" w:cstheme="minorHAnsi"/>
          <w:sz w:val="22"/>
          <w:szCs w:val="22"/>
        </w:rPr>
      </w:pPr>
      <w:r w:rsidRPr="0096270F">
        <w:rPr>
          <w:rFonts w:asciiTheme="minorHAnsi" w:hAnsiTheme="minorHAnsi" w:cstheme="minorHAnsi"/>
          <w:sz w:val="22"/>
          <w:szCs w:val="22"/>
        </w:rPr>
        <w:t xml:space="preserve">N’hésitez pas à écrire à l’adresse </w:t>
      </w:r>
      <w:hyperlink r:id="rId12" w:history="1">
        <w:r w:rsidR="004B1614" w:rsidRPr="0096270F">
          <w:rPr>
            <w:rStyle w:val="Lienhypertexte"/>
            <w:rFonts w:asciiTheme="minorHAnsi" w:hAnsiTheme="minorHAnsi" w:cstheme="minorHAnsi"/>
            <w:sz w:val="22"/>
            <w:szCs w:val="22"/>
          </w:rPr>
          <w:t>soumission.info@undp.org</w:t>
        </w:r>
      </w:hyperlink>
      <w:r w:rsidRPr="0096270F">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96270F" w:rsidRDefault="00D56C11" w:rsidP="00D56C11">
      <w:pPr>
        <w:pStyle w:val="Retraitcorpsdetexte"/>
        <w:ind w:left="0"/>
        <w:jc w:val="both"/>
        <w:rPr>
          <w:rFonts w:asciiTheme="minorHAnsi" w:hAnsiTheme="minorHAnsi" w:cstheme="minorHAnsi"/>
          <w:sz w:val="22"/>
          <w:szCs w:val="22"/>
        </w:rPr>
      </w:pPr>
    </w:p>
    <w:p w14:paraId="09E25385" w14:textId="77777777" w:rsidR="00D56C11" w:rsidRPr="0096270F" w:rsidRDefault="00D56C11" w:rsidP="00D56C11">
      <w:pPr>
        <w:pStyle w:val="Retraitcorpsdetexte"/>
        <w:ind w:left="0"/>
        <w:jc w:val="both"/>
        <w:rPr>
          <w:rFonts w:asciiTheme="minorHAnsi" w:hAnsiTheme="minorHAnsi" w:cstheme="minorHAnsi"/>
          <w:sz w:val="22"/>
          <w:szCs w:val="22"/>
        </w:rPr>
      </w:pPr>
      <w:r w:rsidRPr="0096270F">
        <w:rPr>
          <w:rFonts w:asciiTheme="minorHAnsi" w:hAnsiTheme="minorHAnsi" w:cstheme="minorHAnsi"/>
          <w:sz w:val="22"/>
          <w:szCs w:val="22"/>
        </w:rPr>
        <w:t xml:space="preserve">Les offres sont publiées sur les sites suivants du PNUD :  </w:t>
      </w:r>
    </w:p>
    <w:p w14:paraId="4AAAD95A" w14:textId="77777777" w:rsidR="00D56C11" w:rsidRPr="0096270F" w:rsidRDefault="00F34605" w:rsidP="00D56C11">
      <w:pPr>
        <w:spacing w:after="0" w:line="240" w:lineRule="auto"/>
        <w:jc w:val="both"/>
        <w:rPr>
          <w:rFonts w:cstheme="minorHAnsi"/>
          <w:lang w:val="fr-FR"/>
        </w:rPr>
      </w:pPr>
      <w:hyperlink r:id="rId13" w:history="1">
        <w:r w:rsidR="00D56C11" w:rsidRPr="0096270F">
          <w:rPr>
            <w:rStyle w:val="Lienhypertexte"/>
            <w:rFonts w:cstheme="minorHAnsi"/>
            <w:lang w:val="fr-FR"/>
          </w:rPr>
          <w:t>http://procurement-notices.undp.org/view_notice.cfm?notice_id=</w:t>
        </w:r>
      </w:hyperlink>
    </w:p>
    <w:p w14:paraId="63D2F892" w14:textId="77777777" w:rsidR="00A45B0E" w:rsidRDefault="00A45B0E" w:rsidP="00A45B0E">
      <w:pPr>
        <w:pStyle w:val="Retraitcorpsdetexte"/>
        <w:ind w:left="0"/>
        <w:jc w:val="both"/>
        <w:rPr>
          <w:rFonts w:ascii="Calibri" w:hAnsi="Calibri"/>
          <w:b/>
          <w:color w:val="70AD47"/>
          <w:szCs w:val="22"/>
          <w:u w:val="single"/>
        </w:rPr>
      </w:pPr>
    </w:p>
    <w:p w14:paraId="4E633162" w14:textId="4E6A6C8B" w:rsidR="00A45B0E" w:rsidRPr="00A45B0E" w:rsidRDefault="00A45B0E" w:rsidP="00A45B0E">
      <w:pPr>
        <w:pStyle w:val="Retraitcorpsdetexte"/>
        <w:ind w:left="0"/>
        <w:jc w:val="both"/>
        <w:rPr>
          <w:rFonts w:ascii="Calibri" w:hAnsi="Calibri"/>
          <w:b/>
          <w:color w:val="70AD47"/>
          <w:sz w:val="32"/>
          <w:szCs w:val="22"/>
        </w:rPr>
      </w:pPr>
      <w:r w:rsidRPr="00A45B0E">
        <w:rPr>
          <w:rFonts w:ascii="Calibri" w:hAnsi="Calibri"/>
          <w:b/>
          <w:color w:val="70AD47"/>
          <w:sz w:val="32"/>
          <w:szCs w:val="22"/>
          <w:u w:val="single"/>
        </w:rPr>
        <w:t>Les candidatures féminines sont vivement encouragées</w:t>
      </w:r>
      <w:r w:rsidRPr="00A45B0E">
        <w:rPr>
          <w:rFonts w:ascii="Calibri" w:hAnsi="Calibri"/>
          <w:b/>
          <w:color w:val="70AD47"/>
          <w:sz w:val="32"/>
          <w:szCs w:val="22"/>
        </w:rPr>
        <w:t>.</w:t>
      </w:r>
    </w:p>
    <w:p w14:paraId="176128D7" w14:textId="77777777" w:rsidR="00D56C11" w:rsidRPr="0096270F" w:rsidRDefault="00D56C11" w:rsidP="00D56C11">
      <w:pPr>
        <w:spacing w:after="0" w:line="240" w:lineRule="auto"/>
        <w:jc w:val="both"/>
        <w:rPr>
          <w:rFonts w:cstheme="minorHAnsi"/>
          <w:b/>
          <w:color w:val="0000FF"/>
          <w:u w:val="single"/>
          <w:lang w:val="fr-FR"/>
        </w:rPr>
      </w:pPr>
    </w:p>
    <w:p w14:paraId="3C9192FF" w14:textId="57136DF5" w:rsidR="00A45B0E" w:rsidRDefault="00DA6EEB" w:rsidP="009E2B22">
      <w:pPr>
        <w:tabs>
          <w:tab w:val="left" w:pos="1410"/>
        </w:tabs>
        <w:rPr>
          <w:rFonts w:cstheme="minorHAnsi"/>
          <w:lang w:val="fr-FR"/>
        </w:rPr>
      </w:pPr>
      <w:r w:rsidRPr="0096270F">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F6E30AA" w14:textId="77777777" w:rsidR="00BA2938" w:rsidRPr="00BA2938" w:rsidRDefault="00BA2938" w:rsidP="009E2B22">
      <w:pPr>
        <w:tabs>
          <w:tab w:val="left" w:pos="1410"/>
        </w:tabs>
        <w:rPr>
          <w:rFonts w:cstheme="minorHAnsi"/>
          <w:lang w:val="fr-FR"/>
        </w:rPr>
      </w:pPr>
    </w:p>
    <w:p w14:paraId="05F38E11" w14:textId="77777777" w:rsidR="00A45B0E" w:rsidRDefault="00A45B0E" w:rsidP="009E2B22">
      <w:pPr>
        <w:tabs>
          <w:tab w:val="left" w:pos="1410"/>
        </w:tabs>
        <w:rPr>
          <w:rFonts w:cstheme="minorHAnsi"/>
          <w:b/>
          <w:lang w:val="fr-FR"/>
        </w:rPr>
      </w:pPr>
    </w:p>
    <w:p w14:paraId="1493FC61" w14:textId="37C11947" w:rsidR="009E2B22" w:rsidRPr="0096270F" w:rsidRDefault="009E2B22" w:rsidP="009E2B22">
      <w:pPr>
        <w:tabs>
          <w:tab w:val="left" w:pos="1410"/>
        </w:tabs>
        <w:rPr>
          <w:rFonts w:cstheme="minorHAnsi"/>
          <w:b/>
          <w:lang w:val="fr-FR"/>
        </w:rPr>
      </w:pPr>
      <w:r w:rsidRPr="0096270F">
        <w:rPr>
          <w:rFonts w:cstheme="minorHAnsi"/>
          <w:b/>
          <w:lang w:val="fr-FR"/>
        </w:rPr>
        <w:lastRenderedPageBreak/>
        <w:t xml:space="preserve">1. </w:t>
      </w:r>
      <w:r w:rsidR="00213A46" w:rsidRPr="0096270F">
        <w:rPr>
          <w:rFonts w:cstheme="minorHAnsi"/>
          <w:b/>
          <w:lang w:val="fr-FR"/>
        </w:rPr>
        <w:t xml:space="preserve">Contexte </w:t>
      </w:r>
      <w:r w:rsidR="00AC6EA2" w:rsidRPr="0096270F">
        <w:rPr>
          <w:rFonts w:cstheme="minorHAnsi"/>
          <w:b/>
          <w:lang w:val="fr-FR"/>
        </w:rPr>
        <w:t>:</w:t>
      </w:r>
    </w:p>
    <w:tbl>
      <w:tblPr>
        <w:tblStyle w:val="Grilledutableau"/>
        <w:tblW w:w="0" w:type="auto"/>
        <w:tblLook w:val="04A0" w:firstRow="1" w:lastRow="0" w:firstColumn="1" w:lastColumn="0" w:noHBand="0" w:noVBand="1"/>
      </w:tblPr>
      <w:tblGrid>
        <w:gridCol w:w="9350"/>
      </w:tblGrid>
      <w:tr w:rsidR="002A57CC" w:rsidRPr="002311C4" w14:paraId="60EECF8A" w14:textId="77777777" w:rsidTr="00174B83">
        <w:tc>
          <w:tcPr>
            <w:tcW w:w="9350" w:type="dxa"/>
          </w:tcPr>
          <w:p w14:paraId="0C45D5FB" w14:textId="77777777" w:rsidR="002A57CC" w:rsidRPr="0096270F" w:rsidRDefault="002A57CC" w:rsidP="002A57CC">
            <w:pPr>
              <w:spacing w:line="276" w:lineRule="auto"/>
              <w:jc w:val="both"/>
              <w:rPr>
                <w:rFonts w:eastAsia="Times New Roman" w:cstheme="minorHAnsi"/>
                <w:lang w:val="fr-FR" w:eastAsia="fr-FR"/>
              </w:rPr>
            </w:pPr>
          </w:p>
          <w:p w14:paraId="1E91DE55" w14:textId="77777777" w:rsidR="00BA2938" w:rsidRPr="00A33864" w:rsidRDefault="00BA2938" w:rsidP="00BA2938">
            <w:pPr>
              <w:jc w:val="both"/>
              <w:rPr>
                <w:rFonts w:cstheme="minorHAnsi"/>
                <w:sz w:val="24"/>
                <w:szCs w:val="24"/>
                <w:lang w:val="fr-FR" w:eastAsia="fr-FR"/>
              </w:rPr>
            </w:pPr>
            <w:r w:rsidRPr="00A33864">
              <w:rPr>
                <w:rFonts w:cstheme="minorHAnsi"/>
                <w:sz w:val="24"/>
                <w:szCs w:val="24"/>
                <w:lang w:val="fr-FR" w:eastAsia="fr-FR"/>
              </w:rPr>
              <w:t>Le territoire de la République Démocratique du Congo (RDC), d'une superficie de 2.345.409 km</w:t>
            </w:r>
            <w:r w:rsidRPr="00A33864">
              <w:rPr>
                <w:rFonts w:cstheme="minorHAnsi"/>
                <w:sz w:val="24"/>
                <w:szCs w:val="24"/>
                <w:vertAlign w:val="superscript"/>
                <w:lang w:val="fr-FR" w:eastAsia="fr-FR"/>
              </w:rPr>
              <w:t>2</w:t>
            </w:r>
            <w:r w:rsidRPr="00A33864">
              <w:rPr>
                <w:rFonts w:cstheme="minorHAnsi"/>
                <w:sz w:val="24"/>
                <w:szCs w:val="24"/>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14:paraId="5D0B1947" w14:textId="77777777" w:rsidR="00BA2938" w:rsidRPr="00A33864" w:rsidRDefault="00BA2938" w:rsidP="00BA2938">
            <w:pPr>
              <w:jc w:val="both"/>
              <w:rPr>
                <w:rFonts w:cstheme="minorHAnsi"/>
                <w:sz w:val="24"/>
                <w:szCs w:val="24"/>
                <w:lang w:val="fr-FR" w:eastAsia="fr-FR"/>
              </w:rPr>
            </w:pPr>
          </w:p>
          <w:p w14:paraId="0DD59C14" w14:textId="77777777" w:rsidR="00BA2938" w:rsidRPr="00A33864" w:rsidRDefault="00BA2938" w:rsidP="00BA2938">
            <w:pPr>
              <w:jc w:val="both"/>
              <w:rPr>
                <w:rFonts w:cstheme="minorHAnsi"/>
                <w:sz w:val="24"/>
                <w:szCs w:val="24"/>
                <w:lang w:val="fr-FR" w:eastAsia="fr-FR"/>
              </w:rPr>
            </w:pPr>
            <w:r w:rsidRPr="00A33864">
              <w:rPr>
                <w:rFonts w:cstheme="minorHAnsi"/>
                <w:sz w:val="24"/>
                <w:szCs w:val="24"/>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A33864">
              <w:rPr>
                <w:rStyle w:val="Appelnotedebasdep"/>
                <w:rFonts w:cstheme="minorHAnsi"/>
                <w:sz w:val="24"/>
                <w:szCs w:val="24"/>
                <w:lang w:val="fr-FR" w:eastAsia="fr-FR"/>
              </w:rPr>
              <w:footnoteReference w:id="1"/>
            </w:r>
            <w:r w:rsidRPr="00A33864">
              <w:rPr>
                <w:rFonts w:cstheme="minorHAnsi"/>
                <w:sz w:val="24"/>
                <w:szCs w:val="24"/>
                <w:lang w:val="fr-FR" w:eastAsia="fr-FR"/>
              </w:rPr>
              <w:t xml:space="preserve">. </w:t>
            </w:r>
          </w:p>
          <w:p w14:paraId="56D1523A" w14:textId="77777777" w:rsidR="00BA2938" w:rsidRPr="00A33864" w:rsidRDefault="00BA2938" w:rsidP="00BA2938">
            <w:pPr>
              <w:jc w:val="both"/>
              <w:rPr>
                <w:rFonts w:cstheme="minorHAnsi"/>
                <w:sz w:val="24"/>
                <w:szCs w:val="24"/>
                <w:lang w:val="fr-FR" w:eastAsia="fr-FR"/>
              </w:rPr>
            </w:pPr>
          </w:p>
          <w:p w14:paraId="374C664B" w14:textId="77777777" w:rsidR="00BA2938" w:rsidRPr="00A33864" w:rsidRDefault="00BA2938" w:rsidP="00BA2938">
            <w:pPr>
              <w:jc w:val="both"/>
              <w:rPr>
                <w:rFonts w:cstheme="minorHAnsi"/>
                <w:sz w:val="24"/>
                <w:szCs w:val="24"/>
                <w:lang w:val="fr-FR" w:eastAsia="fr-FR"/>
              </w:rPr>
            </w:pPr>
            <w:r w:rsidRPr="00A33864">
              <w:rPr>
                <w:rFonts w:cstheme="minorHAnsi"/>
                <w:sz w:val="24"/>
                <w:szCs w:val="24"/>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proofErr w:type="gramStart"/>
            <w:r w:rsidRPr="00A33864">
              <w:rPr>
                <w:rFonts w:cstheme="minorHAnsi"/>
                <w:sz w:val="24"/>
                <w:szCs w:val="24"/>
                <w:lang w:val="fr-FR" w:eastAsia="fr-FR"/>
              </w:rPr>
              <w:t>à la faible capacité</w:t>
            </w:r>
            <w:proofErr w:type="gramEnd"/>
            <w:r w:rsidRPr="00A33864">
              <w:rPr>
                <w:rFonts w:cstheme="minorHAnsi"/>
                <w:sz w:val="24"/>
                <w:szCs w:val="24"/>
                <w:lang w:val="fr-FR" w:eastAsia="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14:paraId="08FD2251" w14:textId="77777777" w:rsidR="00BA2938" w:rsidRPr="00A33864" w:rsidRDefault="00BA2938" w:rsidP="00BA2938">
            <w:pPr>
              <w:jc w:val="both"/>
              <w:rPr>
                <w:rFonts w:cstheme="minorHAnsi"/>
                <w:sz w:val="24"/>
                <w:szCs w:val="24"/>
                <w:lang w:val="fr-FR" w:eastAsia="fr-FR"/>
              </w:rPr>
            </w:pPr>
          </w:p>
          <w:p w14:paraId="721A3372" w14:textId="77777777" w:rsidR="00BA2938" w:rsidRPr="00A33864" w:rsidRDefault="00BA2938" w:rsidP="00BA2938">
            <w:pPr>
              <w:jc w:val="both"/>
              <w:rPr>
                <w:rFonts w:cstheme="minorHAnsi"/>
                <w:sz w:val="24"/>
                <w:szCs w:val="24"/>
                <w:lang w:val="fr-FR" w:eastAsia="fr-FR"/>
              </w:rPr>
            </w:pPr>
            <w:r w:rsidRPr="00A33864">
              <w:rPr>
                <w:rFonts w:cstheme="minorHAnsi"/>
                <w:sz w:val="24"/>
                <w:szCs w:val="24"/>
                <w:lang w:val="fr-FR" w:eastAsia="fr-FR"/>
              </w:rPr>
              <w:t xml:space="preserve">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w:t>
            </w:r>
            <w:r w:rsidRPr="00A33864">
              <w:rPr>
                <w:rFonts w:cstheme="minorHAnsi"/>
                <w:sz w:val="24"/>
                <w:szCs w:val="24"/>
                <w:lang w:val="fr-FR" w:eastAsia="fr-FR"/>
              </w:rPr>
              <w:lastRenderedPageBreak/>
              <w:t xml:space="preserve">d'appui au processus " Plan National d'Adaptation " (PNA), approuvé par le Fonds vert pour le climat (GCF). Il appuiera, dans un cadre pilote, la planification de l'adaptation aux niveaux national et provincial (Kinshasa, Kwilu, </w:t>
            </w:r>
            <w:proofErr w:type="spellStart"/>
            <w:r w:rsidRPr="00A33864">
              <w:rPr>
                <w:rFonts w:cstheme="minorHAnsi"/>
                <w:sz w:val="24"/>
                <w:szCs w:val="24"/>
                <w:lang w:val="fr-FR" w:eastAsia="fr-FR"/>
              </w:rPr>
              <w:t>Tshopo</w:t>
            </w:r>
            <w:proofErr w:type="spellEnd"/>
            <w:r w:rsidRPr="00A33864">
              <w:rPr>
                <w:rFonts w:cstheme="minorHAnsi"/>
                <w:sz w:val="24"/>
                <w:szCs w:val="24"/>
                <w:lang w:val="fr-FR" w:eastAsia="fr-FR"/>
              </w:rPr>
              <w:t>, Haut Katanga et Kongo Central), pour des secteurs prioritaires comme l'agriculture, le développement rural, la gestion de la zone côtière, la biodiversité, l'énergie, les transports, et l'eau et l'assainissement.</w:t>
            </w:r>
          </w:p>
          <w:p w14:paraId="72349B31" w14:textId="77777777" w:rsidR="00BA2938" w:rsidRPr="00A33864" w:rsidRDefault="00BA2938" w:rsidP="00BA2938">
            <w:pPr>
              <w:jc w:val="both"/>
              <w:rPr>
                <w:rFonts w:cstheme="minorHAnsi"/>
                <w:sz w:val="24"/>
                <w:szCs w:val="24"/>
                <w:lang w:val="fr-FR" w:eastAsia="fr-FR"/>
              </w:rPr>
            </w:pPr>
          </w:p>
          <w:p w14:paraId="67328D87" w14:textId="77777777" w:rsidR="00BA2938" w:rsidRPr="00A33864" w:rsidRDefault="00BA2938" w:rsidP="00BA2938">
            <w:pPr>
              <w:jc w:val="both"/>
              <w:rPr>
                <w:rFonts w:cstheme="minorHAnsi"/>
                <w:sz w:val="24"/>
                <w:szCs w:val="24"/>
                <w:lang w:val="fr-FR" w:eastAsia="fr-FR"/>
              </w:rPr>
            </w:pPr>
            <w:r w:rsidRPr="00A33864">
              <w:rPr>
                <w:rFonts w:cstheme="minorHAnsi"/>
                <w:sz w:val="24"/>
                <w:szCs w:val="24"/>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14:paraId="196C4F15" w14:textId="77777777" w:rsidR="00BA2938" w:rsidRPr="00A33864" w:rsidRDefault="00BA2938" w:rsidP="00BA2938">
            <w:pPr>
              <w:jc w:val="both"/>
              <w:rPr>
                <w:rFonts w:cstheme="minorHAnsi"/>
                <w:sz w:val="24"/>
                <w:szCs w:val="24"/>
                <w:lang w:val="fr-FR" w:eastAsia="fr-FR"/>
              </w:rPr>
            </w:pPr>
          </w:p>
          <w:p w14:paraId="6B22A6B4" w14:textId="77777777" w:rsidR="00BA2938" w:rsidRPr="00A33864" w:rsidRDefault="00BA2938" w:rsidP="00BA2938">
            <w:pPr>
              <w:jc w:val="both"/>
              <w:rPr>
                <w:rFonts w:eastAsia="Times New Roman" w:cstheme="minorHAnsi"/>
                <w:sz w:val="24"/>
                <w:szCs w:val="24"/>
                <w:lang w:val="fr-FR" w:eastAsia="fr-FR"/>
              </w:rPr>
            </w:pPr>
            <w:r w:rsidRPr="00A33864">
              <w:rPr>
                <w:rFonts w:eastAsia="Times New Roman" w:cstheme="minorHAnsi"/>
                <w:sz w:val="24"/>
                <w:szCs w:val="24"/>
                <w:lang w:val="fr-FR" w:eastAsia="fr-FR"/>
              </w:rPr>
              <w:t>Le Projet PNA propose trois résultats :</w:t>
            </w:r>
          </w:p>
          <w:p w14:paraId="2B622B92" w14:textId="5126A139" w:rsidR="00BA2938" w:rsidRPr="00A33864" w:rsidRDefault="00BA2938" w:rsidP="00BA2938">
            <w:pPr>
              <w:numPr>
                <w:ilvl w:val="0"/>
                <w:numId w:val="21"/>
              </w:numPr>
              <w:jc w:val="both"/>
              <w:rPr>
                <w:rFonts w:eastAsia="Times New Roman" w:cstheme="minorHAnsi"/>
                <w:sz w:val="24"/>
                <w:szCs w:val="24"/>
                <w:lang w:val="fr-FR" w:eastAsia="fr-FR"/>
              </w:rPr>
            </w:pPr>
            <w:r w:rsidRPr="00A33864">
              <w:rPr>
                <w:rFonts w:eastAsia="Times New Roman" w:cstheme="minorHAnsi"/>
                <w:b/>
                <w:bCs/>
                <w:sz w:val="24"/>
                <w:szCs w:val="24"/>
                <w:lang w:val="fr-FR" w:eastAsia="fr-FR"/>
              </w:rPr>
              <w:t>Résultat 1 :</w:t>
            </w:r>
            <w:r w:rsidRPr="00A33864">
              <w:rPr>
                <w:rFonts w:eastAsia="Times New Roman" w:cstheme="minorHAnsi"/>
                <w:sz w:val="24"/>
                <w:szCs w:val="24"/>
                <w:lang w:val="fr-FR" w:eastAsia="fr-FR"/>
              </w:rPr>
              <w:t xml:space="preserve"> la mise en œuvre de la PSPA-CC 2016-2020 est facilitée grâce au renforcement du cadre juridique et institutionnel et au renforcement des capacités pour la planification de l’adaptation </w:t>
            </w:r>
            <w:r w:rsidR="00691E45" w:rsidRPr="00A33864">
              <w:rPr>
                <w:rFonts w:eastAsia="Times New Roman" w:cstheme="minorHAnsi"/>
                <w:sz w:val="24"/>
                <w:szCs w:val="24"/>
                <w:lang w:val="fr-FR" w:eastAsia="fr-FR"/>
              </w:rPr>
              <w:t>aux</w:t>
            </w:r>
            <w:r w:rsidRPr="00A33864">
              <w:rPr>
                <w:rFonts w:eastAsia="Times New Roman" w:cstheme="minorHAnsi"/>
                <w:sz w:val="24"/>
                <w:szCs w:val="24"/>
                <w:lang w:val="fr-FR" w:eastAsia="fr-FR"/>
              </w:rPr>
              <w:t xml:space="preserve"> changements climatiques </w:t>
            </w:r>
          </w:p>
          <w:p w14:paraId="702E5455" w14:textId="77777777" w:rsidR="00BA2938" w:rsidRPr="00A33864" w:rsidRDefault="00BA2938" w:rsidP="00BA2938">
            <w:pPr>
              <w:numPr>
                <w:ilvl w:val="0"/>
                <w:numId w:val="21"/>
              </w:numPr>
              <w:jc w:val="both"/>
              <w:rPr>
                <w:rFonts w:eastAsia="Times New Roman" w:cstheme="minorHAnsi"/>
                <w:sz w:val="24"/>
                <w:szCs w:val="24"/>
                <w:lang w:val="fr-FR" w:eastAsia="fr-FR"/>
              </w:rPr>
            </w:pPr>
            <w:r w:rsidRPr="00A33864">
              <w:rPr>
                <w:rFonts w:eastAsia="Times New Roman" w:cstheme="minorHAnsi"/>
                <w:b/>
                <w:bCs/>
                <w:sz w:val="24"/>
                <w:szCs w:val="24"/>
                <w:lang w:val="fr-FR" w:eastAsia="fr-FR"/>
              </w:rPr>
              <w:t>Résultat 2 :</w:t>
            </w:r>
            <w:r w:rsidRPr="00A33864">
              <w:rPr>
                <w:rFonts w:eastAsia="Times New Roman" w:cstheme="minorHAnsi"/>
                <w:sz w:val="24"/>
                <w:szCs w:val="24"/>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14:paraId="3C6627FB" w14:textId="77777777" w:rsidR="00BA2938" w:rsidRPr="00A33864" w:rsidRDefault="00BA2938" w:rsidP="00BA2938">
            <w:pPr>
              <w:numPr>
                <w:ilvl w:val="0"/>
                <w:numId w:val="21"/>
              </w:numPr>
              <w:jc w:val="both"/>
              <w:rPr>
                <w:rFonts w:eastAsia="Times New Roman" w:cstheme="minorHAnsi"/>
                <w:sz w:val="24"/>
                <w:szCs w:val="24"/>
                <w:lang w:val="fr-FR" w:eastAsia="fr-FR"/>
              </w:rPr>
            </w:pPr>
            <w:r w:rsidRPr="00A33864">
              <w:rPr>
                <w:rFonts w:eastAsia="Times New Roman" w:cstheme="minorHAnsi"/>
                <w:b/>
                <w:bCs/>
                <w:sz w:val="24"/>
                <w:szCs w:val="24"/>
                <w:lang w:val="fr-FR" w:eastAsia="fr-FR"/>
              </w:rPr>
              <w:t>Résultat 3 :</w:t>
            </w:r>
            <w:r w:rsidRPr="00A33864">
              <w:rPr>
                <w:rFonts w:eastAsia="Times New Roman" w:cstheme="minorHAnsi"/>
                <w:sz w:val="24"/>
                <w:szCs w:val="24"/>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14:paraId="68FC94AD" w14:textId="77777777" w:rsidR="00BA2938" w:rsidRPr="002311C4" w:rsidRDefault="00BA2938" w:rsidP="00BA2938">
            <w:pPr>
              <w:jc w:val="both"/>
              <w:rPr>
                <w:rFonts w:eastAsia="Times New Roman" w:cstheme="minorHAnsi"/>
                <w:sz w:val="24"/>
                <w:szCs w:val="24"/>
                <w:lang w:val="fr-FR" w:eastAsia="fr-FR"/>
              </w:rPr>
            </w:pPr>
            <w:r w:rsidRPr="002311C4">
              <w:rPr>
                <w:rFonts w:eastAsia="Times New Roman" w:cstheme="minorHAnsi"/>
                <w:sz w:val="24"/>
                <w:szCs w:val="24"/>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14:paraId="3CE0AAE8" w14:textId="77777777" w:rsidR="00BA2938" w:rsidRPr="002311C4" w:rsidRDefault="00BA2938" w:rsidP="00BA2938">
            <w:pPr>
              <w:jc w:val="both"/>
              <w:rPr>
                <w:rFonts w:eastAsia="Times New Roman" w:cstheme="minorHAnsi"/>
                <w:sz w:val="24"/>
                <w:szCs w:val="24"/>
                <w:lang w:val="fr-FR" w:eastAsia="fr-FR"/>
              </w:rPr>
            </w:pPr>
          </w:p>
          <w:p w14:paraId="12095C01" w14:textId="77777777" w:rsidR="00BA2938" w:rsidRPr="002311C4" w:rsidRDefault="00BA2938" w:rsidP="00BA2938">
            <w:pPr>
              <w:jc w:val="both"/>
              <w:rPr>
                <w:rFonts w:eastAsia="Times New Roman" w:cstheme="minorHAnsi"/>
                <w:sz w:val="24"/>
                <w:szCs w:val="24"/>
                <w:lang w:val="fr-FR" w:eastAsia="fr-FR"/>
              </w:rPr>
            </w:pPr>
            <w:r w:rsidRPr="002311C4">
              <w:rPr>
                <w:rFonts w:eastAsia="Times New Roman" w:cstheme="minorHAnsi"/>
                <w:sz w:val="24"/>
                <w:szCs w:val="24"/>
                <w:lang w:val="fr-FR" w:eastAsia="fr-FR"/>
              </w:rPr>
              <w:t>Au cours de cet atelier, un Plan de Travail Annuel 2019 a été validé et une feuille de route a été adoptée.  Ce plan de travail prévoit des études et activités spécifiques à mener cette année en vue de r</w:t>
            </w:r>
            <w:r w:rsidRPr="002311C4">
              <w:rPr>
                <w:rFonts w:cstheme="minorHAnsi"/>
                <w:lang w:val="fr-FR" w:eastAsia="fr-FR"/>
              </w:rPr>
              <w:t>enforcer l’alignement des priorités d’adaptation et de développement, en augmentant la participation du Ministère du Plan, du budget et des finances dans la planification de l’ACC et d’assurer des liens avec le Plan national de développement de 2016-2020 (PSPA-CC) et garantir l’intégration de l’adaptation dans le PNIA. Un r</w:t>
            </w:r>
            <w:r w:rsidRPr="002311C4">
              <w:rPr>
                <w:rFonts w:eastAsia="Times New Roman" w:cstheme="minorHAnsi"/>
                <w:sz w:val="24"/>
                <w:szCs w:val="24"/>
                <w:lang w:val="fr-FR" w:eastAsia="fr-FR"/>
              </w:rPr>
              <w:t xml:space="preserve">apport semestriel doit-être soumis au Fonds Vert pour le Climat au mois de juillet 2019. </w:t>
            </w:r>
          </w:p>
          <w:p w14:paraId="0C1B3E0D" w14:textId="77777777" w:rsidR="00BA2938" w:rsidRPr="002311C4" w:rsidRDefault="00BA2938" w:rsidP="00BA2938">
            <w:pPr>
              <w:jc w:val="both"/>
              <w:rPr>
                <w:rFonts w:eastAsia="Times New Roman" w:cstheme="minorHAnsi"/>
                <w:sz w:val="24"/>
                <w:szCs w:val="24"/>
                <w:lang w:val="fr-FR" w:eastAsia="fr-FR"/>
              </w:rPr>
            </w:pPr>
          </w:p>
          <w:p w14:paraId="0C28283B" w14:textId="77777777" w:rsidR="00BA2938" w:rsidRPr="00A33864" w:rsidRDefault="00BA2938" w:rsidP="00BA2938">
            <w:pPr>
              <w:jc w:val="both"/>
              <w:rPr>
                <w:rFonts w:eastAsia="Times New Roman" w:cstheme="minorHAnsi"/>
                <w:sz w:val="24"/>
                <w:szCs w:val="24"/>
                <w:lang w:val="fr-FR" w:eastAsia="fr-FR"/>
              </w:rPr>
            </w:pPr>
            <w:r w:rsidRPr="002311C4">
              <w:rPr>
                <w:rFonts w:eastAsia="Times New Roman" w:cstheme="minorHAnsi"/>
                <w:sz w:val="24"/>
                <w:szCs w:val="24"/>
                <w:lang w:val="fr-FR" w:eastAsia="fr-FR"/>
              </w:rPr>
              <w:t>C’est dans ce cadre que le PNUD cherche à recruter un (e) consultant (</w:t>
            </w:r>
            <w:proofErr w:type="gramStart"/>
            <w:r w:rsidRPr="002311C4">
              <w:rPr>
                <w:rFonts w:eastAsia="Times New Roman" w:cstheme="minorHAnsi"/>
                <w:sz w:val="24"/>
                <w:szCs w:val="24"/>
                <w:lang w:val="fr-FR" w:eastAsia="fr-FR"/>
              </w:rPr>
              <w:t>e )</w:t>
            </w:r>
            <w:proofErr w:type="gramEnd"/>
            <w:r w:rsidRPr="002311C4">
              <w:rPr>
                <w:rFonts w:eastAsia="Times New Roman" w:cstheme="minorHAnsi"/>
                <w:sz w:val="24"/>
                <w:szCs w:val="24"/>
                <w:lang w:val="fr-FR" w:eastAsia="fr-FR"/>
              </w:rPr>
              <w:t xml:space="preserve"> national (e ) chargé(e ) d’examiner les modalités d’alignement des </w:t>
            </w:r>
            <w:r w:rsidRPr="00A33864">
              <w:rPr>
                <w:rFonts w:eastAsia="Times New Roman" w:cstheme="minorHAnsi"/>
                <w:sz w:val="24"/>
                <w:szCs w:val="24"/>
                <w:lang w:val="fr-FR" w:eastAsia="fr-FR"/>
              </w:rPr>
              <w:t xml:space="preserve">priorités d’Adaptation aux Changements </w:t>
            </w:r>
            <w:r w:rsidRPr="00A33864">
              <w:rPr>
                <w:rFonts w:eastAsia="Times New Roman" w:cstheme="minorHAnsi"/>
                <w:sz w:val="24"/>
                <w:szCs w:val="24"/>
                <w:lang w:val="fr-FR" w:eastAsia="fr-FR"/>
              </w:rPr>
              <w:lastRenderedPageBreak/>
              <w:t>Climatiques dans le Programme National d’Investissement Agricole (PNIA) et le Mesure, Notification et Vérification (MRV).</w:t>
            </w:r>
          </w:p>
          <w:p w14:paraId="7B9C190D" w14:textId="77777777" w:rsidR="00BA2938" w:rsidRPr="00A33864" w:rsidRDefault="00BA2938" w:rsidP="00BA2938">
            <w:pPr>
              <w:jc w:val="both"/>
              <w:rPr>
                <w:rFonts w:eastAsia="Times New Roman" w:cstheme="minorHAnsi"/>
                <w:sz w:val="24"/>
                <w:szCs w:val="24"/>
                <w:lang w:val="fr-FR" w:eastAsia="fr-FR"/>
              </w:rPr>
            </w:pPr>
          </w:p>
          <w:p w14:paraId="2E79FBB7" w14:textId="77777777" w:rsidR="00BA2938" w:rsidRPr="002311C4" w:rsidRDefault="00BA2938" w:rsidP="00BA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z w:val="24"/>
                <w:szCs w:val="24"/>
                <w:lang w:val="fr-FR" w:eastAsia="fr-FR"/>
              </w:rPr>
            </w:pPr>
            <w:r w:rsidRPr="002311C4">
              <w:rPr>
                <w:rFonts w:eastAsia="Times New Roman" w:cstheme="minorHAnsi"/>
                <w:b/>
                <w:bCs/>
                <w:sz w:val="24"/>
                <w:szCs w:val="24"/>
                <w:lang w:val="fr-FR" w:eastAsia="fr-FR"/>
              </w:rPr>
              <w:t>Objectif de la mission</w:t>
            </w:r>
          </w:p>
          <w:p w14:paraId="18BA55DA" w14:textId="77777777" w:rsidR="00BA2938" w:rsidRPr="00A33864" w:rsidRDefault="00BA2938" w:rsidP="00BA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eastAsia="Times New Roman" w:cstheme="minorHAnsi"/>
                <w:sz w:val="24"/>
                <w:szCs w:val="24"/>
                <w:lang w:val="fr-FR" w:eastAsia="fr-FR"/>
              </w:rPr>
              <w:br/>
              <w:t>L’objectif de la mission est d’examiner les modalités de l</w:t>
            </w:r>
            <w:r w:rsidRPr="00A33864">
              <w:rPr>
                <w:rFonts w:eastAsia="Times New Roman" w:cstheme="minorHAnsi"/>
                <w:sz w:val="24"/>
                <w:szCs w:val="24"/>
                <w:lang w:val="fr-FR" w:eastAsia="fr-FR"/>
              </w:rPr>
              <w:t xml:space="preserve">’alignement </w:t>
            </w:r>
            <w:r>
              <w:rPr>
                <w:rFonts w:eastAsia="Times New Roman" w:cstheme="minorHAnsi"/>
                <w:sz w:val="24"/>
                <w:szCs w:val="24"/>
                <w:lang w:val="fr-FR" w:eastAsia="fr-FR"/>
              </w:rPr>
              <w:t xml:space="preserve">du </w:t>
            </w:r>
            <w:r w:rsidRPr="00A33864">
              <w:rPr>
                <w:rFonts w:eastAsia="Times New Roman" w:cstheme="minorHAnsi"/>
                <w:sz w:val="24"/>
                <w:szCs w:val="24"/>
                <w:lang w:val="fr-FR" w:eastAsia="fr-FR"/>
              </w:rPr>
              <w:t xml:space="preserve">Programme National d’Investissement Agricole (PNIA) et </w:t>
            </w:r>
            <w:r>
              <w:rPr>
                <w:rFonts w:eastAsia="Times New Roman" w:cstheme="minorHAnsi"/>
                <w:sz w:val="24"/>
                <w:szCs w:val="24"/>
                <w:lang w:val="fr-FR" w:eastAsia="fr-FR"/>
              </w:rPr>
              <w:t xml:space="preserve">de </w:t>
            </w:r>
            <w:r w:rsidRPr="00A33864">
              <w:rPr>
                <w:rFonts w:eastAsia="Times New Roman" w:cstheme="minorHAnsi"/>
                <w:sz w:val="24"/>
                <w:szCs w:val="24"/>
                <w:lang w:val="fr-FR" w:eastAsia="fr-FR"/>
              </w:rPr>
              <w:t>Mesure, Notification et Vérification (MRV)</w:t>
            </w:r>
            <w:r>
              <w:rPr>
                <w:rFonts w:eastAsia="Times New Roman" w:cstheme="minorHAnsi"/>
                <w:sz w:val="24"/>
                <w:szCs w:val="24"/>
                <w:lang w:val="fr-FR" w:eastAsia="fr-FR"/>
              </w:rPr>
              <w:t xml:space="preserve"> aux </w:t>
            </w:r>
            <w:r w:rsidRPr="00A33864">
              <w:rPr>
                <w:rFonts w:eastAsia="Times New Roman" w:cstheme="minorHAnsi"/>
                <w:sz w:val="24"/>
                <w:szCs w:val="24"/>
                <w:lang w:val="fr-FR" w:eastAsia="fr-FR"/>
              </w:rPr>
              <w:t>priorités d’</w:t>
            </w:r>
            <w:r>
              <w:rPr>
                <w:rFonts w:eastAsia="Times New Roman" w:cstheme="minorHAnsi"/>
                <w:sz w:val="24"/>
                <w:szCs w:val="24"/>
                <w:lang w:val="fr-FR" w:eastAsia="fr-FR"/>
              </w:rPr>
              <w:t>a</w:t>
            </w:r>
            <w:r w:rsidRPr="00A33864">
              <w:rPr>
                <w:rFonts w:eastAsia="Times New Roman" w:cstheme="minorHAnsi"/>
                <w:sz w:val="24"/>
                <w:szCs w:val="24"/>
                <w:lang w:val="fr-FR" w:eastAsia="fr-FR"/>
              </w:rPr>
              <w:t xml:space="preserve">daptation aux </w:t>
            </w:r>
            <w:r>
              <w:rPr>
                <w:rFonts w:eastAsia="Times New Roman" w:cstheme="minorHAnsi"/>
                <w:sz w:val="24"/>
                <w:szCs w:val="24"/>
                <w:lang w:val="fr-FR" w:eastAsia="fr-FR"/>
              </w:rPr>
              <w:t>c</w:t>
            </w:r>
            <w:r w:rsidRPr="00A33864">
              <w:rPr>
                <w:rFonts w:eastAsia="Times New Roman" w:cstheme="minorHAnsi"/>
                <w:sz w:val="24"/>
                <w:szCs w:val="24"/>
                <w:lang w:val="fr-FR" w:eastAsia="fr-FR"/>
              </w:rPr>
              <w:t xml:space="preserve">hangements </w:t>
            </w:r>
            <w:r>
              <w:rPr>
                <w:rFonts w:eastAsia="Times New Roman" w:cstheme="minorHAnsi"/>
                <w:sz w:val="24"/>
                <w:szCs w:val="24"/>
                <w:lang w:val="fr-FR" w:eastAsia="fr-FR"/>
              </w:rPr>
              <w:t>c</w:t>
            </w:r>
            <w:r w:rsidRPr="00A33864">
              <w:rPr>
                <w:rFonts w:eastAsia="Times New Roman" w:cstheme="minorHAnsi"/>
                <w:sz w:val="24"/>
                <w:szCs w:val="24"/>
                <w:lang w:val="fr-FR" w:eastAsia="fr-FR"/>
              </w:rPr>
              <w:t>limatiques</w:t>
            </w:r>
            <w:r>
              <w:rPr>
                <w:rFonts w:eastAsia="Times New Roman" w:cstheme="minorHAnsi"/>
                <w:sz w:val="24"/>
                <w:szCs w:val="24"/>
                <w:lang w:val="fr-FR" w:eastAsia="fr-FR"/>
              </w:rPr>
              <w:t>.</w:t>
            </w:r>
            <w:r w:rsidRPr="00A33864">
              <w:rPr>
                <w:rFonts w:eastAsia="Times New Roman" w:cstheme="minorHAnsi"/>
                <w:sz w:val="24"/>
                <w:szCs w:val="24"/>
                <w:lang w:val="fr-FR" w:eastAsia="fr-FR"/>
              </w:rPr>
              <w:t xml:space="preserve"> </w:t>
            </w:r>
          </w:p>
          <w:p w14:paraId="02325B8D" w14:textId="758C32A0" w:rsidR="00523BE8" w:rsidRPr="0096270F" w:rsidRDefault="00523BE8" w:rsidP="00BA2938">
            <w:pPr>
              <w:jc w:val="both"/>
              <w:rPr>
                <w:rFonts w:cstheme="minorHAnsi"/>
                <w:lang w:val="fr-FR" w:eastAsia="fr-FR"/>
              </w:rPr>
            </w:pPr>
          </w:p>
        </w:tc>
      </w:tr>
    </w:tbl>
    <w:p w14:paraId="449CDE7D" w14:textId="77777777" w:rsidR="000A6993" w:rsidRPr="0096270F" w:rsidRDefault="000A6993" w:rsidP="009E2B22">
      <w:pPr>
        <w:tabs>
          <w:tab w:val="left" w:pos="1410"/>
        </w:tabs>
        <w:rPr>
          <w:rFonts w:cstheme="minorHAnsi"/>
          <w:b/>
          <w:lang w:val="fr-FR"/>
        </w:rPr>
      </w:pPr>
    </w:p>
    <w:p w14:paraId="51104DD5" w14:textId="5AB71CEA" w:rsidR="00944F40" w:rsidRPr="0096270F" w:rsidRDefault="00944F40" w:rsidP="00A24134">
      <w:pPr>
        <w:rPr>
          <w:rFonts w:cstheme="minorHAnsi"/>
          <w:b/>
          <w:lang w:val="fr-FR"/>
        </w:rPr>
      </w:pPr>
      <w:r w:rsidRPr="0096270F">
        <w:rPr>
          <w:rFonts w:cstheme="minorHAnsi"/>
          <w:b/>
          <w:lang w:val="fr-FR"/>
        </w:rPr>
        <w:t xml:space="preserve">2. </w:t>
      </w:r>
      <w:r w:rsidR="00526069" w:rsidRPr="0096270F">
        <w:rPr>
          <w:rFonts w:cstheme="minorHAnsi"/>
          <w:b/>
          <w:lang w:val="fr-FR"/>
        </w:rPr>
        <w:t xml:space="preserve">Description du travail demandé, </w:t>
      </w:r>
      <w:r w:rsidR="00523BE8" w:rsidRPr="0096270F">
        <w:rPr>
          <w:rFonts w:cstheme="minorHAnsi"/>
          <w:b/>
          <w:lang w:val="fr-FR"/>
        </w:rPr>
        <w:t>responsabilités du</w:t>
      </w:r>
      <w:r w:rsidR="00526069" w:rsidRPr="0096270F">
        <w:rPr>
          <w:rFonts w:cstheme="minorHAnsi"/>
          <w:b/>
          <w:lang w:val="fr-FR"/>
        </w:rPr>
        <w:t>/de la consultant/e</w:t>
      </w:r>
      <w:r w:rsidRPr="0096270F">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8800F4" w:rsidRPr="002311C4" w14:paraId="3DEFDEF0" w14:textId="77777777" w:rsidTr="00662312">
        <w:tc>
          <w:tcPr>
            <w:tcW w:w="9350" w:type="dxa"/>
          </w:tcPr>
          <w:p w14:paraId="7986B7D9" w14:textId="77777777" w:rsidR="003F640F" w:rsidRPr="0096270F" w:rsidRDefault="003F640F" w:rsidP="00526069">
            <w:pPr>
              <w:jc w:val="both"/>
              <w:rPr>
                <w:rFonts w:cstheme="minorHAnsi"/>
                <w:lang w:val="fr-FR" w:eastAsia="fr-FR"/>
              </w:rPr>
            </w:pPr>
          </w:p>
          <w:p w14:paraId="7608C3AE" w14:textId="77777777" w:rsidR="00BA2938" w:rsidRPr="00A33864" w:rsidRDefault="00BA2938" w:rsidP="00BA2938">
            <w:pPr>
              <w:jc w:val="both"/>
              <w:rPr>
                <w:rFonts w:eastAsia="Calibri" w:cstheme="minorHAnsi"/>
                <w:sz w:val="24"/>
                <w:szCs w:val="24"/>
                <w:lang w:val="fr-FR"/>
              </w:rPr>
            </w:pPr>
            <w:r w:rsidRPr="00A33864">
              <w:rPr>
                <w:rFonts w:eastAsia="Calibri" w:cstheme="minorHAnsi"/>
                <w:sz w:val="24"/>
                <w:szCs w:val="24"/>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14:paraId="4947CE17" w14:textId="77777777" w:rsidR="00BA2938" w:rsidRPr="00A33864" w:rsidRDefault="00BA2938" w:rsidP="00BA2938">
            <w:pPr>
              <w:jc w:val="both"/>
              <w:rPr>
                <w:rFonts w:eastAsia="Calibri" w:cstheme="minorHAnsi"/>
                <w:sz w:val="24"/>
                <w:szCs w:val="24"/>
                <w:lang w:val="fr-FR"/>
              </w:rPr>
            </w:pPr>
          </w:p>
          <w:p w14:paraId="62BA2723" w14:textId="77777777" w:rsidR="00BA2938" w:rsidRPr="00A33864" w:rsidRDefault="00BA2938" w:rsidP="00BA2938">
            <w:pPr>
              <w:jc w:val="both"/>
              <w:rPr>
                <w:rFonts w:eastAsia="Calibri" w:cstheme="minorHAnsi"/>
                <w:sz w:val="24"/>
                <w:szCs w:val="24"/>
                <w:lang w:val="fr-FR"/>
              </w:rPr>
            </w:pPr>
            <w:r w:rsidRPr="00A33864">
              <w:rPr>
                <w:rFonts w:eastAsia="Calibri" w:cstheme="minorHAnsi"/>
                <w:sz w:val="24"/>
                <w:szCs w:val="24"/>
                <w:lang w:val="fr-FR"/>
              </w:rPr>
              <w:t xml:space="preserve">De manière spécifique, Le (la) Consultant(e) sera chargé(e) de : </w:t>
            </w:r>
          </w:p>
          <w:p w14:paraId="1A7C614E"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cstheme="minorHAnsi"/>
                <w:sz w:val="24"/>
                <w:szCs w:val="24"/>
                <w:lang w:val="fr-FR"/>
              </w:rPr>
              <w:t xml:space="preserve">Procéder à une analyse de base / situationnelle sur le MRV et l’adaptation aux changements climatiques (ACC) ; </w:t>
            </w:r>
          </w:p>
          <w:p w14:paraId="30AD9CEB"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eastAsia="Times New Roman" w:cstheme="minorHAnsi"/>
                <w:sz w:val="24"/>
                <w:szCs w:val="24"/>
                <w:lang w:val="fr-FR" w:eastAsia="fr-FR"/>
              </w:rPr>
              <w:t>Faire un état des lieux sur l’alignement du Programme National d’Investissement Agricole (PNIA) aux priorités d’ACC ;</w:t>
            </w:r>
          </w:p>
          <w:p w14:paraId="0F69A3F6"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cstheme="minorHAnsi"/>
                <w:sz w:val="24"/>
                <w:szCs w:val="24"/>
                <w:lang w:val="fr-FR"/>
              </w:rPr>
              <w:t>Identifier les outils de suivi requis du MRV dans le domaine de l’adaptation aux changements climatiques ;</w:t>
            </w:r>
          </w:p>
          <w:p w14:paraId="62C3DDDF"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eastAsia="Times New Roman" w:cstheme="minorHAnsi"/>
                <w:sz w:val="24"/>
                <w:szCs w:val="24"/>
                <w:lang w:val="fr-FR" w:eastAsia="fr-FR"/>
              </w:rPr>
              <w:t>Elaborer un guide méthodologique, sensible au genre, pour l’alignement du PNIA, du Plan National Stratégique de Développement (PNSD) et des Plans Provinciaux de Développement aux priorités d’adaptation ;</w:t>
            </w:r>
          </w:p>
          <w:p w14:paraId="0F23951F"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cstheme="minorHAnsi"/>
                <w:sz w:val="24"/>
                <w:szCs w:val="24"/>
                <w:lang w:val="fr-FR"/>
              </w:rPr>
              <w:t>Elaborer un Plan de renforcement des capacités sur le système MRV ;</w:t>
            </w:r>
          </w:p>
          <w:p w14:paraId="631C8952"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eastAsia="Times New Roman" w:cstheme="minorHAnsi"/>
                <w:sz w:val="24"/>
                <w:szCs w:val="24"/>
                <w:lang w:val="fr-FR" w:eastAsia="fr-BE"/>
              </w:rPr>
              <w:t>Définir les mécanismes de suivi-évaluation (indicateurs, situation de référence, cibles, etc.) ;</w:t>
            </w:r>
          </w:p>
          <w:p w14:paraId="58CCFE6E" w14:textId="77777777" w:rsidR="00BA2938" w:rsidRPr="002311C4" w:rsidRDefault="00BA2938" w:rsidP="00BA29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fr-FR" w:eastAsia="fr-FR"/>
              </w:rPr>
            </w:pPr>
            <w:r w:rsidRPr="002311C4">
              <w:rPr>
                <w:rFonts w:eastAsia="Times New Roman" w:cstheme="minorHAnsi"/>
                <w:sz w:val="24"/>
                <w:szCs w:val="24"/>
                <w:lang w:val="fr-FR" w:eastAsia="fr-FR"/>
              </w:rPr>
              <w:t>Faire de propositions et des recommandations pour l’alignement du PNIA et de MRV aux priorités de planification de l’adaptation aux changements climatiques.</w:t>
            </w:r>
          </w:p>
          <w:p w14:paraId="4B49B487" w14:textId="77777777" w:rsidR="00BA2938" w:rsidRPr="00A33864" w:rsidRDefault="00BA2938" w:rsidP="00BA2938">
            <w:pPr>
              <w:ind w:left="720"/>
              <w:jc w:val="both"/>
              <w:rPr>
                <w:rFonts w:eastAsia="Calibri" w:cstheme="minorHAnsi"/>
                <w:sz w:val="24"/>
                <w:szCs w:val="24"/>
                <w:lang w:val="fr-FR"/>
              </w:rPr>
            </w:pPr>
          </w:p>
          <w:p w14:paraId="659F6E77" w14:textId="77777777" w:rsidR="00BA2938" w:rsidRPr="00A33864" w:rsidRDefault="00BA2938" w:rsidP="00BA2938">
            <w:pPr>
              <w:jc w:val="both"/>
              <w:rPr>
                <w:rFonts w:eastAsia="Calibri" w:cstheme="minorHAnsi"/>
                <w:b/>
                <w:sz w:val="24"/>
                <w:szCs w:val="24"/>
                <w:lang w:val="fr-FR"/>
              </w:rPr>
            </w:pPr>
            <w:r w:rsidRPr="00A33864">
              <w:rPr>
                <w:rFonts w:eastAsia="Calibri" w:cstheme="minorHAnsi"/>
                <w:b/>
                <w:sz w:val="24"/>
                <w:szCs w:val="24"/>
                <w:lang w:val="fr-FR"/>
              </w:rPr>
              <w:t>Méthodologie de travail</w:t>
            </w:r>
          </w:p>
          <w:p w14:paraId="305DB9C0" w14:textId="77777777" w:rsidR="00BA2938" w:rsidRPr="00A33864" w:rsidRDefault="00BA2938" w:rsidP="00BA2938">
            <w:pPr>
              <w:ind w:left="720"/>
              <w:jc w:val="both"/>
              <w:rPr>
                <w:rFonts w:eastAsia="Calibri" w:cstheme="minorHAnsi"/>
                <w:sz w:val="24"/>
                <w:szCs w:val="24"/>
                <w:lang w:val="fr-FR"/>
              </w:rPr>
            </w:pPr>
          </w:p>
          <w:p w14:paraId="16ABD185" w14:textId="77777777" w:rsidR="00BA2938" w:rsidRPr="00A33864" w:rsidRDefault="00BA2938" w:rsidP="00BA2938">
            <w:pPr>
              <w:jc w:val="both"/>
              <w:rPr>
                <w:rFonts w:eastAsia="Calibri" w:cstheme="minorHAnsi"/>
                <w:sz w:val="24"/>
                <w:szCs w:val="24"/>
                <w:lang w:val="fr-FR"/>
              </w:rPr>
            </w:pPr>
            <w:r w:rsidRPr="00A33864">
              <w:rPr>
                <w:rFonts w:eastAsia="Calibri" w:cstheme="minorHAnsi"/>
                <w:sz w:val="24"/>
                <w:szCs w:val="24"/>
                <w:lang w:val="fr-FR"/>
              </w:rPr>
              <w:t xml:space="preserve">L’évaluation sera conduite par un (e) consultant (e) international (e) qui doit adopter une approche participative et inclusive. Il sera question des entretiens et réunions avec les experts de l’administration publique responsables et des services techniques (environnement, genre, développement rural, plan, agriculture, affaires foncières, aménagement du territoire, santé, …), les organisations de la société civile et du secteur privé engagées sur les questions des changements climatiques. </w:t>
            </w:r>
          </w:p>
          <w:p w14:paraId="58919BD4" w14:textId="77777777" w:rsidR="00BA2938" w:rsidRPr="00A33864" w:rsidRDefault="00BA2938" w:rsidP="00BA2938">
            <w:pPr>
              <w:jc w:val="both"/>
              <w:rPr>
                <w:rFonts w:eastAsia="Calibri" w:cstheme="minorHAnsi"/>
                <w:sz w:val="24"/>
                <w:szCs w:val="24"/>
                <w:lang w:val="fr-FR"/>
              </w:rPr>
            </w:pPr>
          </w:p>
          <w:p w14:paraId="6513FCEA" w14:textId="247229F8" w:rsidR="00BA2938" w:rsidRDefault="00BA2938" w:rsidP="00BA2938">
            <w:pPr>
              <w:jc w:val="both"/>
              <w:rPr>
                <w:rFonts w:eastAsia="Calibri" w:cstheme="minorHAnsi"/>
                <w:sz w:val="24"/>
                <w:szCs w:val="24"/>
                <w:lang w:val="fr-FR"/>
              </w:rPr>
            </w:pPr>
            <w:r w:rsidRPr="00A33864">
              <w:rPr>
                <w:rFonts w:eastAsia="Calibri" w:cstheme="minorHAnsi"/>
                <w:sz w:val="24"/>
                <w:szCs w:val="24"/>
                <w:lang w:val="fr-FR"/>
              </w:rPr>
              <w:t xml:space="preserve">Après la signature du contrat, le (a) consultant (e) aura 02 jours pour préparer le cadrage méthodologique et une feuille de route. Le (a) consultant (e) va interagir avec les institutions au niveau national à Kinshasa pour collecter les informations et les données, conduire des entretiens avec les acteurs, et analyser les données.  Le (a) consultant (e) rédigera le rapport et le présentera lors d’un atelier national de validation.  Le (a) consultant (e) animera ledit atelier et rédigera son compte rendu. La durée de la mission est répartie sur </w:t>
            </w:r>
            <w:r>
              <w:rPr>
                <w:rFonts w:eastAsia="Calibri" w:cstheme="minorHAnsi"/>
                <w:sz w:val="24"/>
                <w:szCs w:val="24"/>
                <w:lang w:val="fr-FR"/>
              </w:rPr>
              <w:t>5</w:t>
            </w:r>
            <w:r w:rsidRPr="00A33864">
              <w:rPr>
                <w:rFonts w:eastAsia="Calibri" w:cstheme="minorHAnsi"/>
                <w:sz w:val="24"/>
                <w:szCs w:val="24"/>
                <w:lang w:val="fr-FR"/>
              </w:rPr>
              <w:t>0</w:t>
            </w:r>
            <w:r w:rsidR="00691E45">
              <w:rPr>
                <w:rFonts w:eastAsia="Calibri" w:cstheme="minorHAnsi"/>
                <w:sz w:val="24"/>
                <w:szCs w:val="24"/>
                <w:lang w:val="fr-FR"/>
              </w:rPr>
              <w:t xml:space="preserve"> jours ouvrables</w:t>
            </w:r>
            <w:r>
              <w:rPr>
                <w:rFonts w:eastAsia="Calibri" w:cstheme="minorHAnsi"/>
                <w:sz w:val="24"/>
                <w:szCs w:val="24"/>
                <w:lang w:val="fr-FR"/>
              </w:rPr>
              <w:t xml:space="preserve"> répartis sur 9</w:t>
            </w:r>
            <w:r w:rsidRPr="00A33864">
              <w:rPr>
                <w:rFonts w:eastAsia="Calibri" w:cstheme="minorHAnsi"/>
                <w:sz w:val="24"/>
                <w:szCs w:val="24"/>
                <w:lang w:val="fr-FR"/>
              </w:rPr>
              <w:t xml:space="preserve">0 jours calendaires. </w:t>
            </w:r>
          </w:p>
          <w:p w14:paraId="0B8752CB" w14:textId="77777777" w:rsidR="00BA2938" w:rsidRPr="00A33864" w:rsidRDefault="00BA2938" w:rsidP="00BA2938">
            <w:pPr>
              <w:jc w:val="both"/>
              <w:rPr>
                <w:rFonts w:eastAsia="Calibri" w:cstheme="minorHAnsi"/>
                <w:b/>
                <w:sz w:val="24"/>
                <w:szCs w:val="24"/>
                <w:lang w:val="fr-FR"/>
              </w:rPr>
            </w:pPr>
            <w:r w:rsidRPr="00A33864">
              <w:rPr>
                <w:rFonts w:eastAsia="Calibri" w:cstheme="minorHAnsi"/>
                <w:sz w:val="24"/>
                <w:szCs w:val="24"/>
                <w:lang w:val="fr-FR"/>
              </w:rPr>
              <w:t>Durant la mission, le (a) consultant (e) maintiendra une communication optimale avec le Coordonnateur du Projet PNA et l’Analyste au programme, tous basés à Kinshasa à travers des comptes rendus réguliers succincts, au minimum une fois par semaine.</w:t>
            </w:r>
            <w:r w:rsidRPr="00A33864">
              <w:rPr>
                <w:rFonts w:eastAsia="Calibri" w:cstheme="minorHAnsi"/>
                <w:b/>
                <w:sz w:val="24"/>
                <w:szCs w:val="24"/>
                <w:lang w:val="fr-FR"/>
              </w:rPr>
              <w:t xml:space="preserve"> </w:t>
            </w:r>
          </w:p>
          <w:p w14:paraId="617FE27A" w14:textId="77777777" w:rsidR="00BA2938" w:rsidRPr="00A33864" w:rsidRDefault="00BA2938" w:rsidP="00BA2938">
            <w:pPr>
              <w:jc w:val="both"/>
              <w:rPr>
                <w:rFonts w:eastAsia="Calibri" w:cstheme="minorHAnsi"/>
                <w:b/>
                <w:sz w:val="24"/>
                <w:szCs w:val="24"/>
                <w:lang w:val="fr-FR"/>
              </w:rPr>
            </w:pPr>
          </w:p>
          <w:p w14:paraId="02204D06" w14:textId="77777777" w:rsidR="00BA2938" w:rsidRPr="00A33864" w:rsidRDefault="00BA2938" w:rsidP="00BA2938">
            <w:pPr>
              <w:jc w:val="both"/>
              <w:rPr>
                <w:rFonts w:eastAsia="Calibri" w:cstheme="minorHAnsi"/>
                <w:b/>
                <w:sz w:val="24"/>
                <w:szCs w:val="24"/>
                <w:lang w:val="fr-FR"/>
              </w:rPr>
            </w:pPr>
            <w:r w:rsidRPr="00A33864">
              <w:rPr>
                <w:rFonts w:eastAsia="Calibri" w:cstheme="minorHAnsi"/>
                <w:b/>
                <w:sz w:val="24"/>
                <w:szCs w:val="24"/>
                <w:lang w:val="fr-FR"/>
              </w:rPr>
              <w:t>Arrangement de mise en œuvre :</w:t>
            </w:r>
          </w:p>
          <w:p w14:paraId="2C378578" w14:textId="77777777" w:rsidR="00BA2938" w:rsidRPr="00A33864" w:rsidRDefault="00BA2938" w:rsidP="00BA2938">
            <w:pPr>
              <w:jc w:val="both"/>
              <w:rPr>
                <w:rFonts w:eastAsia="Calibri" w:cstheme="minorHAnsi"/>
                <w:sz w:val="24"/>
                <w:szCs w:val="24"/>
                <w:lang w:val="fr-FR"/>
              </w:rPr>
            </w:pPr>
          </w:p>
          <w:p w14:paraId="69081F77" w14:textId="77777777" w:rsidR="00BA2938" w:rsidRPr="00A33864" w:rsidRDefault="00BA2938" w:rsidP="00BA2938">
            <w:pPr>
              <w:jc w:val="both"/>
              <w:rPr>
                <w:rFonts w:eastAsia="Calibri" w:cstheme="minorHAnsi"/>
                <w:sz w:val="24"/>
                <w:szCs w:val="24"/>
                <w:lang w:val="fr-FR"/>
              </w:rPr>
            </w:pPr>
            <w:r w:rsidRPr="00A33864">
              <w:rPr>
                <w:rFonts w:eastAsia="Calibri" w:cstheme="minorHAnsi"/>
                <w:sz w:val="24"/>
                <w:szCs w:val="24"/>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14:paraId="77AC0506" w14:textId="77777777" w:rsidR="00BA2938" w:rsidRPr="00A33864" w:rsidRDefault="00BA2938" w:rsidP="00BA2938">
            <w:pPr>
              <w:jc w:val="both"/>
              <w:rPr>
                <w:rFonts w:eastAsia="Calibri" w:cstheme="minorHAnsi"/>
                <w:b/>
                <w:sz w:val="24"/>
                <w:szCs w:val="24"/>
                <w:lang w:val="fr-FR"/>
              </w:rPr>
            </w:pPr>
            <w:r w:rsidRPr="00A33864">
              <w:rPr>
                <w:rFonts w:eastAsia="Calibri" w:cstheme="minorHAnsi"/>
                <w:sz w:val="24"/>
                <w:szCs w:val="24"/>
                <w:lang w:val="fr-FR"/>
              </w:rPr>
              <w:t>L’équipe assurera la coordination, l’organisation et la gestion du processus, y compris la liaison avec les partenaires, l’appui technique et la fourniture de la documentation et des commentaires pertinents au consultant.</w:t>
            </w:r>
          </w:p>
          <w:p w14:paraId="3688ECC4" w14:textId="78956FA3" w:rsidR="00523BE8" w:rsidRPr="00523BE8" w:rsidRDefault="00523BE8" w:rsidP="00C860E4">
            <w:pPr>
              <w:jc w:val="both"/>
              <w:rPr>
                <w:rFonts w:cstheme="minorHAnsi"/>
                <w:lang w:val="fr-FR" w:eastAsia="fr-FR"/>
              </w:rPr>
            </w:pPr>
          </w:p>
        </w:tc>
      </w:tr>
    </w:tbl>
    <w:p w14:paraId="3D1AE173" w14:textId="6C557A98" w:rsidR="00A45B0E" w:rsidRDefault="00A45B0E" w:rsidP="00BF6263">
      <w:pPr>
        <w:rPr>
          <w:rFonts w:cstheme="minorHAnsi"/>
          <w:b/>
          <w:lang w:val="fr-FR"/>
        </w:rPr>
      </w:pPr>
    </w:p>
    <w:p w14:paraId="264D099D" w14:textId="74769131" w:rsidR="00BA2938" w:rsidRDefault="00BA2938" w:rsidP="00BF6263">
      <w:pPr>
        <w:rPr>
          <w:rFonts w:cstheme="minorHAnsi"/>
          <w:b/>
          <w:lang w:val="fr-FR"/>
        </w:rPr>
      </w:pPr>
    </w:p>
    <w:p w14:paraId="03ACF7BF" w14:textId="1DA90014" w:rsidR="00BA2938" w:rsidRDefault="00BA2938" w:rsidP="00BF6263">
      <w:pPr>
        <w:rPr>
          <w:rFonts w:cstheme="minorHAnsi"/>
          <w:b/>
          <w:lang w:val="fr-FR"/>
        </w:rPr>
      </w:pPr>
    </w:p>
    <w:p w14:paraId="7774C0C0" w14:textId="55137C83" w:rsidR="00BA2938" w:rsidRDefault="00BA2938" w:rsidP="00BF6263">
      <w:pPr>
        <w:rPr>
          <w:rFonts w:cstheme="minorHAnsi"/>
          <w:b/>
          <w:lang w:val="fr-FR"/>
        </w:rPr>
      </w:pPr>
    </w:p>
    <w:p w14:paraId="679C83AE" w14:textId="7A749F19" w:rsidR="00BA2938" w:rsidRDefault="00BA2938" w:rsidP="00BF6263">
      <w:pPr>
        <w:rPr>
          <w:rFonts w:cstheme="minorHAnsi"/>
          <w:b/>
          <w:lang w:val="fr-FR"/>
        </w:rPr>
      </w:pPr>
    </w:p>
    <w:p w14:paraId="670869B5" w14:textId="48CC26AF" w:rsidR="00BA2938" w:rsidRDefault="00BA2938" w:rsidP="00BF6263">
      <w:pPr>
        <w:rPr>
          <w:rFonts w:cstheme="minorHAnsi"/>
          <w:b/>
          <w:lang w:val="fr-FR"/>
        </w:rPr>
      </w:pPr>
    </w:p>
    <w:p w14:paraId="5AF4F0EC" w14:textId="01CB766A" w:rsidR="00BA2938" w:rsidRDefault="00BA2938" w:rsidP="00BF6263">
      <w:pPr>
        <w:rPr>
          <w:rFonts w:cstheme="minorHAnsi"/>
          <w:b/>
          <w:lang w:val="fr-FR"/>
        </w:rPr>
      </w:pPr>
    </w:p>
    <w:p w14:paraId="758A6A77" w14:textId="5A234CA5" w:rsidR="00BA2938" w:rsidRDefault="00BA2938" w:rsidP="00BF6263">
      <w:pPr>
        <w:rPr>
          <w:rFonts w:cstheme="minorHAnsi"/>
          <w:b/>
          <w:lang w:val="fr-FR"/>
        </w:rPr>
      </w:pPr>
    </w:p>
    <w:p w14:paraId="174038A0" w14:textId="3966FBB2" w:rsidR="00BA2938" w:rsidRDefault="00BA2938" w:rsidP="00BF6263">
      <w:pPr>
        <w:rPr>
          <w:rFonts w:cstheme="minorHAnsi"/>
          <w:b/>
          <w:lang w:val="fr-FR"/>
        </w:rPr>
      </w:pPr>
    </w:p>
    <w:p w14:paraId="3ED2BB7F" w14:textId="356FDD31" w:rsidR="00B270C3" w:rsidRDefault="00B270C3" w:rsidP="00BF6263">
      <w:pPr>
        <w:rPr>
          <w:rFonts w:cstheme="minorHAnsi"/>
          <w:b/>
          <w:lang w:val="fr-FR"/>
        </w:rPr>
      </w:pPr>
    </w:p>
    <w:p w14:paraId="1F85636A" w14:textId="77777777" w:rsidR="00B270C3" w:rsidRDefault="00B270C3" w:rsidP="00BF6263">
      <w:pPr>
        <w:rPr>
          <w:rFonts w:cstheme="minorHAnsi"/>
          <w:b/>
          <w:lang w:val="fr-FR"/>
        </w:rPr>
      </w:pPr>
    </w:p>
    <w:p w14:paraId="5D2D8800" w14:textId="77777777" w:rsidR="00BA2938" w:rsidRPr="0096270F" w:rsidRDefault="00BA2938" w:rsidP="00BF6263">
      <w:pPr>
        <w:rPr>
          <w:rFonts w:cstheme="minorHAnsi"/>
          <w:b/>
          <w:lang w:val="fr-FR"/>
        </w:rPr>
      </w:pPr>
    </w:p>
    <w:p w14:paraId="16360BC5" w14:textId="77777777" w:rsidR="00BF6263" w:rsidRPr="0096270F" w:rsidRDefault="00BF6263" w:rsidP="00BF6263">
      <w:pPr>
        <w:rPr>
          <w:rFonts w:cstheme="minorHAnsi"/>
          <w:b/>
          <w:lang w:val="fr-FR"/>
        </w:rPr>
      </w:pPr>
      <w:r w:rsidRPr="0096270F">
        <w:rPr>
          <w:rFonts w:cstheme="minorHAnsi"/>
          <w:b/>
          <w:lang w:val="fr-FR"/>
        </w:rPr>
        <w:lastRenderedPageBreak/>
        <w:t xml:space="preserve">3. Livrables </w:t>
      </w:r>
      <w:r w:rsidR="002A0E25" w:rsidRPr="0096270F">
        <w:rPr>
          <w:rFonts w:cstheme="minorHAnsi"/>
          <w:b/>
          <w:lang w:val="fr-FR"/>
        </w:rPr>
        <w:t>et tranches de paiement</w:t>
      </w:r>
    </w:p>
    <w:tbl>
      <w:tblPr>
        <w:tblStyle w:val="Grilledutableau"/>
        <w:tblW w:w="9360" w:type="dxa"/>
        <w:tblInd w:w="-5" w:type="dxa"/>
        <w:tblLook w:val="04A0" w:firstRow="1" w:lastRow="0" w:firstColumn="1" w:lastColumn="0" w:noHBand="0" w:noVBand="1"/>
      </w:tblPr>
      <w:tblGrid>
        <w:gridCol w:w="10658"/>
      </w:tblGrid>
      <w:tr w:rsidR="00BF6263" w:rsidRPr="0096270F" w14:paraId="2553B827" w14:textId="77777777" w:rsidTr="007E3539">
        <w:tc>
          <w:tcPr>
            <w:tcW w:w="9360" w:type="dxa"/>
          </w:tcPr>
          <w:p w14:paraId="45137D59" w14:textId="77777777" w:rsidR="00BA2938" w:rsidRPr="0096270F" w:rsidRDefault="00BA2938" w:rsidP="00BA2938">
            <w:pPr>
              <w:jc w:val="both"/>
              <w:rPr>
                <w:rFonts w:cstheme="minorHAnsi"/>
                <w:lang w:val="fr-FR"/>
              </w:rPr>
            </w:pPr>
            <w:r w:rsidRPr="0096270F">
              <w:rPr>
                <w:rFonts w:cstheme="minorHAnsi"/>
                <w:lang w:val="fr-FR"/>
              </w:rPr>
              <w:t>Les livrables, délais d´exécution et tranches de paiement sont indiqués dans le tableau ci-dessous :</w:t>
            </w:r>
          </w:p>
          <w:p w14:paraId="326E3100" w14:textId="77777777" w:rsidR="003F640F" w:rsidRPr="0096270F" w:rsidRDefault="003F640F" w:rsidP="00BF6263">
            <w:pPr>
              <w:jc w:val="both"/>
              <w:rPr>
                <w:rFonts w:cstheme="minorHAnsi"/>
                <w:lang w:val="fr-FR"/>
              </w:rPr>
            </w:pPr>
          </w:p>
          <w:tbl>
            <w:tblPr>
              <w:tblW w:w="1043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432"/>
            </w:tblGrid>
            <w:tr w:rsidR="00BA2938" w:rsidRPr="00A33864" w14:paraId="51D3E104" w14:textId="77777777" w:rsidTr="00BA2938">
              <w:trPr>
                <w:trHeight w:val="7254"/>
                <w:jc w:val="center"/>
              </w:trPr>
              <w:tc>
                <w:tcPr>
                  <w:tcW w:w="10432" w:type="dxa"/>
                </w:tcPr>
                <w:p w14:paraId="055A8B1D" w14:textId="77777777" w:rsidR="00BA2938" w:rsidRPr="00E34B08" w:rsidRDefault="00BA2938" w:rsidP="00BA2938">
                  <w:pPr>
                    <w:pStyle w:val="Paragraphedeliste"/>
                    <w:numPr>
                      <w:ilvl w:val="0"/>
                      <w:numId w:val="23"/>
                    </w:numPr>
                    <w:spacing w:after="0" w:line="240" w:lineRule="auto"/>
                    <w:jc w:val="both"/>
                    <w:rPr>
                      <w:rFonts w:eastAsia="Calibri" w:cstheme="minorHAnsi"/>
                    </w:rPr>
                  </w:pPr>
                  <w:r w:rsidRPr="00E34B08">
                    <w:rPr>
                      <w:rFonts w:eastAsia="Calibri" w:cstheme="minorHAnsi"/>
                    </w:rPr>
                    <w:t xml:space="preserve">Note </w:t>
                  </w:r>
                  <w:proofErr w:type="spellStart"/>
                  <w:r w:rsidRPr="00E34B08">
                    <w:rPr>
                      <w:rFonts w:eastAsia="Calibri" w:cstheme="minorHAnsi"/>
                    </w:rPr>
                    <w:t>méthodologique</w:t>
                  </w:r>
                  <w:proofErr w:type="spellEnd"/>
                </w:p>
                <w:p w14:paraId="7D977DAC" w14:textId="77777777" w:rsidR="00BA2938" w:rsidRPr="002311C4" w:rsidRDefault="00BA2938" w:rsidP="00BA2938">
                  <w:pPr>
                    <w:pStyle w:val="Paragraphedeliste"/>
                    <w:numPr>
                      <w:ilvl w:val="0"/>
                      <w:numId w:val="23"/>
                    </w:numPr>
                    <w:spacing w:after="0" w:line="240" w:lineRule="auto"/>
                    <w:jc w:val="both"/>
                    <w:rPr>
                      <w:rFonts w:cstheme="minorHAnsi"/>
                      <w:lang w:val="fr-FR"/>
                    </w:rPr>
                  </w:pPr>
                  <w:r w:rsidRPr="002311C4">
                    <w:rPr>
                      <w:rFonts w:cstheme="minorHAnsi"/>
                      <w:lang w:val="fr-FR"/>
                    </w:rPr>
                    <w:t>Rapport d’analyse situationnelle sur le MRV et l’ACC</w:t>
                  </w:r>
                </w:p>
                <w:p w14:paraId="37BD2648" w14:textId="77777777" w:rsidR="00BA2938" w:rsidRPr="002311C4" w:rsidRDefault="00BA2938" w:rsidP="00BA2938">
                  <w:pPr>
                    <w:pStyle w:val="Paragraphedeliste"/>
                    <w:numPr>
                      <w:ilvl w:val="0"/>
                      <w:numId w:val="23"/>
                    </w:numPr>
                    <w:spacing w:after="0" w:line="240" w:lineRule="auto"/>
                    <w:jc w:val="both"/>
                    <w:rPr>
                      <w:rFonts w:cstheme="minorHAnsi"/>
                      <w:lang w:val="fr-FR"/>
                    </w:rPr>
                  </w:pPr>
                  <w:r w:rsidRPr="002311C4">
                    <w:rPr>
                      <w:rFonts w:eastAsia="Calibri" w:cstheme="minorHAnsi"/>
                      <w:lang w:val="fr-FR"/>
                    </w:rPr>
                    <w:t>Rapport sur l’état des lieux de l’alignement du PNIA aux priorités de l’ACC</w:t>
                  </w:r>
                </w:p>
                <w:p w14:paraId="6E7256DE" w14:textId="77777777" w:rsidR="00BA2938" w:rsidRPr="002311C4" w:rsidRDefault="00BA2938" w:rsidP="00BA2938">
                  <w:pPr>
                    <w:pStyle w:val="Paragraphedeliste"/>
                    <w:numPr>
                      <w:ilvl w:val="0"/>
                      <w:numId w:val="23"/>
                    </w:numPr>
                    <w:spacing w:after="0" w:line="240" w:lineRule="auto"/>
                    <w:jc w:val="both"/>
                    <w:rPr>
                      <w:rFonts w:cstheme="minorHAnsi"/>
                      <w:lang w:val="fr-FR"/>
                    </w:rPr>
                  </w:pPr>
                  <w:r w:rsidRPr="002311C4">
                    <w:rPr>
                      <w:rFonts w:cstheme="minorHAnsi"/>
                      <w:lang w:val="fr-FR"/>
                    </w:rPr>
                    <w:t>Rapport sur les outils de suivi du MRV dans le cadre de l’ACC</w:t>
                  </w:r>
                </w:p>
                <w:p w14:paraId="337B8420" w14:textId="77777777" w:rsidR="00BA2938" w:rsidRPr="002311C4" w:rsidRDefault="00BA2938" w:rsidP="00BA2938">
                  <w:pPr>
                    <w:pStyle w:val="Paragraphedeliste"/>
                    <w:numPr>
                      <w:ilvl w:val="0"/>
                      <w:numId w:val="23"/>
                    </w:numPr>
                    <w:spacing w:after="0" w:line="240" w:lineRule="auto"/>
                    <w:jc w:val="both"/>
                    <w:rPr>
                      <w:rFonts w:cstheme="minorHAnsi"/>
                      <w:lang w:val="fr-FR"/>
                    </w:rPr>
                  </w:pPr>
                  <w:r w:rsidRPr="002311C4">
                    <w:rPr>
                      <w:rFonts w:eastAsia="Calibri" w:cstheme="minorHAnsi"/>
                      <w:lang w:val="fr-FR"/>
                    </w:rPr>
                    <w:t>Guide méthodologique pour l’alignement du PNIA, PNSD et PDP à l’ACC</w:t>
                  </w:r>
                </w:p>
                <w:p w14:paraId="248894AC" w14:textId="77777777" w:rsidR="00BA2938" w:rsidRPr="002311C4" w:rsidRDefault="00BA2938" w:rsidP="00BA2938">
                  <w:pPr>
                    <w:pStyle w:val="Paragraphedeliste"/>
                    <w:numPr>
                      <w:ilvl w:val="0"/>
                      <w:numId w:val="23"/>
                    </w:numPr>
                    <w:spacing w:after="0" w:line="240" w:lineRule="auto"/>
                    <w:jc w:val="both"/>
                    <w:rPr>
                      <w:rFonts w:cstheme="minorHAnsi"/>
                      <w:lang w:val="fr-FR"/>
                    </w:rPr>
                  </w:pPr>
                  <w:r w:rsidRPr="002311C4">
                    <w:rPr>
                      <w:rFonts w:cstheme="minorHAnsi"/>
                      <w:lang w:val="fr-FR"/>
                    </w:rPr>
                    <w:t>Plan de renforcement des capacités (MRV)</w:t>
                  </w:r>
                </w:p>
                <w:p w14:paraId="26BC442E" w14:textId="77777777" w:rsidR="00BA2938" w:rsidRPr="00E34B08" w:rsidRDefault="00BA2938" w:rsidP="00BA2938">
                  <w:pPr>
                    <w:pStyle w:val="Paragraphedeliste"/>
                    <w:numPr>
                      <w:ilvl w:val="0"/>
                      <w:numId w:val="23"/>
                    </w:numPr>
                    <w:spacing w:after="0" w:line="240" w:lineRule="auto"/>
                    <w:jc w:val="both"/>
                    <w:rPr>
                      <w:rFonts w:eastAsia="Times New Roman" w:cstheme="minorHAnsi"/>
                      <w:b/>
                      <w:color w:val="FFFFFF" w:themeColor="background1"/>
                      <w:sz w:val="24"/>
                      <w:szCs w:val="24"/>
                      <w:lang w:val="fr-FR"/>
                    </w:rPr>
                  </w:pPr>
                  <w:r w:rsidRPr="002311C4">
                    <w:rPr>
                      <w:rFonts w:cstheme="minorHAnsi"/>
                      <w:lang w:val="fr-FR"/>
                    </w:rPr>
                    <w:t xml:space="preserve">Rapport général de la </w:t>
                  </w:r>
                  <w:proofErr w:type="spellStart"/>
                  <w:r w:rsidRPr="002311C4">
                    <w:rPr>
                      <w:rFonts w:cstheme="minorHAnsi"/>
                      <w:lang w:val="fr-FR"/>
                    </w:rPr>
                    <w:t>mission.</w:t>
                  </w:r>
                  <w:r w:rsidRPr="00E34B08">
                    <w:rPr>
                      <w:rFonts w:eastAsia="Times New Roman" w:cstheme="minorHAnsi"/>
                      <w:b/>
                      <w:color w:val="FFFFFF" w:themeColor="background1"/>
                      <w:sz w:val="24"/>
                      <w:szCs w:val="24"/>
                      <w:lang w:val="fr-FR"/>
                    </w:rPr>
                    <w:t>V</w:t>
                  </w:r>
                  <w:proofErr w:type="spellEnd"/>
                  <w:r w:rsidRPr="00E34B08">
                    <w:rPr>
                      <w:rFonts w:eastAsia="Times New Roman" w:cstheme="minorHAnsi"/>
                      <w:b/>
                      <w:color w:val="FFFFFF" w:themeColor="background1"/>
                      <w:sz w:val="24"/>
                      <w:szCs w:val="24"/>
                      <w:lang w:val="fr-FR"/>
                    </w:rPr>
                    <w:t>. Modalités</w:t>
                  </w:r>
                </w:p>
                <w:p w14:paraId="1F906D4F" w14:textId="77777777" w:rsidR="00BA2938" w:rsidRPr="00A33864" w:rsidRDefault="00BA2938" w:rsidP="00BA2938">
                  <w:pPr>
                    <w:spacing w:after="0" w:line="240" w:lineRule="auto"/>
                    <w:jc w:val="both"/>
                    <w:rPr>
                      <w:rFonts w:eastAsia="Times New Roman" w:cstheme="minorHAnsi"/>
                      <w:sz w:val="24"/>
                      <w:szCs w:val="24"/>
                      <w:lang w:val="fr-FR"/>
                    </w:rPr>
                  </w:pP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1"/>
                    <w:gridCol w:w="3969"/>
                    <w:gridCol w:w="1559"/>
                    <w:gridCol w:w="1276"/>
                  </w:tblGrid>
                  <w:tr w:rsidR="00A72DB1" w:rsidRPr="00A33864" w14:paraId="140639A4" w14:textId="77777777" w:rsidTr="00A72DB1">
                    <w:trPr>
                      <w:trHeight w:val="709"/>
                    </w:trPr>
                    <w:tc>
                      <w:tcPr>
                        <w:tcW w:w="1161" w:type="dxa"/>
                        <w:shd w:val="clear" w:color="000000" w:fill="D9E2F3"/>
                        <w:hideMark/>
                      </w:tcPr>
                      <w:p w14:paraId="02BE25F4" w14:textId="77777777" w:rsidR="00A72DB1" w:rsidRPr="00A33864" w:rsidRDefault="00A72DB1" w:rsidP="00BA2938">
                        <w:pPr>
                          <w:spacing w:after="0" w:line="240" w:lineRule="auto"/>
                          <w:jc w:val="center"/>
                          <w:rPr>
                            <w:rFonts w:cstheme="minorHAnsi"/>
                            <w:b/>
                            <w:bCs/>
                            <w:i/>
                            <w:color w:val="000000"/>
                            <w:u w:val="single"/>
                          </w:rPr>
                        </w:pPr>
                        <w:r w:rsidRPr="00A33864">
                          <w:rPr>
                            <w:rFonts w:cstheme="minorHAnsi"/>
                            <w:b/>
                            <w:bCs/>
                            <w:i/>
                            <w:color w:val="000000"/>
                            <w:u w:val="single"/>
                          </w:rPr>
                          <w:t xml:space="preserve"># </w:t>
                        </w:r>
                        <w:proofErr w:type="spellStart"/>
                        <w:r w:rsidRPr="00A33864">
                          <w:rPr>
                            <w:rFonts w:cstheme="minorHAnsi"/>
                            <w:b/>
                            <w:bCs/>
                            <w:i/>
                            <w:color w:val="000000"/>
                            <w:u w:val="single"/>
                          </w:rPr>
                          <w:t>Livrables</w:t>
                        </w:r>
                        <w:proofErr w:type="spellEnd"/>
                      </w:p>
                    </w:tc>
                    <w:tc>
                      <w:tcPr>
                        <w:tcW w:w="3969" w:type="dxa"/>
                        <w:shd w:val="clear" w:color="000000" w:fill="D9E2F3"/>
                      </w:tcPr>
                      <w:p w14:paraId="53C2A23C" w14:textId="77777777" w:rsidR="00A72DB1" w:rsidRPr="00A33864" w:rsidRDefault="00A72DB1" w:rsidP="00BA2938">
                        <w:pPr>
                          <w:spacing w:after="0" w:line="240" w:lineRule="auto"/>
                          <w:jc w:val="center"/>
                          <w:rPr>
                            <w:rFonts w:cstheme="minorHAnsi"/>
                            <w:b/>
                            <w:bCs/>
                            <w:i/>
                            <w:color w:val="000000"/>
                            <w:u w:val="single"/>
                          </w:rPr>
                        </w:pPr>
                        <w:proofErr w:type="spellStart"/>
                        <w:r w:rsidRPr="00A33864">
                          <w:rPr>
                            <w:rFonts w:cstheme="minorHAnsi"/>
                            <w:b/>
                            <w:bCs/>
                            <w:i/>
                            <w:color w:val="000000"/>
                            <w:u w:val="single"/>
                          </w:rPr>
                          <w:t>Livrables</w:t>
                        </w:r>
                        <w:proofErr w:type="spellEnd"/>
                      </w:p>
                    </w:tc>
                    <w:tc>
                      <w:tcPr>
                        <w:tcW w:w="1559" w:type="dxa"/>
                        <w:shd w:val="clear" w:color="000000" w:fill="D9E2F3"/>
                      </w:tcPr>
                      <w:p w14:paraId="6CD6B229" w14:textId="77777777" w:rsidR="00A72DB1" w:rsidRPr="00A33864" w:rsidRDefault="00A72DB1" w:rsidP="00BA2938">
                        <w:pPr>
                          <w:spacing w:after="0" w:line="240" w:lineRule="auto"/>
                          <w:jc w:val="center"/>
                          <w:rPr>
                            <w:rFonts w:cstheme="minorHAnsi"/>
                            <w:b/>
                            <w:bCs/>
                            <w:i/>
                            <w:color w:val="000000"/>
                            <w:u w:val="single"/>
                          </w:rPr>
                        </w:pPr>
                        <w:proofErr w:type="spellStart"/>
                        <w:r w:rsidRPr="00A33864">
                          <w:rPr>
                            <w:rFonts w:cstheme="minorHAnsi"/>
                            <w:b/>
                            <w:bCs/>
                            <w:i/>
                            <w:color w:val="000000"/>
                            <w:u w:val="single"/>
                          </w:rPr>
                          <w:t>Délai</w:t>
                        </w:r>
                        <w:proofErr w:type="spellEnd"/>
                        <w:r w:rsidRPr="00A33864">
                          <w:rPr>
                            <w:rFonts w:cstheme="minorHAnsi"/>
                            <w:b/>
                            <w:bCs/>
                            <w:i/>
                            <w:color w:val="000000"/>
                            <w:u w:val="single"/>
                          </w:rPr>
                          <w:t>*</w:t>
                        </w:r>
                      </w:p>
                    </w:tc>
                    <w:tc>
                      <w:tcPr>
                        <w:tcW w:w="1276" w:type="dxa"/>
                        <w:shd w:val="clear" w:color="000000" w:fill="D9E2F3"/>
                      </w:tcPr>
                      <w:p w14:paraId="037DC1FD" w14:textId="77777777" w:rsidR="00A72DB1" w:rsidRPr="00A33864" w:rsidRDefault="00A72DB1" w:rsidP="00BA2938">
                        <w:pPr>
                          <w:spacing w:after="0" w:line="240" w:lineRule="auto"/>
                          <w:jc w:val="center"/>
                          <w:rPr>
                            <w:rFonts w:cstheme="minorHAnsi"/>
                          </w:rPr>
                        </w:pPr>
                        <w:r w:rsidRPr="00A33864">
                          <w:rPr>
                            <w:rFonts w:cstheme="minorHAnsi"/>
                            <w:b/>
                            <w:bCs/>
                            <w:i/>
                            <w:color w:val="000000"/>
                            <w:u w:val="single"/>
                          </w:rPr>
                          <w:t xml:space="preserve">Tranche de </w:t>
                        </w:r>
                        <w:proofErr w:type="spellStart"/>
                        <w:r w:rsidRPr="00A33864">
                          <w:rPr>
                            <w:rFonts w:cstheme="minorHAnsi"/>
                            <w:b/>
                            <w:bCs/>
                            <w:i/>
                            <w:color w:val="000000"/>
                            <w:u w:val="single"/>
                          </w:rPr>
                          <w:t>paiement</w:t>
                        </w:r>
                        <w:proofErr w:type="spellEnd"/>
                      </w:p>
                    </w:tc>
                  </w:tr>
                  <w:tr w:rsidR="00A72DB1" w:rsidRPr="002311C4" w14:paraId="40901F04" w14:textId="77777777" w:rsidTr="00A72DB1">
                    <w:trPr>
                      <w:trHeight w:val="731"/>
                    </w:trPr>
                    <w:tc>
                      <w:tcPr>
                        <w:tcW w:w="1161" w:type="dxa"/>
                        <w:shd w:val="clear" w:color="auto" w:fill="auto"/>
                        <w:hideMark/>
                      </w:tcPr>
                      <w:p w14:paraId="4DDDFB9B" w14:textId="77777777" w:rsidR="00A72DB1" w:rsidRPr="00A33864" w:rsidRDefault="00A72DB1" w:rsidP="00BA2938">
                        <w:pPr>
                          <w:spacing w:after="0" w:line="240" w:lineRule="auto"/>
                          <w:rPr>
                            <w:rFonts w:cstheme="minorHAnsi"/>
                            <w:color w:val="000000"/>
                          </w:rPr>
                        </w:pPr>
                        <w:proofErr w:type="spellStart"/>
                        <w:r w:rsidRPr="00A33864">
                          <w:rPr>
                            <w:rFonts w:cstheme="minorHAnsi"/>
                            <w:b/>
                            <w:i/>
                          </w:rPr>
                          <w:t>Livrable</w:t>
                        </w:r>
                        <w:proofErr w:type="spellEnd"/>
                        <w:r w:rsidRPr="00A33864">
                          <w:rPr>
                            <w:rFonts w:cstheme="minorHAnsi"/>
                            <w:b/>
                            <w:i/>
                          </w:rPr>
                          <w:t xml:space="preserve"> 1</w:t>
                        </w:r>
                      </w:p>
                    </w:tc>
                    <w:tc>
                      <w:tcPr>
                        <w:tcW w:w="3969" w:type="dxa"/>
                      </w:tcPr>
                      <w:p w14:paraId="580A3788" w14:textId="77777777" w:rsidR="00A72DB1" w:rsidRPr="00A33864" w:rsidRDefault="00A72DB1" w:rsidP="00BA2938">
                        <w:pPr>
                          <w:spacing w:after="0" w:line="240" w:lineRule="auto"/>
                          <w:jc w:val="both"/>
                          <w:rPr>
                            <w:rFonts w:cstheme="minorHAnsi"/>
                          </w:rPr>
                        </w:pPr>
                        <w:r w:rsidRPr="00A33864">
                          <w:rPr>
                            <w:rFonts w:eastAsia="Calibri" w:cstheme="minorHAnsi"/>
                          </w:rPr>
                          <w:t xml:space="preserve">Note </w:t>
                        </w:r>
                        <w:proofErr w:type="spellStart"/>
                        <w:r w:rsidRPr="00A33864">
                          <w:rPr>
                            <w:rFonts w:eastAsia="Calibri" w:cstheme="minorHAnsi"/>
                          </w:rPr>
                          <w:t>méthodologique</w:t>
                        </w:r>
                        <w:proofErr w:type="spellEnd"/>
                        <w:r w:rsidRPr="00A33864">
                          <w:rPr>
                            <w:rFonts w:eastAsia="Calibri" w:cstheme="minorHAnsi"/>
                          </w:rPr>
                          <w:t xml:space="preserve"> </w:t>
                        </w:r>
                      </w:p>
                    </w:tc>
                    <w:tc>
                      <w:tcPr>
                        <w:tcW w:w="1559" w:type="dxa"/>
                      </w:tcPr>
                      <w:p w14:paraId="1B014E86" w14:textId="77777777" w:rsidR="00A72DB1" w:rsidRPr="002311C4" w:rsidRDefault="00A72DB1" w:rsidP="00BA2938">
                        <w:pPr>
                          <w:spacing w:after="0" w:line="240" w:lineRule="auto"/>
                          <w:jc w:val="both"/>
                          <w:rPr>
                            <w:rFonts w:cstheme="minorHAnsi"/>
                            <w:lang w:val="fr-FR"/>
                          </w:rPr>
                        </w:pPr>
                        <w:r w:rsidRPr="002311C4">
                          <w:rPr>
                            <w:rFonts w:cstheme="minorHAnsi"/>
                            <w:lang w:val="fr-FR"/>
                          </w:rPr>
                          <w:t>2 jours après la signature du contrat</w:t>
                        </w:r>
                      </w:p>
                    </w:tc>
                    <w:tc>
                      <w:tcPr>
                        <w:tcW w:w="1276" w:type="dxa"/>
                      </w:tcPr>
                      <w:p w14:paraId="1C2E36A9" w14:textId="77777777" w:rsidR="00A72DB1" w:rsidRPr="00A33864" w:rsidRDefault="00A72DB1" w:rsidP="00BA2938">
                        <w:pPr>
                          <w:spacing w:after="0" w:line="240" w:lineRule="auto"/>
                          <w:jc w:val="center"/>
                          <w:rPr>
                            <w:rFonts w:cstheme="minorHAnsi"/>
                          </w:rPr>
                        </w:pPr>
                        <w:r>
                          <w:rPr>
                            <w:rFonts w:cstheme="minorHAnsi"/>
                          </w:rPr>
                          <w:t>25</w:t>
                        </w:r>
                        <w:r w:rsidRPr="00A33864">
                          <w:rPr>
                            <w:rFonts w:cstheme="minorHAnsi"/>
                          </w:rPr>
                          <w:t xml:space="preserve"> %</w:t>
                        </w:r>
                      </w:p>
                    </w:tc>
                  </w:tr>
                  <w:tr w:rsidR="00A72DB1" w:rsidRPr="00A33864" w14:paraId="44845241" w14:textId="77777777" w:rsidTr="00A72DB1">
                    <w:trPr>
                      <w:trHeight w:val="132"/>
                    </w:trPr>
                    <w:tc>
                      <w:tcPr>
                        <w:tcW w:w="1161" w:type="dxa"/>
                        <w:shd w:val="clear" w:color="auto" w:fill="auto"/>
                        <w:hideMark/>
                      </w:tcPr>
                      <w:p w14:paraId="7402B670" w14:textId="77777777" w:rsidR="00A72DB1" w:rsidRPr="00A33864" w:rsidRDefault="00A72DB1" w:rsidP="00BA2938">
                        <w:pPr>
                          <w:spacing w:after="0" w:line="240" w:lineRule="auto"/>
                          <w:rPr>
                            <w:rFonts w:cstheme="minorHAnsi"/>
                            <w:b/>
                            <w:bCs/>
                            <w:color w:val="000000"/>
                          </w:rPr>
                        </w:pPr>
                        <w:proofErr w:type="spellStart"/>
                        <w:r w:rsidRPr="00A33864">
                          <w:rPr>
                            <w:rFonts w:cstheme="minorHAnsi"/>
                            <w:b/>
                            <w:i/>
                          </w:rPr>
                          <w:t>Livrable</w:t>
                        </w:r>
                        <w:proofErr w:type="spellEnd"/>
                        <w:r w:rsidRPr="00A33864">
                          <w:rPr>
                            <w:rFonts w:cstheme="minorHAnsi"/>
                            <w:b/>
                            <w:i/>
                          </w:rPr>
                          <w:t xml:space="preserve"> 2</w:t>
                        </w:r>
                      </w:p>
                    </w:tc>
                    <w:tc>
                      <w:tcPr>
                        <w:tcW w:w="3969" w:type="dxa"/>
                      </w:tcPr>
                      <w:p w14:paraId="271DECA9" w14:textId="77777777" w:rsidR="00A72DB1" w:rsidRPr="002311C4" w:rsidRDefault="00A72DB1" w:rsidP="00BA2938">
                        <w:pPr>
                          <w:spacing w:after="0" w:line="240" w:lineRule="auto"/>
                          <w:jc w:val="both"/>
                          <w:rPr>
                            <w:rFonts w:cstheme="minorHAnsi"/>
                            <w:lang w:val="fr-FR"/>
                          </w:rPr>
                        </w:pPr>
                        <w:r w:rsidRPr="002311C4">
                          <w:rPr>
                            <w:rFonts w:cstheme="minorHAnsi"/>
                            <w:lang w:val="fr-FR"/>
                          </w:rPr>
                          <w:t>Rapport d’analyse situationnelle sur le MRV et l’ACC</w:t>
                        </w:r>
                      </w:p>
                    </w:tc>
                    <w:tc>
                      <w:tcPr>
                        <w:tcW w:w="1559" w:type="dxa"/>
                      </w:tcPr>
                      <w:p w14:paraId="420CE08B" w14:textId="77777777" w:rsidR="00A72DB1" w:rsidRPr="00A33864" w:rsidRDefault="00A72DB1" w:rsidP="00BA2938">
                        <w:pPr>
                          <w:autoSpaceDE w:val="0"/>
                          <w:autoSpaceDN w:val="0"/>
                          <w:adjustRightInd w:val="0"/>
                          <w:spacing w:after="0" w:line="240" w:lineRule="auto"/>
                          <w:rPr>
                            <w:rFonts w:eastAsia="Calibri" w:cstheme="minorHAnsi"/>
                          </w:rPr>
                        </w:pPr>
                        <w:r>
                          <w:rPr>
                            <w:rFonts w:eastAsia="Calibri" w:cstheme="minorHAnsi"/>
                          </w:rPr>
                          <w:t>15</w:t>
                        </w:r>
                        <w:r w:rsidRPr="00A33864">
                          <w:rPr>
                            <w:rFonts w:eastAsia="Calibri" w:cstheme="minorHAnsi"/>
                            <w:vertAlign w:val="superscript"/>
                          </w:rPr>
                          <w:t>ème</w:t>
                        </w:r>
                        <w:r w:rsidRPr="00A33864">
                          <w:rPr>
                            <w:rFonts w:eastAsia="Calibri" w:cstheme="minorHAnsi"/>
                          </w:rPr>
                          <w:t xml:space="preserve"> jour</w:t>
                        </w:r>
                      </w:p>
                    </w:tc>
                    <w:tc>
                      <w:tcPr>
                        <w:tcW w:w="1276" w:type="dxa"/>
                        <w:vMerge w:val="restart"/>
                      </w:tcPr>
                      <w:p w14:paraId="151E4A54" w14:textId="77777777" w:rsidR="00A72DB1" w:rsidRDefault="00A72DB1" w:rsidP="00BA2938">
                        <w:pPr>
                          <w:spacing w:after="0" w:line="240" w:lineRule="auto"/>
                          <w:jc w:val="center"/>
                          <w:rPr>
                            <w:rFonts w:cstheme="minorHAnsi"/>
                          </w:rPr>
                        </w:pPr>
                      </w:p>
                      <w:p w14:paraId="030F0379" w14:textId="17A7A2D4" w:rsidR="00A72DB1" w:rsidRPr="00A33864" w:rsidRDefault="00A72DB1" w:rsidP="00BA2938">
                        <w:pPr>
                          <w:spacing w:after="0" w:line="240" w:lineRule="auto"/>
                          <w:jc w:val="center"/>
                          <w:rPr>
                            <w:rFonts w:cstheme="minorHAnsi"/>
                          </w:rPr>
                        </w:pPr>
                        <w:r>
                          <w:rPr>
                            <w:rFonts w:cstheme="minorHAnsi"/>
                          </w:rPr>
                          <w:t>2</w:t>
                        </w:r>
                        <w:r w:rsidRPr="00A33864">
                          <w:rPr>
                            <w:rFonts w:cstheme="minorHAnsi"/>
                          </w:rPr>
                          <w:t>0%</w:t>
                        </w:r>
                      </w:p>
                    </w:tc>
                  </w:tr>
                  <w:tr w:rsidR="00A72DB1" w:rsidRPr="00A33864" w14:paraId="313226B0" w14:textId="77777777" w:rsidTr="00A72DB1">
                    <w:trPr>
                      <w:trHeight w:val="252"/>
                    </w:trPr>
                    <w:tc>
                      <w:tcPr>
                        <w:tcW w:w="1161" w:type="dxa"/>
                        <w:shd w:val="clear" w:color="auto" w:fill="auto"/>
                      </w:tcPr>
                      <w:p w14:paraId="23545CF5" w14:textId="77777777" w:rsidR="00A72DB1" w:rsidRPr="00A33864" w:rsidRDefault="00A72DB1" w:rsidP="00BA2938">
                        <w:pPr>
                          <w:spacing w:after="0" w:line="240" w:lineRule="auto"/>
                          <w:rPr>
                            <w:rFonts w:cstheme="minorHAnsi"/>
                            <w:b/>
                            <w:i/>
                          </w:rPr>
                        </w:pPr>
                        <w:proofErr w:type="spellStart"/>
                        <w:r w:rsidRPr="00A33864">
                          <w:rPr>
                            <w:rFonts w:cstheme="minorHAnsi"/>
                            <w:b/>
                            <w:i/>
                          </w:rPr>
                          <w:t>Livrable</w:t>
                        </w:r>
                        <w:proofErr w:type="spellEnd"/>
                        <w:r w:rsidRPr="00A33864">
                          <w:rPr>
                            <w:rFonts w:cstheme="minorHAnsi"/>
                            <w:b/>
                            <w:i/>
                          </w:rPr>
                          <w:t xml:space="preserve"> 3</w:t>
                        </w:r>
                      </w:p>
                    </w:tc>
                    <w:tc>
                      <w:tcPr>
                        <w:tcW w:w="3969" w:type="dxa"/>
                      </w:tcPr>
                      <w:p w14:paraId="767EF892" w14:textId="77777777" w:rsidR="00A72DB1" w:rsidRPr="002311C4" w:rsidRDefault="00A72DB1" w:rsidP="00BA2938">
                        <w:pPr>
                          <w:spacing w:after="0" w:line="240" w:lineRule="auto"/>
                          <w:jc w:val="both"/>
                          <w:rPr>
                            <w:rFonts w:eastAsia="Calibri" w:cstheme="minorHAnsi"/>
                            <w:lang w:val="fr-FR"/>
                          </w:rPr>
                        </w:pPr>
                        <w:r w:rsidRPr="002311C4">
                          <w:rPr>
                            <w:rFonts w:eastAsia="Calibri" w:cstheme="minorHAnsi"/>
                            <w:lang w:val="fr-FR"/>
                          </w:rPr>
                          <w:t>Rapport sur l’état des lieux de l’alignement du PNIA à l’ACC</w:t>
                        </w:r>
                      </w:p>
                    </w:tc>
                    <w:tc>
                      <w:tcPr>
                        <w:tcW w:w="1559" w:type="dxa"/>
                      </w:tcPr>
                      <w:p w14:paraId="0012E384" w14:textId="77777777" w:rsidR="00A72DB1" w:rsidRPr="00A33864" w:rsidRDefault="00A72DB1" w:rsidP="00BA2938">
                        <w:pPr>
                          <w:autoSpaceDE w:val="0"/>
                          <w:autoSpaceDN w:val="0"/>
                          <w:adjustRightInd w:val="0"/>
                          <w:spacing w:after="0" w:line="240" w:lineRule="auto"/>
                          <w:rPr>
                            <w:rFonts w:eastAsia="Calibri" w:cstheme="minorHAnsi"/>
                          </w:rPr>
                        </w:pPr>
                        <w:r>
                          <w:rPr>
                            <w:rFonts w:eastAsia="Calibri" w:cstheme="minorHAnsi"/>
                          </w:rPr>
                          <w:t>20</w:t>
                        </w:r>
                        <w:r w:rsidRPr="00A33864">
                          <w:rPr>
                            <w:rFonts w:eastAsia="Calibri" w:cstheme="minorHAnsi"/>
                            <w:vertAlign w:val="superscript"/>
                          </w:rPr>
                          <w:t>ème</w:t>
                        </w:r>
                        <w:r w:rsidRPr="00A33864">
                          <w:rPr>
                            <w:rFonts w:eastAsia="Calibri" w:cstheme="minorHAnsi"/>
                          </w:rPr>
                          <w:t xml:space="preserve"> jour </w:t>
                        </w:r>
                      </w:p>
                    </w:tc>
                    <w:tc>
                      <w:tcPr>
                        <w:tcW w:w="1276" w:type="dxa"/>
                        <w:vMerge/>
                      </w:tcPr>
                      <w:p w14:paraId="6FAEF6C6" w14:textId="34017283" w:rsidR="00A72DB1" w:rsidRPr="00A33864" w:rsidRDefault="00A72DB1" w:rsidP="00BA2938">
                        <w:pPr>
                          <w:spacing w:after="0" w:line="240" w:lineRule="auto"/>
                          <w:jc w:val="center"/>
                          <w:rPr>
                            <w:rFonts w:cstheme="minorHAnsi"/>
                          </w:rPr>
                        </w:pPr>
                      </w:p>
                    </w:tc>
                  </w:tr>
                  <w:tr w:rsidR="00A72DB1" w:rsidRPr="00A33864" w14:paraId="611E8893" w14:textId="77777777" w:rsidTr="00A72DB1">
                    <w:trPr>
                      <w:trHeight w:val="258"/>
                    </w:trPr>
                    <w:tc>
                      <w:tcPr>
                        <w:tcW w:w="1161" w:type="dxa"/>
                        <w:shd w:val="clear" w:color="auto" w:fill="auto"/>
                      </w:tcPr>
                      <w:p w14:paraId="6C02FBB6" w14:textId="77777777" w:rsidR="00A72DB1" w:rsidRPr="00A33864" w:rsidRDefault="00A72DB1" w:rsidP="00BA2938">
                        <w:pPr>
                          <w:spacing w:after="0" w:line="240" w:lineRule="auto"/>
                          <w:rPr>
                            <w:rFonts w:cstheme="minorHAnsi"/>
                            <w:b/>
                            <w:i/>
                          </w:rPr>
                        </w:pPr>
                        <w:proofErr w:type="spellStart"/>
                        <w:r w:rsidRPr="00A33864">
                          <w:rPr>
                            <w:rFonts w:cstheme="minorHAnsi"/>
                            <w:b/>
                            <w:i/>
                          </w:rPr>
                          <w:t>Livrable</w:t>
                        </w:r>
                        <w:proofErr w:type="spellEnd"/>
                        <w:r w:rsidRPr="00A33864">
                          <w:rPr>
                            <w:rFonts w:cstheme="minorHAnsi"/>
                            <w:b/>
                            <w:i/>
                          </w:rPr>
                          <w:t xml:space="preserve"> 4</w:t>
                        </w:r>
                      </w:p>
                    </w:tc>
                    <w:tc>
                      <w:tcPr>
                        <w:tcW w:w="3969" w:type="dxa"/>
                      </w:tcPr>
                      <w:p w14:paraId="497F63C9" w14:textId="77777777" w:rsidR="00A72DB1" w:rsidRPr="002311C4" w:rsidRDefault="00A72DB1" w:rsidP="00BA2938">
                        <w:pPr>
                          <w:spacing w:after="0" w:line="240" w:lineRule="auto"/>
                          <w:jc w:val="both"/>
                          <w:rPr>
                            <w:rFonts w:eastAsia="Calibri" w:cstheme="minorHAnsi"/>
                            <w:lang w:val="fr-FR"/>
                          </w:rPr>
                        </w:pPr>
                        <w:r w:rsidRPr="002311C4">
                          <w:rPr>
                            <w:rFonts w:cstheme="minorHAnsi"/>
                            <w:lang w:val="fr-FR"/>
                          </w:rPr>
                          <w:t>Rapport sur les outils de suivi du MRV dans le cadre de l’ACC</w:t>
                        </w:r>
                      </w:p>
                    </w:tc>
                    <w:tc>
                      <w:tcPr>
                        <w:tcW w:w="1559" w:type="dxa"/>
                      </w:tcPr>
                      <w:p w14:paraId="3723FACD" w14:textId="77777777" w:rsidR="00A72DB1" w:rsidRPr="00A33864" w:rsidRDefault="00A72DB1" w:rsidP="00BA2938">
                        <w:pPr>
                          <w:autoSpaceDE w:val="0"/>
                          <w:autoSpaceDN w:val="0"/>
                          <w:adjustRightInd w:val="0"/>
                          <w:spacing w:after="0" w:line="240" w:lineRule="auto"/>
                          <w:rPr>
                            <w:rFonts w:eastAsia="Calibri" w:cstheme="minorHAnsi"/>
                          </w:rPr>
                        </w:pPr>
                        <w:r>
                          <w:rPr>
                            <w:rFonts w:eastAsia="Calibri" w:cstheme="minorHAnsi"/>
                          </w:rPr>
                          <w:t>35</w:t>
                        </w:r>
                        <w:r w:rsidRPr="00A33864">
                          <w:rPr>
                            <w:rFonts w:eastAsia="Calibri" w:cstheme="minorHAnsi"/>
                            <w:vertAlign w:val="superscript"/>
                          </w:rPr>
                          <w:t>ème</w:t>
                        </w:r>
                        <w:r w:rsidRPr="00A33864">
                          <w:rPr>
                            <w:rFonts w:eastAsia="Calibri" w:cstheme="minorHAnsi"/>
                          </w:rPr>
                          <w:t xml:space="preserve"> jour</w:t>
                        </w:r>
                      </w:p>
                    </w:tc>
                    <w:tc>
                      <w:tcPr>
                        <w:tcW w:w="1276" w:type="dxa"/>
                        <w:vMerge/>
                      </w:tcPr>
                      <w:p w14:paraId="7A5949B5" w14:textId="37E380CE" w:rsidR="00A72DB1" w:rsidRPr="00A33864" w:rsidRDefault="00A72DB1" w:rsidP="00BA2938">
                        <w:pPr>
                          <w:spacing w:after="0" w:line="240" w:lineRule="auto"/>
                          <w:jc w:val="center"/>
                          <w:rPr>
                            <w:rFonts w:cstheme="minorHAnsi"/>
                          </w:rPr>
                        </w:pPr>
                      </w:p>
                    </w:tc>
                  </w:tr>
                  <w:tr w:rsidR="00A72DB1" w:rsidRPr="00A33864" w14:paraId="1244C0F1" w14:textId="77777777" w:rsidTr="00A72DB1">
                    <w:trPr>
                      <w:trHeight w:val="571"/>
                    </w:trPr>
                    <w:tc>
                      <w:tcPr>
                        <w:tcW w:w="1161" w:type="dxa"/>
                        <w:shd w:val="clear" w:color="auto" w:fill="auto"/>
                      </w:tcPr>
                      <w:p w14:paraId="6B6A590D" w14:textId="77777777" w:rsidR="00A72DB1" w:rsidRPr="00A33864" w:rsidRDefault="00A72DB1" w:rsidP="00BA2938">
                        <w:pPr>
                          <w:spacing w:after="0" w:line="240" w:lineRule="auto"/>
                          <w:rPr>
                            <w:rFonts w:cstheme="minorHAnsi"/>
                            <w:b/>
                            <w:i/>
                          </w:rPr>
                        </w:pPr>
                        <w:proofErr w:type="spellStart"/>
                        <w:r w:rsidRPr="00A33864">
                          <w:rPr>
                            <w:rFonts w:cstheme="minorHAnsi"/>
                            <w:b/>
                            <w:i/>
                          </w:rPr>
                          <w:t>Livrable</w:t>
                        </w:r>
                        <w:proofErr w:type="spellEnd"/>
                        <w:r w:rsidRPr="00A33864">
                          <w:rPr>
                            <w:rFonts w:cstheme="minorHAnsi"/>
                            <w:b/>
                            <w:i/>
                          </w:rPr>
                          <w:t xml:space="preserve"> 5</w:t>
                        </w:r>
                      </w:p>
                    </w:tc>
                    <w:tc>
                      <w:tcPr>
                        <w:tcW w:w="3969" w:type="dxa"/>
                      </w:tcPr>
                      <w:p w14:paraId="69E725E8" w14:textId="77777777" w:rsidR="00A72DB1" w:rsidRPr="002311C4" w:rsidRDefault="00A72DB1" w:rsidP="00BA2938">
                        <w:pPr>
                          <w:spacing w:after="0" w:line="240" w:lineRule="auto"/>
                          <w:jc w:val="both"/>
                          <w:rPr>
                            <w:rFonts w:cstheme="minorHAnsi"/>
                            <w:lang w:val="fr-FR"/>
                          </w:rPr>
                        </w:pPr>
                        <w:r w:rsidRPr="002311C4">
                          <w:rPr>
                            <w:rFonts w:eastAsia="Calibri" w:cstheme="minorHAnsi"/>
                            <w:lang w:val="fr-FR"/>
                          </w:rPr>
                          <w:t>Guide méthodologique pour l’alignement de l’ACC dans le PNIA, le PNSD et les PDP</w:t>
                        </w:r>
                      </w:p>
                    </w:tc>
                    <w:tc>
                      <w:tcPr>
                        <w:tcW w:w="1559" w:type="dxa"/>
                      </w:tcPr>
                      <w:p w14:paraId="63A61B8E" w14:textId="77777777" w:rsidR="00A72DB1" w:rsidRPr="00A33864" w:rsidRDefault="00A72DB1" w:rsidP="00BA2938">
                        <w:pPr>
                          <w:autoSpaceDE w:val="0"/>
                          <w:autoSpaceDN w:val="0"/>
                          <w:adjustRightInd w:val="0"/>
                          <w:spacing w:after="0" w:line="240" w:lineRule="auto"/>
                          <w:rPr>
                            <w:rFonts w:eastAsia="Calibri" w:cstheme="minorHAnsi"/>
                          </w:rPr>
                        </w:pPr>
                        <w:r>
                          <w:rPr>
                            <w:rFonts w:eastAsia="Calibri" w:cstheme="minorHAnsi"/>
                          </w:rPr>
                          <w:t>40</w:t>
                        </w:r>
                        <w:r w:rsidRPr="00A33864">
                          <w:rPr>
                            <w:rFonts w:eastAsia="Calibri" w:cstheme="minorHAnsi"/>
                            <w:vertAlign w:val="superscript"/>
                          </w:rPr>
                          <w:t>ème</w:t>
                        </w:r>
                        <w:r w:rsidRPr="00A33864">
                          <w:rPr>
                            <w:rFonts w:eastAsia="Calibri" w:cstheme="minorHAnsi"/>
                          </w:rPr>
                          <w:t xml:space="preserve"> jour </w:t>
                        </w:r>
                      </w:p>
                    </w:tc>
                    <w:tc>
                      <w:tcPr>
                        <w:tcW w:w="1276" w:type="dxa"/>
                        <w:vMerge w:val="restart"/>
                      </w:tcPr>
                      <w:p w14:paraId="767C1476" w14:textId="77777777" w:rsidR="00A72DB1" w:rsidRPr="00A33864" w:rsidRDefault="00A72DB1" w:rsidP="00BA2938">
                        <w:pPr>
                          <w:spacing w:after="0" w:line="240" w:lineRule="auto"/>
                          <w:jc w:val="center"/>
                          <w:rPr>
                            <w:rFonts w:cstheme="minorHAnsi"/>
                          </w:rPr>
                        </w:pPr>
                        <w:r w:rsidRPr="00A33864">
                          <w:rPr>
                            <w:rFonts w:cstheme="minorHAnsi"/>
                          </w:rPr>
                          <w:t>1</w:t>
                        </w:r>
                        <w:r>
                          <w:rPr>
                            <w:rFonts w:cstheme="minorHAnsi"/>
                          </w:rPr>
                          <w:t>5</w:t>
                        </w:r>
                        <w:r w:rsidRPr="00A33864">
                          <w:rPr>
                            <w:rFonts w:cstheme="minorHAnsi"/>
                          </w:rPr>
                          <w:t>%</w:t>
                        </w:r>
                      </w:p>
                    </w:tc>
                  </w:tr>
                  <w:tr w:rsidR="00A72DB1" w:rsidRPr="00A33864" w14:paraId="12AAC62A" w14:textId="77777777" w:rsidTr="00A72DB1">
                    <w:trPr>
                      <w:trHeight w:val="571"/>
                    </w:trPr>
                    <w:tc>
                      <w:tcPr>
                        <w:tcW w:w="1161" w:type="dxa"/>
                        <w:shd w:val="clear" w:color="auto" w:fill="auto"/>
                      </w:tcPr>
                      <w:p w14:paraId="72AAA721" w14:textId="77777777" w:rsidR="00A72DB1" w:rsidRPr="00A33864" w:rsidRDefault="00A72DB1" w:rsidP="00BA2938">
                        <w:pPr>
                          <w:spacing w:after="0" w:line="240" w:lineRule="auto"/>
                          <w:rPr>
                            <w:rFonts w:cstheme="minorHAnsi"/>
                            <w:b/>
                            <w:i/>
                          </w:rPr>
                        </w:pPr>
                        <w:proofErr w:type="spellStart"/>
                        <w:r w:rsidRPr="00A33864">
                          <w:rPr>
                            <w:rFonts w:cstheme="minorHAnsi"/>
                            <w:b/>
                            <w:i/>
                          </w:rPr>
                          <w:t>Livrable</w:t>
                        </w:r>
                        <w:proofErr w:type="spellEnd"/>
                        <w:r w:rsidRPr="00A33864">
                          <w:rPr>
                            <w:rFonts w:cstheme="minorHAnsi"/>
                            <w:b/>
                            <w:i/>
                          </w:rPr>
                          <w:t xml:space="preserve"> 6</w:t>
                        </w:r>
                      </w:p>
                    </w:tc>
                    <w:tc>
                      <w:tcPr>
                        <w:tcW w:w="3969" w:type="dxa"/>
                      </w:tcPr>
                      <w:p w14:paraId="17DA8511" w14:textId="77777777" w:rsidR="00A72DB1" w:rsidRPr="002311C4" w:rsidRDefault="00A72DB1" w:rsidP="00BA2938">
                        <w:pPr>
                          <w:spacing w:after="0" w:line="240" w:lineRule="auto"/>
                          <w:jc w:val="both"/>
                          <w:rPr>
                            <w:rFonts w:eastAsia="Calibri" w:cstheme="minorHAnsi"/>
                            <w:lang w:val="fr-FR"/>
                          </w:rPr>
                        </w:pPr>
                        <w:r w:rsidRPr="002311C4">
                          <w:rPr>
                            <w:rFonts w:eastAsia="Calibri" w:cstheme="minorHAnsi"/>
                            <w:lang w:val="fr-FR"/>
                          </w:rPr>
                          <w:t>Plan de renforcement des capacités</w:t>
                        </w:r>
                      </w:p>
                    </w:tc>
                    <w:tc>
                      <w:tcPr>
                        <w:tcW w:w="1559" w:type="dxa"/>
                      </w:tcPr>
                      <w:p w14:paraId="352F9C31" w14:textId="77777777" w:rsidR="00A72DB1" w:rsidRPr="00A33864" w:rsidRDefault="00A72DB1" w:rsidP="00BA2938">
                        <w:pPr>
                          <w:autoSpaceDE w:val="0"/>
                          <w:autoSpaceDN w:val="0"/>
                          <w:adjustRightInd w:val="0"/>
                          <w:spacing w:after="0" w:line="240" w:lineRule="auto"/>
                          <w:rPr>
                            <w:rFonts w:eastAsia="Calibri" w:cstheme="minorHAnsi"/>
                          </w:rPr>
                        </w:pPr>
                        <w:r>
                          <w:rPr>
                            <w:rFonts w:eastAsia="Calibri" w:cstheme="minorHAnsi"/>
                          </w:rPr>
                          <w:t>4</w:t>
                        </w:r>
                        <w:r w:rsidRPr="00A33864">
                          <w:rPr>
                            <w:rFonts w:eastAsia="Calibri" w:cstheme="minorHAnsi"/>
                          </w:rPr>
                          <w:t>5</w:t>
                        </w:r>
                        <w:r w:rsidRPr="00A33864">
                          <w:rPr>
                            <w:rFonts w:eastAsia="Calibri" w:cstheme="minorHAnsi"/>
                            <w:vertAlign w:val="superscript"/>
                          </w:rPr>
                          <w:t>ème</w:t>
                        </w:r>
                        <w:r w:rsidRPr="00A33864">
                          <w:rPr>
                            <w:rFonts w:eastAsia="Calibri" w:cstheme="minorHAnsi"/>
                          </w:rPr>
                          <w:t xml:space="preserve"> jour</w:t>
                        </w:r>
                      </w:p>
                    </w:tc>
                    <w:tc>
                      <w:tcPr>
                        <w:tcW w:w="1276" w:type="dxa"/>
                        <w:vMerge/>
                      </w:tcPr>
                      <w:p w14:paraId="7E87D46C" w14:textId="77777777" w:rsidR="00A72DB1" w:rsidRPr="00A33864" w:rsidRDefault="00A72DB1" w:rsidP="00BA2938">
                        <w:pPr>
                          <w:spacing w:after="0" w:line="240" w:lineRule="auto"/>
                          <w:jc w:val="center"/>
                          <w:rPr>
                            <w:rFonts w:cstheme="minorHAnsi"/>
                          </w:rPr>
                        </w:pPr>
                      </w:p>
                    </w:tc>
                  </w:tr>
                  <w:tr w:rsidR="00A72DB1" w:rsidRPr="00A33864" w14:paraId="54F5DF96" w14:textId="77777777" w:rsidTr="00A72DB1">
                    <w:trPr>
                      <w:trHeight w:val="643"/>
                    </w:trPr>
                    <w:tc>
                      <w:tcPr>
                        <w:tcW w:w="1161" w:type="dxa"/>
                        <w:shd w:val="clear" w:color="auto" w:fill="auto"/>
                      </w:tcPr>
                      <w:p w14:paraId="3C8106BC" w14:textId="77777777" w:rsidR="00A72DB1" w:rsidRPr="00A33864" w:rsidRDefault="00A72DB1" w:rsidP="00BA2938">
                        <w:pPr>
                          <w:spacing w:after="0" w:line="240" w:lineRule="auto"/>
                          <w:rPr>
                            <w:rFonts w:cstheme="minorHAnsi"/>
                            <w:b/>
                            <w:i/>
                          </w:rPr>
                        </w:pPr>
                        <w:proofErr w:type="spellStart"/>
                        <w:r w:rsidRPr="00A33864">
                          <w:rPr>
                            <w:rFonts w:cstheme="minorHAnsi"/>
                            <w:b/>
                            <w:i/>
                          </w:rPr>
                          <w:t>Livrable</w:t>
                        </w:r>
                        <w:proofErr w:type="spellEnd"/>
                        <w:r w:rsidRPr="00A33864">
                          <w:rPr>
                            <w:rFonts w:cstheme="minorHAnsi"/>
                            <w:b/>
                            <w:i/>
                          </w:rPr>
                          <w:t xml:space="preserve"> 7</w:t>
                        </w:r>
                      </w:p>
                    </w:tc>
                    <w:tc>
                      <w:tcPr>
                        <w:tcW w:w="3969" w:type="dxa"/>
                      </w:tcPr>
                      <w:p w14:paraId="3CEC2D18" w14:textId="77777777" w:rsidR="00A72DB1" w:rsidRPr="002311C4" w:rsidRDefault="00A72DB1" w:rsidP="00BA2938">
                        <w:pPr>
                          <w:pStyle w:val="Paragraphedeliste"/>
                          <w:numPr>
                            <w:ilvl w:val="0"/>
                            <w:numId w:val="22"/>
                          </w:numPr>
                          <w:spacing w:after="0" w:line="240" w:lineRule="auto"/>
                          <w:ind w:left="28"/>
                          <w:jc w:val="both"/>
                          <w:rPr>
                            <w:rFonts w:cstheme="minorHAnsi"/>
                            <w:lang w:val="fr-FR"/>
                          </w:rPr>
                        </w:pPr>
                        <w:r w:rsidRPr="002311C4">
                          <w:rPr>
                            <w:rFonts w:cstheme="minorHAnsi"/>
                            <w:lang w:val="fr-FR"/>
                          </w:rPr>
                          <w:t>Rapport général de la mission</w:t>
                        </w:r>
                      </w:p>
                    </w:tc>
                    <w:tc>
                      <w:tcPr>
                        <w:tcW w:w="1559" w:type="dxa"/>
                      </w:tcPr>
                      <w:p w14:paraId="4B8AC08B" w14:textId="77777777" w:rsidR="00A72DB1" w:rsidRPr="00A33864" w:rsidRDefault="00A72DB1" w:rsidP="00BA2938">
                        <w:pPr>
                          <w:autoSpaceDE w:val="0"/>
                          <w:autoSpaceDN w:val="0"/>
                          <w:adjustRightInd w:val="0"/>
                          <w:spacing w:after="0" w:line="240" w:lineRule="auto"/>
                          <w:rPr>
                            <w:rFonts w:eastAsia="Calibri" w:cstheme="minorHAnsi"/>
                          </w:rPr>
                        </w:pPr>
                        <w:r>
                          <w:rPr>
                            <w:rFonts w:eastAsia="Calibri" w:cstheme="minorHAnsi"/>
                          </w:rPr>
                          <w:t>5</w:t>
                        </w:r>
                        <w:r w:rsidRPr="00A33864">
                          <w:rPr>
                            <w:rFonts w:eastAsia="Calibri" w:cstheme="minorHAnsi"/>
                          </w:rPr>
                          <w:t>0</w:t>
                        </w:r>
                        <w:r w:rsidRPr="00A33864">
                          <w:rPr>
                            <w:rFonts w:eastAsia="Calibri" w:cstheme="minorHAnsi"/>
                            <w:vertAlign w:val="superscript"/>
                          </w:rPr>
                          <w:t>ème</w:t>
                        </w:r>
                        <w:r w:rsidRPr="00A33864">
                          <w:rPr>
                            <w:rFonts w:eastAsia="Calibri" w:cstheme="minorHAnsi"/>
                          </w:rPr>
                          <w:t xml:space="preserve"> jour</w:t>
                        </w:r>
                      </w:p>
                    </w:tc>
                    <w:tc>
                      <w:tcPr>
                        <w:tcW w:w="1276" w:type="dxa"/>
                      </w:tcPr>
                      <w:p w14:paraId="250971A2" w14:textId="77777777" w:rsidR="00A72DB1" w:rsidRPr="00A33864" w:rsidRDefault="00A72DB1" w:rsidP="00BA2938">
                        <w:pPr>
                          <w:spacing w:after="0" w:line="240" w:lineRule="auto"/>
                          <w:jc w:val="center"/>
                          <w:rPr>
                            <w:rFonts w:cstheme="minorHAnsi"/>
                          </w:rPr>
                        </w:pPr>
                        <w:r>
                          <w:rPr>
                            <w:rFonts w:cstheme="minorHAnsi"/>
                          </w:rPr>
                          <w:t>4</w:t>
                        </w:r>
                        <w:r w:rsidRPr="00A33864">
                          <w:rPr>
                            <w:rFonts w:cstheme="minorHAnsi"/>
                          </w:rPr>
                          <w:t>0%</w:t>
                        </w:r>
                      </w:p>
                    </w:tc>
                  </w:tr>
                </w:tbl>
                <w:p w14:paraId="778F5C46" w14:textId="77777777" w:rsidR="00BA2938" w:rsidRPr="00A33864" w:rsidRDefault="00BA2938" w:rsidP="00BA2938">
                  <w:pPr>
                    <w:spacing w:after="0" w:line="240" w:lineRule="auto"/>
                    <w:ind w:left="720"/>
                    <w:jc w:val="both"/>
                    <w:rPr>
                      <w:rFonts w:eastAsia="Times New Roman" w:cstheme="minorHAnsi"/>
                      <w:sz w:val="24"/>
                      <w:szCs w:val="24"/>
                      <w:lang w:val="fr-FR"/>
                    </w:rPr>
                  </w:pPr>
                </w:p>
              </w:tc>
            </w:tr>
          </w:tbl>
          <w:p w14:paraId="265413DE" w14:textId="77777777" w:rsidR="008800F4" w:rsidRPr="0096270F" w:rsidRDefault="008800F4" w:rsidP="008800F4">
            <w:pPr>
              <w:jc w:val="both"/>
              <w:rPr>
                <w:rFonts w:cstheme="minorHAnsi"/>
                <w:b/>
                <w:lang w:val="fr-FR"/>
              </w:rPr>
            </w:pPr>
          </w:p>
          <w:p w14:paraId="028AE3D9" w14:textId="77777777" w:rsidR="00BF6263" w:rsidRPr="0096270F" w:rsidRDefault="00BF6263" w:rsidP="00167362">
            <w:pPr>
              <w:jc w:val="both"/>
              <w:rPr>
                <w:rFonts w:cstheme="minorHAnsi"/>
                <w:lang w:val="fr-FR"/>
              </w:rPr>
            </w:pPr>
          </w:p>
        </w:tc>
      </w:tr>
    </w:tbl>
    <w:p w14:paraId="4C44B189" w14:textId="77777777" w:rsidR="00B270C3" w:rsidRPr="0096270F" w:rsidRDefault="00B270C3" w:rsidP="00A24134">
      <w:pPr>
        <w:rPr>
          <w:rFonts w:cstheme="minorHAnsi"/>
          <w:b/>
          <w:lang w:val="fr-FR"/>
        </w:rPr>
      </w:pPr>
    </w:p>
    <w:p w14:paraId="185C6B01" w14:textId="77777777" w:rsidR="00916940" w:rsidRPr="0096270F" w:rsidRDefault="00916940" w:rsidP="00916940">
      <w:pPr>
        <w:jc w:val="both"/>
        <w:rPr>
          <w:rFonts w:cstheme="minorHAnsi"/>
          <w:b/>
          <w:lang w:val="fr-FR"/>
        </w:rPr>
      </w:pPr>
      <w:r w:rsidRPr="0096270F">
        <w:rPr>
          <w:rFonts w:cstheme="minorHAnsi"/>
          <w:b/>
          <w:lang w:val="fr-FR"/>
        </w:rPr>
        <w:t>4. Durée de la mission </w:t>
      </w:r>
    </w:p>
    <w:tbl>
      <w:tblPr>
        <w:tblStyle w:val="Grilledutableau"/>
        <w:tblW w:w="9360" w:type="dxa"/>
        <w:tblLook w:val="04A0" w:firstRow="1" w:lastRow="0" w:firstColumn="1" w:lastColumn="0" w:noHBand="0" w:noVBand="1"/>
      </w:tblPr>
      <w:tblGrid>
        <w:gridCol w:w="9360"/>
      </w:tblGrid>
      <w:tr w:rsidR="00916940" w:rsidRPr="002311C4" w14:paraId="6AEC4A59" w14:textId="77777777" w:rsidTr="00BD6056">
        <w:tc>
          <w:tcPr>
            <w:tcW w:w="9360" w:type="dxa"/>
          </w:tcPr>
          <w:p w14:paraId="2C81D05E" w14:textId="77777777" w:rsidR="00916940" w:rsidRPr="0096270F" w:rsidRDefault="00916940" w:rsidP="00BD6056">
            <w:pPr>
              <w:jc w:val="both"/>
              <w:rPr>
                <w:rFonts w:eastAsia="Calibri" w:cstheme="minorHAnsi"/>
                <w:lang w:val="fr-FR"/>
              </w:rPr>
            </w:pPr>
          </w:p>
          <w:p w14:paraId="0E986630" w14:textId="6AE17487" w:rsidR="00916940" w:rsidRDefault="00A7756F" w:rsidP="00BD6056">
            <w:pPr>
              <w:jc w:val="both"/>
              <w:rPr>
                <w:rFonts w:eastAsia="Calibri" w:cstheme="minorHAnsi"/>
                <w:lang w:val="fr-FR"/>
              </w:rPr>
            </w:pPr>
            <w:r w:rsidRPr="00A7756F">
              <w:rPr>
                <w:rFonts w:eastAsia="Calibri" w:cstheme="minorHAnsi"/>
                <w:lang w:val="fr-FR"/>
              </w:rPr>
              <w:t>Le nombre total de jours de travail dans le cadre de ce contrat alloué au consultant national sera de 50</w:t>
            </w:r>
            <w:r>
              <w:rPr>
                <w:rFonts w:eastAsia="Calibri" w:cstheme="minorHAnsi"/>
                <w:lang w:val="fr-FR"/>
              </w:rPr>
              <w:t xml:space="preserve"> jours ouvrables</w:t>
            </w:r>
            <w:r w:rsidRPr="00A7756F">
              <w:rPr>
                <w:rFonts w:eastAsia="Calibri" w:cstheme="minorHAnsi"/>
                <w:lang w:val="fr-FR"/>
              </w:rPr>
              <w:t xml:space="preserve"> répartis sur 90 jours calendaires afin de permettre au PNUD et aux partenaires concernés d’apporter leurs observations sur le rapport et organiser l’atelier de restitution.</w:t>
            </w:r>
            <w:r>
              <w:rPr>
                <w:rFonts w:eastAsia="Calibri" w:cstheme="minorHAnsi"/>
                <w:lang w:val="fr-FR"/>
              </w:rPr>
              <w:t xml:space="preserve"> </w:t>
            </w:r>
          </w:p>
          <w:p w14:paraId="0B23792C" w14:textId="0601D015" w:rsidR="00881ADC" w:rsidRPr="0096270F" w:rsidRDefault="00881ADC" w:rsidP="00BD6056">
            <w:pPr>
              <w:jc w:val="both"/>
              <w:rPr>
                <w:rFonts w:eastAsia="Calibri" w:cstheme="minorHAnsi"/>
                <w:lang w:val="fr-FR"/>
              </w:rPr>
            </w:pPr>
          </w:p>
        </w:tc>
      </w:tr>
    </w:tbl>
    <w:p w14:paraId="7742E13D" w14:textId="6B1C5F00" w:rsidR="00550CF0" w:rsidRDefault="00550CF0" w:rsidP="00A24134">
      <w:pPr>
        <w:rPr>
          <w:rFonts w:cstheme="minorHAnsi"/>
          <w:b/>
          <w:lang w:val="fr-FR"/>
        </w:rPr>
      </w:pPr>
    </w:p>
    <w:p w14:paraId="3A756575" w14:textId="77777777" w:rsidR="00A72DB1" w:rsidRDefault="00A72DB1" w:rsidP="00A24134">
      <w:pPr>
        <w:rPr>
          <w:rFonts w:cstheme="minorHAnsi"/>
          <w:b/>
          <w:lang w:val="fr-FR"/>
        </w:rPr>
      </w:pPr>
    </w:p>
    <w:p w14:paraId="71EFAA7E" w14:textId="77777777" w:rsidR="00B270C3" w:rsidRPr="0096270F" w:rsidRDefault="00B270C3" w:rsidP="00A24134">
      <w:pPr>
        <w:rPr>
          <w:rFonts w:cstheme="minorHAnsi"/>
          <w:b/>
          <w:lang w:val="fr-FR"/>
        </w:rPr>
      </w:pPr>
    </w:p>
    <w:p w14:paraId="5BC7C869" w14:textId="77777777" w:rsidR="002223E0" w:rsidRPr="0096270F" w:rsidRDefault="0008283A" w:rsidP="00A24134">
      <w:pPr>
        <w:rPr>
          <w:rFonts w:cstheme="minorHAnsi"/>
          <w:b/>
          <w:lang w:val="fr-FR"/>
        </w:rPr>
      </w:pPr>
      <w:r w:rsidRPr="0096270F">
        <w:rPr>
          <w:rFonts w:cstheme="minorHAnsi"/>
          <w:b/>
          <w:lang w:val="fr-FR"/>
        </w:rPr>
        <w:lastRenderedPageBreak/>
        <w:t xml:space="preserve">5. </w:t>
      </w:r>
      <w:r w:rsidR="00BF6263" w:rsidRPr="0096270F">
        <w:rPr>
          <w:rFonts w:cstheme="minorHAnsi"/>
          <w:b/>
          <w:lang w:val="fr-FR"/>
        </w:rPr>
        <w:t xml:space="preserve"> </w:t>
      </w:r>
      <w:r w:rsidR="00550CF0" w:rsidRPr="0096270F">
        <w:rPr>
          <w:rFonts w:cstheme="minorHAnsi"/>
          <w:b/>
          <w:lang w:val="fr-FR"/>
        </w:rPr>
        <w:t>Qualifications et Expérience requises</w:t>
      </w:r>
    </w:p>
    <w:tbl>
      <w:tblPr>
        <w:tblStyle w:val="Grilledutableau"/>
        <w:tblW w:w="0" w:type="auto"/>
        <w:tblLook w:val="04A0" w:firstRow="1" w:lastRow="0" w:firstColumn="1" w:lastColumn="0" w:noHBand="0" w:noVBand="1"/>
      </w:tblPr>
      <w:tblGrid>
        <w:gridCol w:w="9350"/>
      </w:tblGrid>
      <w:tr w:rsidR="00443E94" w:rsidRPr="002311C4" w14:paraId="0C894F8F" w14:textId="77777777" w:rsidTr="00443E94">
        <w:tc>
          <w:tcPr>
            <w:tcW w:w="9576" w:type="dxa"/>
          </w:tcPr>
          <w:p w14:paraId="741B0426" w14:textId="075A51C7" w:rsidR="009A47F3" w:rsidRPr="00AA1E8C" w:rsidRDefault="00CB2556" w:rsidP="009A47F3">
            <w:pPr>
              <w:spacing w:before="120" w:after="120" w:line="288" w:lineRule="auto"/>
              <w:jc w:val="both"/>
              <w:rPr>
                <w:rFonts w:cstheme="minorHAnsi"/>
                <w:u w:val="single"/>
                <w:lang w:val="fr-FR"/>
              </w:rPr>
            </w:pPr>
            <w:r w:rsidRPr="00AA1E8C">
              <w:rPr>
                <w:rFonts w:cstheme="minorHAnsi"/>
                <w:u w:val="single"/>
                <w:lang w:val="fr-FR"/>
              </w:rPr>
              <w:t>I.</w:t>
            </w:r>
            <w:r w:rsidR="009A47F3" w:rsidRPr="00AA1E8C">
              <w:rPr>
                <w:rFonts w:cstheme="minorHAnsi"/>
                <w:u w:val="single"/>
                <w:lang w:val="fr-FR"/>
              </w:rPr>
              <w:t xml:space="preserve"> Qualifications académiques :</w:t>
            </w:r>
          </w:p>
          <w:p w14:paraId="5DBE71AC" w14:textId="77777777" w:rsidR="00A7756F" w:rsidRPr="00A33864" w:rsidRDefault="00A7756F" w:rsidP="00A7756F">
            <w:pPr>
              <w:jc w:val="both"/>
              <w:rPr>
                <w:rFonts w:eastAsia="Times New Roman" w:cstheme="minorHAnsi"/>
                <w:sz w:val="24"/>
                <w:szCs w:val="24"/>
                <w:lang w:val="fr-FR"/>
              </w:rPr>
            </w:pPr>
            <w:r w:rsidRPr="00A33864">
              <w:rPr>
                <w:rFonts w:eastAsia="Times New Roman" w:cstheme="minorHAnsi"/>
                <w:sz w:val="24"/>
                <w:szCs w:val="24"/>
                <w:lang w:val="fr-FR"/>
              </w:rPr>
              <w:t>Master ou plus en science</w:t>
            </w:r>
            <w:r>
              <w:rPr>
                <w:rFonts w:eastAsia="Times New Roman" w:cstheme="minorHAnsi"/>
                <w:sz w:val="24"/>
                <w:szCs w:val="24"/>
                <w:lang w:val="fr-FR"/>
              </w:rPr>
              <w:t>s</w:t>
            </w:r>
            <w:r w:rsidRPr="00A33864">
              <w:rPr>
                <w:rFonts w:eastAsia="Times New Roman" w:cstheme="minorHAnsi"/>
                <w:sz w:val="24"/>
                <w:szCs w:val="24"/>
                <w:lang w:val="fr-FR"/>
              </w:rPr>
              <w:t xml:space="preserve"> climatique</w:t>
            </w:r>
            <w:r>
              <w:rPr>
                <w:rFonts w:eastAsia="Times New Roman" w:cstheme="minorHAnsi"/>
                <w:sz w:val="24"/>
                <w:szCs w:val="24"/>
                <w:lang w:val="fr-FR"/>
              </w:rPr>
              <w:t>s</w:t>
            </w:r>
            <w:r w:rsidRPr="00A33864">
              <w:rPr>
                <w:rFonts w:eastAsia="Times New Roman" w:cstheme="minorHAnsi"/>
                <w:sz w:val="24"/>
                <w:szCs w:val="24"/>
                <w:lang w:val="fr-FR"/>
              </w:rPr>
              <w:t xml:space="preserve"> ou environnementale</w:t>
            </w:r>
            <w:r>
              <w:rPr>
                <w:rFonts w:eastAsia="Times New Roman" w:cstheme="minorHAnsi"/>
                <w:sz w:val="24"/>
                <w:szCs w:val="24"/>
                <w:lang w:val="fr-FR"/>
              </w:rPr>
              <w:t>s</w:t>
            </w:r>
            <w:r w:rsidRPr="00A33864">
              <w:rPr>
                <w:rFonts w:eastAsia="Times New Roman" w:cstheme="minorHAnsi"/>
                <w:sz w:val="24"/>
                <w:szCs w:val="24"/>
                <w:lang w:val="fr-FR"/>
              </w:rPr>
              <w:t>, en science</w:t>
            </w:r>
            <w:r>
              <w:rPr>
                <w:rFonts w:eastAsia="Times New Roman" w:cstheme="minorHAnsi"/>
                <w:sz w:val="24"/>
                <w:szCs w:val="24"/>
                <w:lang w:val="fr-FR"/>
              </w:rPr>
              <w:t>s</w:t>
            </w:r>
            <w:r w:rsidRPr="00A33864">
              <w:rPr>
                <w:rFonts w:eastAsia="Times New Roman" w:cstheme="minorHAnsi"/>
                <w:sz w:val="24"/>
                <w:szCs w:val="24"/>
                <w:lang w:val="fr-FR"/>
              </w:rPr>
              <w:t xml:space="preserve"> de développement ou un de ces domaines connexes</w:t>
            </w:r>
          </w:p>
          <w:p w14:paraId="4ECFA813" w14:textId="77777777" w:rsidR="009A47F3" w:rsidRPr="00AA1E8C" w:rsidRDefault="009A47F3" w:rsidP="009A47F3">
            <w:pPr>
              <w:spacing w:before="120" w:after="120" w:line="288" w:lineRule="auto"/>
              <w:jc w:val="both"/>
              <w:rPr>
                <w:rFonts w:cstheme="minorHAnsi"/>
                <w:u w:val="single"/>
                <w:lang w:val="fr-FR"/>
              </w:rPr>
            </w:pPr>
            <w:r w:rsidRPr="00AA1E8C">
              <w:rPr>
                <w:rFonts w:cstheme="minorHAnsi"/>
                <w:u w:val="single"/>
                <w:lang w:val="fr-FR"/>
              </w:rPr>
              <w:t xml:space="preserve">II. </w:t>
            </w:r>
            <w:r>
              <w:rPr>
                <w:rFonts w:cstheme="minorHAnsi"/>
                <w:u w:val="single"/>
                <w:lang w:val="fr-FR"/>
              </w:rPr>
              <w:t>E</w:t>
            </w:r>
            <w:r w:rsidRPr="00AA1E8C">
              <w:rPr>
                <w:rFonts w:cstheme="minorHAnsi"/>
                <w:u w:val="single"/>
                <w:lang w:val="fr-FR"/>
              </w:rPr>
              <w:t>xpérience :</w:t>
            </w:r>
          </w:p>
          <w:p w14:paraId="5B56FB2C" w14:textId="77777777" w:rsidR="00A7756F" w:rsidRPr="00E34B08" w:rsidRDefault="00A7756F" w:rsidP="00A7756F">
            <w:pPr>
              <w:pStyle w:val="Paragraphedeliste"/>
              <w:numPr>
                <w:ilvl w:val="0"/>
                <w:numId w:val="8"/>
              </w:numPr>
              <w:jc w:val="both"/>
              <w:rPr>
                <w:rFonts w:eastAsia="Times New Roman" w:cstheme="minorHAnsi"/>
                <w:sz w:val="24"/>
                <w:szCs w:val="24"/>
                <w:lang w:val="fr-FR"/>
              </w:rPr>
            </w:pPr>
            <w:r w:rsidRPr="00E34B08">
              <w:rPr>
                <w:rFonts w:eastAsia="Times New Roman" w:cstheme="minorHAnsi"/>
                <w:sz w:val="24"/>
                <w:szCs w:val="24"/>
                <w:lang w:val="fr-FR"/>
              </w:rPr>
              <w:t>Minimum de 8 années d'expérience professionnelle dans l’alignement des priorités d’environnement dans la planification au développement ;</w:t>
            </w:r>
          </w:p>
          <w:p w14:paraId="32EEB37B" w14:textId="77777777" w:rsidR="00A7756F" w:rsidRPr="00E34B08" w:rsidRDefault="00A7756F" w:rsidP="00A7756F">
            <w:pPr>
              <w:pStyle w:val="Paragraphedeliste"/>
              <w:numPr>
                <w:ilvl w:val="0"/>
                <w:numId w:val="8"/>
              </w:numPr>
              <w:jc w:val="both"/>
              <w:rPr>
                <w:rFonts w:eastAsia="Times New Roman" w:cstheme="minorHAnsi"/>
                <w:sz w:val="24"/>
                <w:szCs w:val="24"/>
                <w:lang w:val="fr-FR"/>
              </w:rPr>
            </w:pPr>
            <w:r w:rsidRPr="00E34B08">
              <w:rPr>
                <w:rFonts w:eastAsia="Times New Roman" w:cstheme="minorHAnsi"/>
                <w:sz w:val="24"/>
                <w:szCs w:val="24"/>
                <w:lang w:val="fr-FR"/>
              </w:rPr>
              <w:t>Expériences prouvées, dans un pays en développement et de préférence en Afrique Centrale, sur la prise en compte des thématiques transversales dans les politiques publiques</w:t>
            </w:r>
            <w:r w:rsidRPr="002311C4">
              <w:rPr>
                <w:rFonts w:cstheme="minorHAnsi"/>
                <w:sz w:val="24"/>
                <w:szCs w:val="24"/>
                <w:lang w:val="fr-FR"/>
              </w:rPr>
              <w:t> ;</w:t>
            </w:r>
          </w:p>
          <w:p w14:paraId="709A1362" w14:textId="77777777" w:rsidR="00A7756F" w:rsidRPr="00A7756F" w:rsidRDefault="00A7756F" w:rsidP="00A7756F">
            <w:pPr>
              <w:pStyle w:val="Paragraphedeliste"/>
              <w:numPr>
                <w:ilvl w:val="0"/>
                <w:numId w:val="8"/>
              </w:numPr>
              <w:tabs>
                <w:tab w:val="left" w:pos="1276"/>
              </w:tabs>
              <w:spacing w:after="200" w:line="276" w:lineRule="auto"/>
              <w:jc w:val="both"/>
              <w:rPr>
                <w:rFonts w:cstheme="minorHAnsi"/>
                <w:lang w:val="fr-FR"/>
              </w:rPr>
            </w:pPr>
            <w:r w:rsidRPr="00E34B08">
              <w:rPr>
                <w:rFonts w:eastAsia="Times New Roman" w:cstheme="minorHAnsi"/>
                <w:sz w:val="24"/>
                <w:szCs w:val="24"/>
                <w:lang w:val="fr-FR"/>
              </w:rPr>
              <w:t>Au moins 3 expériences d’analyse institutionnelle à divers niveaux, sur les questions d’alignement des priorités de développement aux instruments de planification.</w:t>
            </w:r>
          </w:p>
          <w:p w14:paraId="51EEA11C" w14:textId="77777777" w:rsidR="009A47F3" w:rsidRPr="00AA1E8C" w:rsidRDefault="009A47F3" w:rsidP="009A47F3">
            <w:pPr>
              <w:spacing w:before="120" w:after="120" w:line="288" w:lineRule="auto"/>
              <w:jc w:val="both"/>
              <w:rPr>
                <w:rFonts w:cstheme="minorHAnsi"/>
                <w:u w:val="single"/>
                <w:lang w:val="fr-FR"/>
              </w:rPr>
            </w:pPr>
            <w:r>
              <w:rPr>
                <w:rFonts w:cstheme="minorHAnsi"/>
                <w:u w:val="single"/>
                <w:lang w:val="fr-FR"/>
              </w:rPr>
              <w:t>III.</w:t>
            </w:r>
            <w:r w:rsidRPr="00AA1E8C">
              <w:rPr>
                <w:rFonts w:cstheme="minorHAnsi"/>
                <w:u w:val="single"/>
                <w:lang w:val="fr-FR"/>
              </w:rPr>
              <w:t xml:space="preserve"> :</w:t>
            </w:r>
            <w:r>
              <w:rPr>
                <w:rFonts w:cstheme="minorHAnsi"/>
                <w:u w:val="single"/>
                <w:lang w:val="fr-FR"/>
              </w:rPr>
              <w:t xml:space="preserve"> Langues</w:t>
            </w:r>
          </w:p>
          <w:p w14:paraId="2BDCBD9E" w14:textId="77777777" w:rsidR="00313992" w:rsidRPr="00A33864" w:rsidRDefault="00313992" w:rsidP="00313992">
            <w:pPr>
              <w:jc w:val="both"/>
              <w:rPr>
                <w:rFonts w:eastAsia="Times New Roman" w:cstheme="minorHAnsi"/>
                <w:sz w:val="24"/>
                <w:szCs w:val="24"/>
                <w:lang w:val="fr-FR"/>
              </w:rPr>
            </w:pPr>
            <w:r w:rsidRPr="00A33864">
              <w:rPr>
                <w:rFonts w:eastAsia="Times New Roman" w:cstheme="minorHAnsi"/>
                <w:sz w:val="24"/>
                <w:szCs w:val="24"/>
                <w:lang w:val="fr-FR"/>
              </w:rPr>
              <w:t xml:space="preserve">Une bonne maîtrise du français parlé et écrit. La connaissance de l’anglais est un atout. </w:t>
            </w:r>
          </w:p>
          <w:p w14:paraId="18F5219E" w14:textId="77777777" w:rsidR="009A47F3" w:rsidRDefault="009A47F3" w:rsidP="009A47F3">
            <w:pPr>
              <w:spacing w:before="120" w:after="120" w:line="288" w:lineRule="auto"/>
              <w:jc w:val="both"/>
              <w:rPr>
                <w:rFonts w:cstheme="minorHAnsi"/>
                <w:u w:val="single"/>
                <w:lang w:val="fr-FR"/>
              </w:rPr>
            </w:pPr>
            <w:r>
              <w:rPr>
                <w:rFonts w:cstheme="minorHAnsi"/>
                <w:u w:val="single"/>
                <w:lang w:val="fr-FR"/>
              </w:rPr>
              <w:t>IV</w:t>
            </w:r>
            <w:r w:rsidRPr="00AA1E8C">
              <w:rPr>
                <w:rFonts w:cstheme="minorHAnsi"/>
                <w:u w:val="single"/>
                <w:lang w:val="fr-FR"/>
              </w:rPr>
              <w:t xml:space="preserve">. </w:t>
            </w:r>
            <w:r>
              <w:rPr>
                <w:rFonts w:cstheme="minorHAnsi"/>
                <w:u w:val="single"/>
                <w:lang w:val="fr-FR"/>
              </w:rPr>
              <w:t>Autres</w:t>
            </w:r>
            <w:r w:rsidRPr="00AA1E8C">
              <w:rPr>
                <w:rFonts w:cstheme="minorHAnsi"/>
                <w:u w:val="single"/>
                <w:lang w:val="fr-FR"/>
              </w:rPr>
              <w:t xml:space="preserve"> :</w:t>
            </w:r>
          </w:p>
          <w:p w14:paraId="006EBD6D" w14:textId="1435BCFA" w:rsidR="00550CF0" w:rsidRPr="008D43CB" w:rsidRDefault="009A47F3" w:rsidP="009A47F3">
            <w:pPr>
              <w:spacing w:before="120" w:after="120" w:line="288" w:lineRule="auto"/>
              <w:jc w:val="both"/>
              <w:rPr>
                <w:rFonts w:cstheme="minorHAnsi"/>
                <w:szCs w:val="24"/>
                <w:lang w:val="fr-FR"/>
              </w:rPr>
            </w:pPr>
            <w:r w:rsidRPr="00756FDA">
              <w:rPr>
                <w:rFonts w:cstheme="minorHAnsi"/>
                <w:szCs w:val="24"/>
                <w:lang w:val="fr-FR"/>
              </w:rPr>
              <w:t>Maitrise de l’outil informatique</w:t>
            </w:r>
          </w:p>
          <w:p w14:paraId="3365B034" w14:textId="77777777" w:rsidR="00550CF0" w:rsidRPr="0096270F" w:rsidRDefault="00550CF0" w:rsidP="00550CF0">
            <w:pPr>
              <w:spacing w:before="120" w:after="120" w:line="288" w:lineRule="auto"/>
              <w:jc w:val="both"/>
              <w:rPr>
                <w:rFonts w:cstheme="minorHAnsi"/>
                <w:u w:val="single"/>
                <w:lang w:val="fr-FR"/>
              </w:rPr>
            </w:pPr>
            <w:r w:rsidRPr="0096270F">
              <w:rPr>
                <w:rFonts w:cstheme="minorHAnsi"/>
                <w:u w:val="single"/>
                <w:lang w:val="fr-FR"/>
              </w:rPr>
              <w:t>Compétences :</w:t>
            </w:r>
          </w:p>
          <w:p w14:paraId="5861DFDC" w14:textId="77777777" w:rsidR="00A7756F" w:rsidRPr="00A33864" w:rsidRDefault="00A7756F" w:rsidP="00A7756F">
            <w:pPr>
              <w:numPr>
                <w:ilvl w:val="0"/>
                <w:numId w:val="8"/>
              </w:numPr>
              <w:jc w:val="both"/>
              <w:rPr>
                <w:rFonts w:eastAsia="Times New Roman" w:cstheme="minorHAnsi"/>
                <w:sz w:val="24"/>
                <w:szCs w:val="24"/>
                <w:lang w:val="fr-FR"/>
              </w:rPr>
            </w:pPr>
            <w:r w:rsidRPr="00A33864">
              <w:rPr>
                <w:rFonts w:eastAsia="Times New Roman" w:cstheme="minorHAnsi"/>
                <w:sz w:val="24"/>
                <w:szCs w:val="24"/>
                <w:lang w:val="fr-FR"/>
              </w:rPr>
              <w:t>Capacité à gérer la charge de travail avec un minimum de supervision ;</w:t>
            </w:r>
          </w:p>
          <w:p w14:paraId="3DD5EE50" w14:textId="77777777" w:rsidR="00A7756F" w:rsidRPr="00A33864" w:rsidRDefault="00A7756F" w:rsidP="00A7756F">
            <w:pPr>
              <w:numPr>
                <w:ilvl w:val="0"/>
                <w:numId w:val="8"/>
              </w:numPr>
              <w:jc w:val="both"/>
              <w:rPr>
                <w:rFonts w:eastAsia="Times New Roman" w:cstheme="minorHAnsi"/>
                <w:sz w:val="24"/>
                <w:szCs w:val="24"/>
                <w:lang w:val="fr-FR"/>
              </w:rPr>
            </w:pPr>
            <w:r w:rsidRPr="00A33864">
              <w:rPr>
                <w:rFonts w:eastAsia="Times New Roman" w:cstheme="minorHAnsi"/>
                <w:sz w:val="24"/>
                <w:szCs w:val="24"/>
                <w:lang w:val="fr-FR"/>
              </w:rPr>
              <w:t>Capacité à travailler sous pression et à respecter des délais serrés ;</w:t>
            </w:r>
          </w:p>
          <w:p w14:paraId="53244269" w14:textId="77777777" w:rsidR="00A7756F" w:rsidRPr="00A33864" w:rsidRDefault="00A7756F" w:rsidP="00A7756F">
            <w:pPr>
              <w:numPr>
                <w:ilvl w:val="0"/>
                <w:numId w:val="8"/>
              </w:numPr>
              <w:jc w:val="both"/>
              <w:rPr>
                <w:rFonts w:eastAsia="Times New Roman" w:cstheme="minorHAnsi"/>
                <w:sz w:val="24"/>
                <w:szCs w:val="24"/>
                <w:lang w:val="fr-FR"/>
              </w:rPr>
            </w:pPr>
            <w:r w:rsidRPr="00A33864">
              <w:rPr>
                <w:rFonts w:eastAsia="Times New Roman" w:cstheme="minorHAnsi"/>
                <w:sz w:val="24"/>
                <w:szCs w:val="24"/>
                <w:lang w:val="fr-FR"/>
              </w:rPr>
              <w:t>Aptitude à travailler dans un environnement multiculturel ;</w:t>
            </w:r>
          </w:p>
          <w:p w14:paraId="31149DB2" w14:textId="77777777" w:rsidR="00A7756F" w:rsidRPr="00A33864" w:rsidRDefault="00A7756F" w:rsidP="00A7756F">
            <w:pPr>
              <w:numPr>
                <w:ilvl w:val="0"/>
                <w:numId w:val="8"/>
              </w:numPr>
              <w:jc w:val="both"/>
              <w:rPr>
                <w:rFonts w:eastAsia="Times New Roman" w:cstheme="minorHAnsi"/>
                <w:sz w:val="24"/>
                <w:szCs w:val="24"/>
                <w:lang w:val="fr-FR"/>
              </w:rPr>
            </w:pPr>
            <w:r w:rsidRPr="00A33864">
              <w:rPr>
                <w:rFonts w:eastAsia="Times New Roman" w:cstheme="minorHAnsi"/>
                <w:sz w:val="24"/>
                <w:szCs w:val="24"/>
                <w:lang w:val="fr-FR"/>
              </w:rPr>
              <w:t>Aptitude à communiquer de façon efficace et écrite les informations techniques complexes destinées au public technique et au grand public ;</w:t>
            </w:r>
          </w:p>
          <w:p w14:paraId="7EF2908C" w14:textId="77777777" w:rsidR="00A7756F" w:rsidRPr="00A33864" w:rsidRDefault="00A7756F" w:rsidP="00A7756F">
            <w:pPr>
              <w:numPr>
                <w:ilvl w:val="0"/>
                <w:numId w:val="8"/>
              </w:numPr>
              <w:jc w:val="both"/>
              <w:rPr>
                <w:rFonts w:eastAsia="Times New Roman" w:cstheme="minorHAnsi"/>
                <w:sz w:val="24"/>
                <w:szCs w:val="24"/>
                <w:lang w:val="fr-FR"/>
              </w:rPr>
            </w:pPr>
            <w:r w:rsidRPr="00A33864">
              <w:rPr>
                <w:rFonts w:eastAsia="Times New Roman" w:cstheme="minorHAnsi"/>
                <w:sz w:val="24"/>
                <w:szCs w:val="24"/>
                <w:lang w:val="fr-FR"/>
              </w:rPr>
              <w:t>Une planification stratégique solide, une gestion axée sur les résultats et de bonnes capacités de rédaction de rapport ;</w:t>
            </w:r>
          </w:p>
          <w:p w14:paraId="1934756B" w14:textId="02C898B7" w:rsidR="00550CF0" w:rsidRPr="00A7756F" w:rsidRDefault="00A7756F" w:rsidP="00A7756F">
            <w:pPr>
              <w:numPr>
                <w:ilvl w:val="0"/>
                <w:numId w:val="8"/>
              </w:numPr>
              <w:jc w:val="both"/>
              <w:rPr>
                <w:rFonts w:eastAsia="Times New Roman" w:cstheme="minorHAnsi"/>
                <w:sz w:val="24"/>
                <w:szCs w:val="24"/>
                <w:lang w:val="fr-FR"/>
              </w:rPr>
            </w:pPr>
            <w:r w:rsidRPr="00A33864">
              <w:rPr>
                <w:rFonts w:eastAsia="Times New Roman" w:cstheme="minorHAnsi"/>
                <w:sz w:val="24"/>
                <w:szCs w:val="24"/>
                <w:lang w:val="fr-FR"/>
              </w:rPr>
              <w:t xml:space="preserve">Sensibilité et adaptabilité sans distinction de genre, de religion, et de race. </w:t>
            </w:r>
            <w:r w:rsidR="009A47F3" w:rsidRPr="00A7756F">
              <w:rPr>
                <w:rFonts w:cstheme="minorHAnsi"/>
                <w:szCs w:val="24"/>
                <w:lang w:val="fr-FR"/>
              </w:rPr>
              <w:t xml:space="preserve"> </w:t>
            </w:r>
          </w:p>
        </w:tc>
      </w:tr>
    </w:tbl>
    <w:p w14:paraId="0E5AA207" w14:textId="77777777" w:rsidR="00916940" w:rsidRPr="0096270F" w:rsidRDefault="00916940" w:rsidP="00A24134">
      <w:pPr>
        <w:rPr>
          <w:rFonts w:cstheme="minorHAnsi"/>
          <w:b/>
          <w:lang w:val="fr-FR"/>
        </w:rPr>
      </w:pPr>
    </w:p>
    <w:p w14:paraId="46069EAA" w14:textId="77777777" w:rsidR="002223E0" w:rsidRPr="0096270F" w:rsidRDefault="00393024" w:rsidP="00A24134">
      <w:pPr>
        <w:rPr>
          <w:rFonts w:cstheme="minorHAnsi"/>
          <w:b/>
          <w:lang w:val="fr-FR"/>
        </w:rPr>
      </w:pPr>
      <w:r w:rsidRPr="0096270F">
        <w:rPr>
          <w:rFonts w:cstheme="minorHAnsi"/>
          <w:b/>
        </w:rPr>
        <w:t>6</w:t>
      </w:r>
      <w:r w:rsidR="00D20044" w:rsidRPr="0096270F">
        <w:rPr>
          <w:rFonts w:cstheme="minorHAnsi"/>
          <w:b/>
        </w:rPr>
        <w:t>.</w:t>
      </w:r>
      <w:r w:rsidR="006C491D" w:rsidRPr="0096270F">
        <w:rPr>
          <w:rFonts w:cstheme="minorHAnsi"/>
          <w:b/>
        </w:rPr>
        <w:t xml:space="preserve"> </w:t>
      </w:r>
      <w:r w:rsidR="000440EC" w:rsidRPr="0096270F">
        <w:rPr>
          <w:rFonts w:eastAsia="Calibri" w:cstheme="minorHAnsi"/>
          <w:b/>
          <w:lang w:val="fr-FR"/>
        </w:rPr>
        <w:t>Documents constitutifs de l’offre</w:t>
      </w:r>
      <w:r w:rsidR="000440EC" w:rsidRPr="0096270F" w:rsidDel="000440EC">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443E94" w:rsidRPr="002311C4" w14:paraId="601EE1B1" w14:textId="77777777" w:rsidTr="007E3539">
        <w:trPr>
          <w:trHeight w:val="755"/>
        </w:trPr>
        <w:tc>
          <w:tcPr>
            <w:tcW w:w="9576" w:type="dxa"/>
          </w:tcPr>
          <w:p w14:paraId="0701BB79" w14:textId="77777777" w:rsidR="00DB13D3" w:rsidRPr="0096270F" w:rsidRDefault="00845D5B" w:rsidP="0065710B">
            <w:pPr>
              <w:rPr>
                <w:rFonts w:cstheme="minorHAnsi"/>
                <w:lang w:val="fr-FR"/>
              </w:rPr>
            </w:pPr>
            <w:r w:rsidRPr="0096270F">
              <w:rPr>
                <w:rFonts w:cstheme="minorHAnsi"/>
                <w:lang w:val="fr-FR"/>
              </w:rPr>
              <w:t>Les consultants intéressés doivent inclure dans leurs offres les documents/informations ci-dessous :</w:t>
            </w:r>
          </w:p>
          <w:p w14:paraId="75B19346" w14:textId="527198F2" w:rsidR="00E978BB" w:rsidRPr="00D6368B" w:rsidRDefault="00845D5B" w:rsidP="00E978BB">
            <w:pPr>
              <w:rPr>
                <w:lang w:val="fr-FR"/>
              </w:rPr>
            </w:pPr>
            <w:r w:rsidRPr="0096270F">
              <w:rPr>
                <w:rFonts w:cstheme="minorHAnsi"/>
                <w:lang w:val="fr-FR"/>
              </w:rPr>
              <w:t xml:space="preserve"> </w:t>
            </w:r>
          </w:p>
          <w:p w14:paraId="573C9245" w14:textId="77777777" w:rsidR="0065710B" w:rsidRPr="0096270F" w:rsidRDefault="000B254C" w:rsidP="0065710B">
            <w:pPr>
              <w:rPr>
                <w:rFonts w:cstheme="minorHAnsi"/>
                <w:b/>
                <w:lang w:val="fr-FR"/>
              </w:rPr>
            </w:pPr>
            <w:r w:rsidRPr="0096270F">
              <w:rPr>
                <w:rFonts w:cstheme="minorHAnsi"/>
                <w:b/>
                <w:lang w:val="fr-FR"/>
              </w:rPr>
              <w:t xml:space="preserve">1. Proposition </w:t>
            </w:r>
            <w:r w:rsidR="00845D5B" w:rsidRPr="0096270F">
              <w:rPr>
                <w:rFonts w:cstheme="minorHAnsi"/>
                <w:b/>
                <w:lang w:val="fr-FR"/>
              </w:rPr>
              <w:t>technique :</w:t>
            </w:r>
          </w:p>
          <w:p w14:paraId="49C438A8" w14:textId="77777777" w:rsidR="00200AA0" w:rsidRPr="0096270F" w:rsidRDefault="00200AA0" w:rsidP="0065710B">
            <w:pPr>
              <w:rPr>
                <w:rFonts w:cstheme="minorHAnsi"/>
                <w:lang w:val="fr-FR"/>
              </w:rPr>
            </w:pPr>
          </w:p>
          <w:p w14:paraId="5D8C1D30" w14:textId="77777777" w:rsidR="00E978BB" w:rsidRDefault="00E978BB" w:rsidP="00E978BB">
            <w:pPr>
              <w:pStyle w:val="Paragraphedeliste"/>
              <w:numPr>
                <w:ilvl w:val="0"/>
                <w:numId w:val="14"/>
              </w:numPr>
              <w:jc w:val="both"/>
              <w:rPr>
                <w:lang w:val="fr-FR"/>
              </w:rPr>
            </w:pPr>
            <w:r>
              <w:rPr>
                <w:lang w:val="fr-FR"/>
              </w:rPr>
              <w:t>Une note explicative sur la compréhension des termes de référence et les raisons de la candidature ;</w:t>
            </w:r>
          </w:p>
          <w:p w14:paraId="6348A0B6" w14:textId="370CB7FD" w:rsidR="00E978BB" w:rsidRDefault="00E978BB" w:rsidP="00E978BB">
            <w:pPr>
              <w:pStyle w:val="Paragraphedeliste"/>
              <w:numPr>
                <w:ilvl w:val="0"/>
                <w:numId w:val="14"/>
              </w:numPr>
              <w:jc w:val="both"/>
              <w:rPr>
                <w:lang w:val="fr-FR"/>
              </w:rPr>
            </w:pPr>
            <w:r>
              <w:rPr>
                <w:lang w:val="fr-FR"/>
              </w:rPr>
              <w:t xml:space="preserve">Une présentation de l’approche méthodologique et de l’organisation envisagée de la </w:t>
            </w:r>
            <w:r w:rsidR="00AC3D6C">
              <w:rPr>
                <w:lang w:val="fr-FR"/>
              </w:rPr>
              <w:t>mission, y compris le chronogramme ;</w:t>
            </w:r>
          </w:p>
          <w:p w14:paraId="17628109" w14:textId="3BC8B450" w:rsidR="00550CF0" w:rsidRPr="00A72DB1" w:rsidRDefault="00E978BB" w:rsidP="00E978BB">
            <w:pPr>
              <w:pStyle w:val="Paragraphedeliste"/>
              <w:numPr>
                <w:ilvl w:val="0"/>
                <w:numId w:val="14"/>
              </w:numPr>
              <w:rPr>
                <w:rFonts w:cstheme="minorHAnsi"/>
                <w:lang w:val="fr-FR"/>
              </w:rPr>
            </w:pPr>
            <w:r w:rsidRPr="00E978BB">
              <w:rPr>
                <w:lang w:val="fr-FR"/>
              </w:rPr>
              <w:lastRenderedPageBreak/>
              <w:t>CV incluant notamment les expériences acquises dans les projets, domaines similaires ou connexes et 3 références.</w:t>
            </w:r>
          </w:p>
          <w:p w14:paraId="1DBA246E" w14:textId="77777777" w:rsidR="00A72DB1" w:rsidRPr="00E978BB" w:rsidRDefault="00A72DB1" w:rsidP="00A72DB1">
            <w:pPr>
              <w:pStyle w:val="Paragraphedeliste"/>
              <w:ind w:left="405"/>
              <w:rPr>
                <w:rFonts w:cstheme="minorHAnsi"/>
                <w:lang w:val="fr-FR"/>
              </w:rPr>
            </w:pPr>
          </w:p>
          <w:p w14:paraId="5F35DB51" w14:textId="77777777" w:rsidR="00A72DB1" w:rsidRDefault="00A72DB1" w:rsidP="00A72DB1">
            <w:pPr>
              <w:rPr>
                <w:rFonts w:cstheme="minorHAnsi"/>
                <w:b/>
                <w:lang w:val="fr-FR"/>
              </w:rPr>
            </w:pPr>
            <w:r>
              <w:rPr>
                <w:rFonts w:cstheme="minorHAnsi"/>
                <w:b/>
                <w:lang w:val="fr-FR"/>
              </w:rPr>
              <w:t xml:space="preserve">2. Lettre d´offre avec une proposition financière – </w:t>
            </w:r>
            <w:r>
              <w:rPr>
                <w:rFonts w:cstheme="minorHAnsi"/>
                <w:b/>
                <w:i/>
                <w:lang w:val="fr-FR"/>
              </w:rPr>
              <w:t>Lettre de soumission au PNUD confirmant l´intérêt et la disponibilité du prestataire individuel (IC) pour la mission</w:t>
            </w:r>
            <w:r>
              <w:rPr>
                <w:rFonts w:cstheme="minorHAnsi"/>
                <w:b/>
                <w:lang w:val="fr-FR"/>
              </w:rPr>
              <w:t xml:space="preserve"> – Annexe 2</w:t>
            </w:r>
          </w:p>
          <w:p w14:paraId="302B8ED0" w14:textId="77777777" w:rsidR="00A72DB1" w:rsidRDefault="00A72DB1" w:rsidP="00A72DB1">
            <w:pPr>
              <w:rPr>
                <w:rFonts w:cstheme="minorHAnsi"/>
                <w:lang w:val="fr-FR"/>
              </w:rPr>
            </w:pPr>
          </w:p>
          <w:p w14:paraId="121299FB" w14:textId="77777777" w:rsidR="00A72DB1" w:rsidRDefault="00A72DB1" w:rsidP="00A72DB1">
            <w:pPr>
              <w:pStyle w:val="Paragraphedeliste"/>
              <w:numPr>
                <w:ilvl w:val="0"/>
                <w:numId w:val="29"/>
              </w:numPr>
              <w:rPr>
                <w:rFonts w:cstheme="minorHAnsi"/>
                <w:lang w:val="fr-FR"/>
              </w:rPr>
            </w:pPr>
            <w:r>
              <w:rPr>
                <w:rFonts w:cstheme="minorHAnsi"/>
                <w:lang w:val="fr-FR"/>
              </w:rPr>
              <w:t>Le/la Consultant(e) doit</w:t>
            </w:r>
            <w:r>
              <w:rPr>
                <w:lang w:val="fr-FR"/>
              </w:rPr>
              <w:t xml:space="preserve"> remplir et signer la </w:t>
            </w:r>
            <w:r>
              <w:rPr>
                <w:rFonts w:cstheme="minorHAnsi"/>
                <w:i/>
                <w:lang w:val="fr-FR"/>
              </w:rPr>
              <w:t xml:space="preserve">Lettre de soumission au PNUD confirmant l´intérêt et la disponibilité du prestataire individuel (IC) pour la mission </w:t>
            </w:r>
            <w:r>
              <w:rPr>
                <w:rFonts w:cstheme="minorHAnsi"/>
                <w:lang w:val="fr-FR"/>
              </w:rPr>
              <w:t>– Annexe 2.</w:t>
            </w:r>
          </w:p>
          <w:p w14:paraId="6EA9F28B" w14:textId="77777777" w:rsidR="00A72DB1" w:rsidRDefault="00A72DB1" w:rsidP="00A72DB1">
            <w:pPr>
              <w:pStyle w:val="Paragraphedeliste"/>
              <w:numPr>
                <w:ilvl w:val="0"/>
                <w:numId w:val="29"/>
              </w:numPr>
              <w:rPr>
                <w:rFonts w:cstheme="minorHAnsi"/>
                <w:lang w:val="fr-FR"/>
              </w:rPr>
            </w:pPr>
            <w:r>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96270F" w:rsidRDefault="00200AA0" w:rsidP="00A24134">
            <w:pPr>
              <w:rPr>
                <w:rFonts w:cstheme="minorHAnsi"/>
                <w:color w:val="FF0000"/>
                <w:lang w:val="fr-FR"/>
              </w:rPr>
            </w:pPr>
          </w:p>
        </w:tc>
      </w:tr>
    </w:tbl>
    <w:p w14:paraId="2FBAFF05" w14:textId="77777777" w:rsidR="00CB2556" w:rsidRDefault="00CB2556" w:rsidP="00A24134">
      <w:pPr>
        <w:rPr>
          <w:rFonts w:cstheme="minorHAnsi"/>
          <w:b/>
          <w:lang w:val="fr-FR"/>
        </w:rPr>
      </w:pPr>
    </w:p>
    <w:p w14:paraId="78E1075C" w14:textId="5C9DE084" w:rsidR="00E94857" w:rsidRPr="0096270F" w:rsidRDefault="00393024" w:rsidP="00A24134">
      <w:pPr>
        <w:rPr>
          <w:rFonts w:cstheme="minorHAnsi"/>
          <w:b/>
          <w:lang w:val="fr-FR"/>
        </w:rPr>
      </w:pPr>
      <w:r w:rsidRPr="0096270F">
        <w:rPr>
          <w:rFonts w:cstheme="minorHAnsi"/>
          <w:b/>
          <w:lang w:val="fr-FR"/>
        </w:rPr>
        <w:t>7</w:t>
      </w:r>
      <w:r w:rsidR="00E94857" w:rsidRPr="0096270F">
        <w:rPr>
          <w:rFonts w:cstheme="minorHAnsi"/>
          <w:b/>
          <w:lang w:val="fr-FR"/>
        </w:rPr>
        <w:t xml:space="preserve">. </w:t>
      </w:r>
      <w:r w:rsidR="00F64848" w:rsidRPr="0096270F">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2311C4" w14:paraId="2CB0FE8E" w14:textId="77777777" w:rsidTr="00443E94">
        <w:tc>
          <w:tcPr>
            <w:tcW w:w="9576" w:type="dxa"/>
          </w:tcPr>
          <w:p w14:paraId="6BE45A77" w14:textId="77777777" w:rsidR="00916940" w:rsidRPr="0096270F" w:rsidRDefault="00916940" w:rsidP="00E41813">
            <w:pPr>
              <w:jc w:val="both"/>
              <w:rPr>
                <w:rFonts w:eastAsia="Times New Roman" w:cstheme="minorHAnsi"/>
                <w:b/>
                <w:u w:val="single"/>
                <w:lang w:val="fr-FR" w:eastAsia="rw-RW"/>
              </w:rPr>
            </w:pPr>
          </w:p>
          <w:p w14:paraId="0B9DC5ED" w14:textId="77777777" w:rsidR="00DE2BD5" w:rsidRPr="00DE2BD5" w:rsidRDefault="00DE2BD5" w:rsidP="00DE2BD5">
            <w:pPr>
              <w:rPr>
                <w:lang w:val="fr-FR"/>
              </w:rPr>
            </w:pPr>
          </w:p>
          <w:p w14:paraId="3EBED3E3" w14:textId="77777777" w:rsidR="00DE2BD5" w:rsidRPr="00DE2BD5" w:rsidRDefault="00DE2BD5" w:rsidP="00DE2BD5">
            <w:pPr>
              <w:rPr>
                <w:lang w:val="fr-FR"/>
              </w:rPr>
            </w:pPr>
            <w:r w:rsidRPr="00DE2BD5">
              <w:rPr>
                <w:lang w:val="fr-FR"/>
              </w:rPr>
              <w:t>Le/la consultant/e individuel sera évalué sur la base de la méthodologie de Notation combinée. Lorsque cette méthode d’évaluation est utilisée, le contrat est attribué au consultant individuel dont l’offre a été évaluée et jugée :</w:t>
            </w:r>
          </w:p>
          <w:p w14:paraId="39D38D8C" w14:textId="77777777" w:rsidR="00DE2BD5" w:rsidRPr="00DE2BD5" w:rsidRDefault="00DE2BD5" w:rsidP="00DE2BD5">
            <w:pPr>
              <w:rPr>
                <w:lang w:val="fr-FR"/>
              </w:rPr>
            </w:pPr>
          </w:p>
          <w:p w14:paraId="03EA04C9" w14:textId="42564627" w:rsidR="00DE2BD5" w:rsidRPr="00A72DB1" w:rsidRDefault="00DE2BD5" w:rsidP="00A72DB1">
            <w:pPr>
              <w:pStyle w:val="Paragraphedeliste"/>
              <w:numPr>
                <w:ilvl w:val="0"/>
                <w:numId w:val="28"/>
              </w:numPr>
              <w:rPr>
                <w:lang w:val="fr-FR"/>
              </w:rPr>
            </w:pPr>
            <w:r w:rsidRPr="00A72DB1">
              <w:rPr>
                <w:lang w:val="fr-FR"/>
              </w:rPr>
              <w:t>Répondante/conforme/ acceptable et,</w:t>
            </w:r>
          </w:p>
          <w:p w14:paraId="43C64D17" w14:textId="7582B6D5" w:rsidR="00DE2BD5" w:rsidRPr="00A72DB1" w:rsidRDefault="00DE2BD5" w:rsidP="00A72DB1">
            <w:pPr>
              <w:pStyle w:val="Paragraphedeliste"/>
              <w:numPr>
                <w:ilvl w:val="0"/>
                <w:numId w:val="28"/>
              </w:numPr>
              <w:rPr>
                <w:lang w:val="fr-FR"/>
              </w:rPr>
            </w:pPr>
            <w:r w:rsidRPr="00A72DB1">
              <w:rPr>
                <w:lang w:val="fr-FR"/>
              </w:rPr>
              <w:t>Ayant reçue la note globale pondérée la plus élevée sur la base des critères technique et financier spécifiés</w:t>
            </w:r>
          </w:p>
          <w:p w14:paraId="29883C6E" w14:textId="77777777" w:rsidR="00DE2BD5" w:rsidRPr="00DE2BD5" w:rsidRDefault="00DE2BD5" w:rsidP="00DE2BD5">
            <w:pPr>
              <w:rPr>
                <w:lang w:val="fr-FR"/>
              </w:rPr>
            </w:pPr>
          </w:p>
          <w:p w14:paraId="6A830FF7" w14:textId="77777777" w:rsidR="00DE2BD5" w:rsidRPr="00A72DB1" w:rsidRDefault="00DE2BD5" w:rsidP="00DE2BD5">
            <w:pPr>
              <w:rPr>
                <w:u w:val="single"/>
                <w:lang w:val="fr-FR"/>
              </w:rPr>
            </w:pPr>
            <w:r w:rsidRPr="00A72DB1">
              <w:rPr>
                <w:u w:val="single"/>
                <w:lang w:val="fr-FR"/>
              </w:rPr>
              <w:t xml:space="preserve">*Pondération de l’évaluation technique : 70 % </w:t>
            </w:r>
          </w:p>
          <w:p w14:paraId="410865ED" w14:textId="77777777" w:rsidR="00DE2BD5" w:rsidRPr="00A72DB1" w:rsidRDefault="00DE2BD5" w:rsidP="00DE2BD5">
            <w:pPr>
              <w:rPr>
                <w:u w:val="single"/>
                <w:lang w:val="fr-FR"/>
              </w:rPr>
            </w:pPr>
            <w:r w:rsidRPr="00A72DB1">
              <w:rPr>
                <w:u w:val="single"/>
                <w:lang w:val="fr-FR"/>
              </w:rPr>
              <w:t>*Pondération de l’évaluation financière : 30 %</w:t>
            </w:r>
          </w:p>
          <w:p w14:paraId="7A3AFDDA" w14:textId="77777777" w:rsidR="00DE2BD5" w:rsidRPr="00DE2BD5" w:rsidRDefault="00DE2BD5" w:rsidP="00DE2BD5">
            <w:pPr>
              <w:rPr>
                <w:lang w:val="fr-FR"/>
              </w:rPr>
            </w:pPr>
          </w:p>
          <w:p w14:paraId="44297C59" w14:textId="77777777" w:rsidR="00DE2BD5" w:rsidRPr="00DE2BD5" w:rsidRDefault="00DE2BD5" w:rsidP="00DE2BD5">
            <w:pPr>
              <w:rPr>
                <w:lang w:val="fr-FR"/>
              </w:rPr>
            </w:pPr>
            <w:r w:rsidRPr="00DE2BD5">
              <w:rPr>
                <w:lang w:val="fr-FR"/>
              </w:rPr>
              <w:t>L’évaluation des offres se déroule en deux temps. L’évaluation des propositions techniques est achevée avant l’ouverture et la comparaison des propositions financières.</w:t>
            </w:r>
          </w:p>
          <w:p w14:paraId="06942865" w14:textId="77777777" w:rsidR="00DE2BD5" w:rsidRPr="00DE2BD5" w:rsidRDefault="00DE2BD5" w:rsidP="00DE2BD5">
            <w:pPr>
              <w:rPr>
                <w:lang w:val="fr-FR"/>
              </w:rPr>
            </w:pPr>
          </w:p>
          <w:p w14:paraId="07A61302" w14:textId="5A85DD27" w:rsidR="00DE2BD5" w:rsidRPr="00DE2BD5" w:rsidRDefault="00DE2BD5" w:rsidP="00DE2BD5">
            <w:pPr>
              <w:rPr>
                <w:lang w:val="fr-FR"/>
              </w:rPr>
            </w:pPr>
            <w:r w:rsidRPr="00DE2BD5">
              <w:rPr>
                <w:lang w:val="fr-FR"/>
              </w:rPr>
              <w:t>Le marché sera attribué au/à la Consultant(e) ayant présenté le meilleur score combiné (rapport qualité/prix, évaluation cumulative).</w:t>
            </w:r>
          </w:p>
          <w:p w14:paraId="0933E927" w14:textId="77777777" w:rsidR="00DE2BD5" w:rsidRPr="00DE2BD5" w:rsidRDefault="00DE2BD5" w:rsidP="00DE2BD5">
            <w:pPr>
              <w:rPr>
                <w:lang w:val="fr-FR"/>
              </w:rPr>
            </w:pPr>
          </w:p>
          <w:p w14:paraId="27844434" w14:textId="77777777" w:rsidR="00DE2BD5" w:rsidRPr="00A72DB1" w:rsidRDefault="00DE2BD5" w:rsidP="00DE2BD5">
            <w:pPr>
              <w:rPr>
                <w:i/>
                <w:u w:val="single"/>
                <w:lang w:val="fr-FR"/>
              </w:rPr>
            </w:pPr>
            <w:r w:rsidRPr="00A72DB1">
              <w:rPr>
                <w:i/>
                <w:u w:val="single"/>
                <w:lang w:val="fr-FR"/>
              </w:rPr>
              <w:t>a.</w:t>
            </w:r>
            <w:r w:rsidRPr="00A72DB1">
              <w:rPr>
                <w:i/>
                <w:u w:val="single"/>
                <w:lang w:val="fr-FR"/>
              </w:rPr>
              <w:tab/>
              <w:t>Les propositions techniques</w:t>
            </w:r>
          </w:p>
          <w:p w14:paraId="183939DD" w14:textId="77777777" w:rsidR="00DE2BD5" w:rsidRPr="00DE2BD5" w:rsidRDefault="00DE2BD5" w:rsidP="00DE2BD5">
            <w:pPr>
              <w:rPr>
                <w:lang w:val="fr-FR"/>
              </w:rPr>
            </w:pPr>
          </w:p>
          <w:p w14:paraId="13FB099E" w14:textId="58599C1D" w:rsidR="00DE2BD5" w:rsidRDefault="00DE2BD5" w:rsidP="00DE2BD5">
            <w:pPr>
              <w:rPr>
                <w:lang w:val="fr-FR"/>
              </w:rPr>
            </w:pPr>
            <w:r w:rsidRPr="00DE2BD5">
              <w:rPr>
                <w:lang w:val="fr-FR"/>
              </w:rPr>
              <w:t>Les propositions techniques seront évaluées sur leur degré de réponse par rapport aux termes de référence et sur la base des critères suivants :</w:t>
            </w:r>
            <w:r>
              <w:rPr>
                <w:lang w:val="fr-FR"/>
              </w:rPr>
              <w:t xml:space="preserve"> </w:t>
            </w:r>
          </w:p>
          <w:p w14:paraId="6F38962D" w14:textId="20ACBD2E" w:rsidR="009A47F3" w:rsidRPr="004D333B" w:rsidRDefault="009A47F3" w:rsidP="009A47F3">
            <w:pPr>
              <w:rPr>
                <w:lang w:val="fr-FR"/>
              </w:rPr>
            </w:pPr>
          </w:p>
          <w:tbl>
            <w:tblPr>
              <w:tblStyle w:val="Grilledutableau"/>
              <w:tblW w:w="0" w:type="auto"/>
              <w:tblInd w:w="10" w:type="dxa"/>
              <w:tblLook w:val="04A0" w:firstRow="1" w:lastRow="0" w:firstColumn="1" w:lastColumn="0" w:noHBand="0" w:noVBand="1"/>
            </w:tblPr>
            <w:tblGrid>
              <w:gridCol w:w="5926"/>
              <w:gridCol w:w="1747"/>
            </w:tblGrid>
            <w:tr w:rsidR="00944C34" w:rsidRPr="004D333B" w14:paraId="363E80C6" w14:textId="77777777" w:rsidTr="00A017C1">
              <w:trPr>
                <w:trHeight w:val="317"/>
              </w:trPr>
              <w:tc>
                <w:tcPr>
                  <w:tcW w:w="5926" w:type="dxa"/>
                </w:tcPr>
                <w:p w14:paraId="68E61D01" w14:textId="77777777" w:rsidR="00944C34" w:rsidRPr="004D333B" w:rsidRDefault="00944C34" w:rsidP="009A47F3">
                  <w:pPr>
                    <w:rPr>
                      <w:lang w:val="fr-FR"/>
                    </w:rPr>
                  </w:pPr>
                  <w:r w:rsidRPr="004D333B">
                    <w:rPr>
                      <w:lang w:val="fr-FR"/>
                    </w:rPr>
                    <w:t>Critères</w:t>
                  </w:r>
                </w:p>
              </w:tc>
              <w:tc>
                <w:tcPr>
                  <w:tcW w:w="1747" w:type="dxa"/>
                </w:tcPr>
                <w:p w14:paraId="41BACC5A" w14:textId="77777777" w:rsidR="00944C34" w:rsidRPr="004D333B" w:rsidRDefault="00944C34" w:rsidP="009A47F3">
                  <w:pPr>
                    <w:rPr>
                      <w:lang w:val="fr-FR"/>
                    </w:rPr>
                  </w:pPr>
                  <w:r w:rsidRPr="004D333B">
                    <w:rPr>
                      <w:lang w:val="fr-FR"/>
                    </w:rPr>
                    <w:t>Max de points</w:t>
                  </w:r>
                </w:p>
              </w:tc>
            </w:tr>
            <w:tr w:rsidR="00944C34" w:rsidRPr="004D333B" w14:paraId="6264C7A7" w14:textId="77777777" w:rsidTr="00A017C1">
              <w:trPr>
                <w:trHeight w:val="317"/>
              </w:trPr>
              <w:tc>
                <w:tcPr>
                  <w:tcW w:w="5926" w:type="dxa"/>
                </w:tcPr>
                <w:p w14:paraId="16DEEADF" w14:textId="77777777" w:rsidR="00944C34" w:rsidRPr="004D333B" w:rsidRDefault="00944C34" w:rsidP="009A47F3">
                  <w:pPr>
                    <w:rPr>
                      <w:b/>
                      <w:u w:val="single"/>
                      <w:lang w:val="fr-FR"/>
                    </w:rPr>
                  </w:pPr>
                  <w:r w:rsidRPr="004D333B">
                    <w:rPr>
                      <w:b/>
                      <w:u w:val="single"/>
                      <w:lang w:val="fr-FR"/>
                    </w:rPr>
                    <w:t>Offre technique</w:t>
                  </w:r>
                </w:p>
              </w:tc>
              <w:tc>
                <w:tcPr>
                  <w:tcW w:w="1747" w:type="dxa"/>
                </w:tcPr>
                <w:p w14:paraId="746F06CC" w14:textId="77777777" w:rsidR="00944C34" w:rsidRPr="004D333B" w:rsidRDefault="00944C34" w:rsidP="009A47F3">
                  <w:pPr>
                    <w:rPr>
                      <w:b/>
                      <w:lang w:val="fr-FR"/>
                    </w:rPr>
                  </w:pPr>
                  <w:r w:rsidRPr="004D333B">
                    <w:rPr>
                      <w:b/>
                      <w:lang w:val="fr-FR"/>
                    </w:rPr>
                    <w:t>100</w:t>
                  </w:r>
                </w:p>
              </w:tc>
            </w:tr>
            <w:tr w:rsidR="00944C34" w:rsidRPr="004D333B" w14:paraId="4156E1B2" w14:textId="77777777" w:rsidTr="00A017C1">
              <w:trPr>
                <w:trHeight w:val="273"/>
              </w:trPr>
              <w:tc>
                <w:tcPr>
                  <w:tcW w:w="5926" w:type="dxa"/>
                  <w:shd w:val="clear" w:color="auto" w:fill="auto"/>
                </w:tcPr>
                <w:p w14:paraId="422C4E16" w14:textId="1141F5E4" w:rsidR="00944C34" w:rsidRPr="004D333B" w:rsidRDefault="00944C34" w:rsidP="009A47F3">
                  <w:pPr>
                    <w:rPr>
                      <w:lang w:val="fr-FR"/>
                    </w:rPr>
                  </w:pPr>
                  <w:r w:rsidRPr="004D333B">
                    <w:rPr>
                      <w:lang w:val="fr-FR"/>
                    </w:rPr>
                    <w:t>Méthodologie, chronogramme et plan de travail</w:t>
                  </w:r>
                  <w:r w:rsidRPr="002311C4">
                    <w:rPr>
                      <w:lang w:val="fr-FR"/>
                    </w:rPr>
                    <w:t xml:space="preserve"> proposés sont-ils</w:t>
                  </w:r>
                  <w:r w:rsidRPr="00E41F6D">
                    <w:rPr>
                      <w:lang w:val="fr-FR"/>
                    </w:rPr>
                    <w:t xml:space="preserve"> </w:t>
                  </w:r>
                  <w:proofErr w:type="gramStart"/>
                  <w:r w:rsidRPr="00E41F6D">
                    <w:rPr>
                      <w:lang w:val="fr-FR"/>
                    </w:rPr>
                    <w:t>cohérent</w:t>
                  </w:r>
                  <w:proofErr w:type="gramEnd"/>
                  <w:r w:rsidRPr="00E41F6D">
                    <w:rPr>
                      <w:lang w:val="fr-FR"/>
                    </w:rPr>
                    <w:t xml:space="preserve"> et réaliste pour garantir la réalisation effective des principaux livrables attendus de la mission comme explicité dans les TDR ?</w:t>
                  </w:r>
                </w:p>
              </w:tc>
              <w:tc>
                <w:tcPr>
                  <w:tcW w:w="1747" w:type="dxa"/>
                </w:tcPr>
                <w:p w14:paraId="32C4C218" w14:textId="77777777" w:rsidR="00944C34" w:rsidRPr="004D333B" w:rsidRDefault="00944C34" w:rsidP="009A47F3">
                  <w:pPr>
                    <w:rPr>
                      <w:lang w:val="fr-FR"/>
                    </w:rPr>
                  </w:pPr>
                  <w:r w:rsidRPr="004D333B">
                    <w:rPr>
                      <w:lang w:val="fr-FR"/>
                    </w:rPr>
                    <w:t>50</w:t>
                  </w:r>
                </w:p>
              </w:tc>
            </w:tr>
            <w:tr w:rsidR="00944C34" w:rsidRPr="004D333B" w14:paraId="71BEFBF0" w14:textId="77777777" w:rsidTr="00A017C1">
              <w:trPr>
                <w:trHeight w:val="278"/>
              </w:trPr>
              <w:tc>
                <w:tcPr>
                  <w:tcW w:w="5926" w:type="dxa"/>
                  <w:shd w:val="clear" w:color="auto" w:fill="auto"/>
                </w:tcPr>
                <w:p w14:paraId="3D1D2E60" w14:textId="2B347298" w:rsidR="00944C34" w:rsidRPr="00313992" w:rsidRDefault="00944C34" w:rsidP="009A47F3">
                  <w:pPr>
                    <w:jc w:val="both"/>
                    <w:rPr>
                      <w:rFonts w:eastAsia="Times New Roman" w:cstheme="minorHAnsi"/>
                      <w:sz w:val="24"/>
                      <w:szCs w:val="24"/>
                      <w:lang w:val="fr-FR"/>
                    </w:rPr>
                  </w:pPr>
                  <w:r w:rsidRPr="009A47F3">
                    <w:rPr>
                      <w:rFonts w:eastAsia="Times New Roman" w:cstheme="minorHAnsi"/>
                      <w:szCs w:val="24"/>
                      <w:lang w:val="fr-FR" w:eastAsia="en-GB"/>
                    </w:rPr>
                    <w:lastRenderedPageBreak/>
                    <w:t xml:space="preserve">Le/la soumissionnaire a-t-il/elle </w:t>
                  </w:r>
                  <w:r>
                    <w:rPr>
                      <w:rFonts w:eastAsia="Times New Roman" w:cstheme="minorHAnsi"/>
                      <w:szCs w:val="24"/>
                      <w:lang w:val="fr-FR" w:eastAsia="en-GB"/>
                    </w:rPr>
                    <w:t>un diplôme de m</w:t>
                  </w:r>
                  <w:r w:rsidRPr="00A33864">
                    <w:rPr>
                      <w:rFonts w:eastAsia="Times New Roman" w:cstheme="minorHAnsi"/>
                      <w:sz w:val="24"/>
                      <w:szCs w:val="24"/>
                      <w:lang w:val="fr-FR"/>
                    </w:rPr>
                    <w:t>aster ou plus en science</w:t>
                  </w:r>
                  <w:r>
                    <w:rPr>
                      <w:rFonts w:eastAsia="Times New Roman" w:cstheme="minorHAnsi"/>
                      <w:sz w:val="24"/>
                      <w:szCs w:val="24"/>
                      <w:lang w:val="fr-FR"/>
                    </w:rPr>
                    <w:t>s</w:t>
                  </w:r>
                  <w:r w:rsidRPr="00A33864">
                    <w:rPr>
                      <w:rFonts w:eastAsia="Times New Roman" w:cstheme="minorHAnsi"/>
                      <w:sz w:val="24"/>
                      <w:szCs w:val="24"/>
                      <w:lang w:val="fr-FR"/>
                    </w:rPr>
                    <w:t xml:space="preserve"> climatique</w:t>
                  </w:r>
                  <w:r>
                    <w:rPr>
                      <w:rFonts w:eastAsia="Times New Roman" w:cstheme="minorHAnsi"/>
                      <w:sz w:val="24"/>
                      <w:szCs w:val="24"/>
                      <w:lang w:val="fr-FR"/>
                    </w:rPr>
                    <w:t>s</w:t>
                  </w:r>
                  <w:r w:rsidRPr="00A33864">
                    <w:rPr>
                      <w:rFonts w:eastAsia="Times New Roman" w:cstheme="minorHAnsi"/>
                      <w:sz w:val="24"/>
                      <w:szCs w:val="24"/>
                      <w:lang w:val="fr-FR"/>
                    </w:rPr>
                    <w:t xml:space="preserve"> ou environnementale</w:t>
                  </w:r>
                  <w:r>
                    <w:rPr>
                      <w:rFonts w:eastAsia="Times New Roman" w:cstheme="minorHAnsi"/>
                      <w:sz w:val="24"/>
                      <w:szCs w:val="24"/>
                      <w:lang w:val="fr-FR"/>
                    </w:rPr>
                    <w:t>s</w:t>
                  </w:r>
                  <w:r w:rsidRPr="00A33864">
                    <w:rPr>
                      <w:rFonts w:eastAsia="Times New Roman" w:cstheme="minorHAnsi"/>
                      <w:sz w:val="24"/>
                      <w:szCs w:val="24"/>
                      <w:lang w:val="fr-FR"/>
                    </w:rPr>
                    <w:t>, en science</w:t>
                  </w:r>
                  <w:r>
                    <w:rPr>
                      <w:rFonts w:eastAsia="Times New Roman" w:cstheme="minorHAnsi"/>
                      <w:sz w:val="24"/>
                      <w:szCs w:val="24"/>
                      <w:lang w:val="fr-FR"/>
                    </w:rPr>
                    <w:t>s</w:t>
                  </w:r>
                  <w:r w:rsidRPr="00A33864">
                    <w:rPr>
                      <w:rFonts w:eastAsia="Times New Roman" w:cstheme="minorHAnsi"/>
                      <w:sz w:val="24"/>
                      <w:szCs w:val="24"/>
                      <w:lang w:val="fr-FR"/>
                    </w:rPr>
                    <w:t xml:space="preserve"> de développement ou un de ces domaines connexes</w:t>
                  </w:r>
                  <w:r>
                    <w:rPr>
                      <w:rFonts w:eastAsia="Times New Roman" w:cstheme="minorHAnsi"/>
                      <w:sz w:val="24"/>
                      <w:szCs w:val="24"/>
                      <w:lang w:val="fr-FR"/>
                    </w:rPr>
                    <w:t> ?</w:t>
                  </w:r>
                </w:p>
              </w:tc>
              <w:tc>
                <w:tcPr>
                  <w:tcW w:w="1747" w:type="dxa"/>
                </w:tcPr>
                <w:p w14:paraId="555324FE" w14:textId="77777777" w:rsidR="00944C34" w:rsidRPr="004D333B" w:rsidRDefault="00944C34" w:rsidP="009A47F3">
                  <w:pPr>
                    <w:rPr>
                      <w:lang w:val="fr-FR"/>
                    </w:rPr>
                  </w:pPr>
                  <w:r w:rsidRPr="004D333B">
                    <w:rPr>
                      <w:lang w:val="fr-FR"/>
                    </w:rPr>
                    <w:t>10</w:t>
                  </w:r>
                </w:p>
              </w:tc>
            </w:tr>
            <w:tr w:rsidR="00944C34" w:rsidRPr="004D333B" w14:paraId="0DAD7391" w14:textId="77777777" w:rsidTr="00A017C1">
              <w:trPr>
                <w:trHeight w:val="563"/>
              </w:trPr>
              <w:tc>
                <w:tcPr>
                  <w:tcW w:w="5926" w:type="dxa"/>
                  <w:shd w:val="clear" w:color="auto" w:fill="auto"/>
                </w:tcPr>
                <w:p w14:paraId="46D413F5" w14:textId="77879F17" w:rsidR="00944C34" w:rsidRPr="004D333B" w:rsidRDefault="00944C34" w:rsidP="009A47F3">
                  <w:pPr>
                    <w:rPr>
                      <w:rFonts w:cs="Arial"/>
                      <w:color w:val="F79646" w:themeColor="accent6"/>
                      <w:lang w:val="fr-FR"/>
                    </w:rPr>
                  </w:pPr>
                  <w:r w:rsidRPr="00E41F6D">
                    <w:rPr>
                      <w:rFonts w:cs="Arial"/>
                      <w:szCs w:val="20"/>
                      <w:lang w:val="fr-FR"/>
                    </w:rPr>
                    <w:t xml:space="preserve">Le/la soumissionnaire a-t-il/elle </w:t>
                  </w:r>
                  <w:r>
                    <w:rPr>
                      <w:rFonts w:cs="Arial"/>
                      <w:szCs w:val="20"/>
                      <w:lang w:val="fr-FR"/>
                    </w:rPr>
                    <w:t>au moins</w:t>
                  </w:r>
                  <w:r w:rsidRPr="00572EC9">
                    <w:rPr>
                      <w:rFonts w:cs="Arial"/>
                      <w:szCs w:val="20"/>
                      <w:lang w:val="fr-FR"/>
                    </w:rPr>
                    <w:t xml:space="preserve"> </w:t>
                  </w:r>
                  <w:r>
                    <w:rPr>
                      <w:rFonts w:cs="Arial"/>
                      <w:szCs w:val="20"/>
                      <w:lang w:val="fr-FR"/>
                    </w:rPr>
                    <w:t>8</w:t>
                  </w:r>
                  <w:r w:rsidRPr="00572EC9">
                    <w:rPr>
                      <w:rFonts w:cs="Arial"/>
                      <w:szCs w:val="20"/>
                      <w:lang w:val="fr-FR"/>
                    </w:rPr>
                    <w:t xml:space="preserve"> ans d'expérience </w:t>
                  </w:r>
                  <w:r w:rsidRPr="00E34B08">
                    <w:rPr>
                      <w:rFonts w:eastAsia="Times New Roman" w:cstheme="minorHAnsi"/>
                      <w:sz w:val="24"/>
                      <w:szCs w:val="24"/>
                      <w:lang w:val="fr-FR"/>
                    </w:rPr>
                    <w:t>professionnelle dans l’alignement des priorités d’environnement dans la planification au développement</w:t>
                  </w:r>
                  <w:r>
                    <w:rPr>
                      <w:rFonts w:eastAsia="Times New Roman" w:cstheme="minorHAnsi"/>
                      <w:sz w:val="24"/>
                      <w:szCs w:val="24"/>
                      <w:lang w:val="fr-FR"/>
                    </w:rPr>
                    <w:t> ?</w:t>
                  </w:r>
                  <w:r w:rsidRPr="00E34B08">
                    <w:rPr>
                      <w:rFonts w:eastAsia="Times New Roman" w:cstheme="minorHAnsi"/>
                      <w:sz w:val="24"/>
                      <w:szCs w:val="24"/>
                      <w:lang w:val="fr-FR"/>
                    </w:rPr>
                    <w:t xml:space="preserve"> </w:t>
                  </w:r>
                </w:p>
              </w:tc>
              <w:tc>
                <w:tcPr>
                  <w:tcW w:w="1747" w:type="dxa"/>
                </w:tcPr>
                <w:p w14:paraId="33B3A428" w14:textId="77777777" w:rsidR="00944C34" w:rsidRPr="004D333B" w:rsidRDefault="00944C34" w:rsidP="009A47F3">
                  <w:pPr>
                    <w:rPr>
                      <w:lang w:val="fr-FR"/>
                    </w:rPr>
                  </w:pPr>
                  <w:r w:rsidRPr="004D333B">
                    <w:rPr>
                      <w:lang w:val="fr-FR"/>
                    </w:rPr>
                    <w:t>20</w:t>
                  </w:r>
                </w:p>
              </w:tc>
            </w:tr>
            <w:tr w:rsidR="00944C34" w:rsidRPr="004D333B" w14:paraId="3134C4AE" w14:textId="77777777" w:rsidTr="00A017C1">
              <w:trPr>
                <w:trHeight w:val="301"/>
              </w:trPr>
              <w:tc>
                <w:tcPr>
                  <w:tcW w:w="5926" w:type="dxa"/>
                  <w:shd w:val="clear" w:color="auto" w:fill="auto"/>
                </w:tcPr>
                <w:p w14:paraId="52373DC4" w14:textId="4EC703AF" w:rsidR="00944C34" w:rsidRPr="004D333B" w:rsidRDefault="00944C34" w:rsidP="009A47F3">
                  <w:pPr>
                    <w:tabs>
                      <w:tab w:val="left" w:pos="1276"/>
                    </w:tabs>
                    <w:jc w:val="both"/>
                    <w:rPr>
                      <w:rFonts w:cstheme="minorHAnsi"/>
                      <w:lang w:val="fr-FR"/>
                    </w:rPr>
                  </w:pPr>
                  <w:r w:rsidRPr="00E41F6D">
                    <w:rPr>
                      <w:rFonts w:cstheme="minorHAnsi"/>
                      <w:lang w:val="fr-FR"/>
                    </w:rPr>
                    <w:t xml:space="preserve">Le/la soumissionnaire a-t-il/elle </w:t>
                  </w:r>
                  <w:r>
                    <w:rPr>
                      <w:rFonts w:cstheme="minorHAnsi"/>
                      <w:lang w:val="fr-FR"/>
                    </w:rPr>
                    <w:t xml:space="preserve">des </w:t>
                  </w:r>
                  <w:r w:rsidRPr="00E34B08">
                    <w:rPr>
                      <w:rFonts w:eastAsia="Times New Roman" w:cstheme="minorHAnsi"/>
                      <w:sz w:val="24"/>
                      <w:szCs w:val="24"/>
                      <w:lang w:val="fr-FR"/>
                    </w:rPr>
                    <w:t>Expériences prouvées,</w:t>
                  </w:r>
                  <w:r>
                    <w:rPr>
                      <w:rFonts w:eastAsia="Times New Roman" w:cstheme="minorHAnsi"/>
                      <w:sz w:val="24"/>
                      <w:szCs w:val="24"/>
                      <w:lang w:val="fr-FR"/>
                    </w:rPr>
                    <w:t xml:space="preserve"> </w:t>
                  </w:r>
                  <w:r w:rsidRPr="00E34B08">
                    <w:rPr>
                      <w:rFonts w:eastAsia="Times New Roman" w:cstheme="minorHAnsi"/>
                      <w:sz w:val="24"/>
                      <w:szCs w:val="24"/>
                      <w:lang w:val="fr-FR"/>
                    </w:rPr>
                    <w:t>dans un pays en développement et de préférence en Afrique Centrale, sur la prise en compte des thématiques transversales dans les politiques</w:t>
                  </w:r>
                  <w:r>
                    <w:rPr>
                      <w:rFonts w:eastAsia="Times New Roman" w:cstheme="minorHAnsi"/>
                      <w:sz w:val="24"/>
                      <w:szCs w:val="24"/>
                      <w:lang w:val="fr-FR"/>
                    </w:rPr>
                    <w:t> ?</w:t>
                  </w:r>
                </w:p>
              </w:tc>
              <w:tc>
                <w:tcPr>
                  <w:tcW w:w="1747" w:type="dxa"/>
                </w:tcPr>
                <w:p w14:paraId="1A25A4EC" w14:textId="77777777" w:rsidR="00944C34" w:rsidRPr="004D333B" w:rsidRDefault="00944C34" w:rsidP="009A47F3">
                  <w:pPr>
                    <w:rPr>
                      <w:lang w:val="fr-FR"/>
                    </w:rPr>
                  </w:pPr>
                  <w:r w:rsidRPr="004D333B">
                    <w:rPr>
                      <w:lang w:val="fr-FR"/>
                    </w:rPr>
                    <w:t>10</w:t>
                  </w:r>
                </w:p>
              </w:tc>
            </w:tr>
            <w:tr w:rsidR="00944C34" w:rsidRPr="002311C4" w14:paraId="2C6940C3" w14:textId="77777777" w:rsidTr="00A017C1">
              <w:trPr>
                <w:trHeight w:val="594"/>
              </w:trPr>
              <w:tc>
                <w:tcPr>
                  <w:tcW w:w="5926" w:type="dxa"/>
                  <w:shd w:val="clear" w:color="auto" w:fill="auto"/>
                </w:tcPr>
                <w:p w14:paraId="506A23F9" w14:textId="54EF5029" w:rsidR="00944C34" w:rsidRPr="004D333B" w:rsidRDefault="00944C34" w:rsidP="009A47F3">
                  <w:pPr>
                    <w:rPr>
                      <w:rFonts w:cs="Arial"/>
                      <w:color w:val="F79646" w:themeColor="accent6"/>
                      <w:lang w:val="fr-FR"/>
                    </w:rPr>
                  </w:pPr>
                  <w:r w:rsidRPr="0096270F">
                    <w:rPr>
                      <w:snapToGrid w:val="0"/>
                      <w:lang w:val="fr-FR"/>
                    </w:rPr>
                    <w:t xml:space="preserve">Le/la soumissionnaire a-t-il/elle </w:t>
                  </w:r>
                  <w:r>
                    <w:rPr>
                      <w:snapToGrid w:val="0"/>
                      <w:lang w:val="fr-FR"/>
                    </w:rPr>
                    <w:t>a</w:t>
                  </w:r>
                  <w:r w:rsidRPr="00F17141">
                    <w:rPr>
                      <w:snapToGrid w:val="0"/>
                      <w:lang w:val="fr-FR"/>
                    </w:rPr>
                    <w:t>u moins 3 expériences d’analyse institutionnelle à divers niveaux, sur les questions d’alignement des priorités de développement aux instruments de planification.</w:t>
                  </w:r>
                  <w:r>
                    <w:rPr>
                      <w:snapToGrid w:val="0"/>
                      <w:lang w:val="fr-FR"/>
                    </w:rPr>
                    <w:t xml:space="preserve"> </w:t>
                  </w:r>
                </w:p>
              </w:tc>
              <w:tc>
                <w:tcPr>
                  <w:tcW w:w="1747" w:type="dxa"/>
                </w:tcPr>
                <w:p w14:paraId="09FC3AD2" w14:textId="77777777" w:rsidR="00944C34" w:rsidRPr="004D333B" w:rsidRDefault="00944C34" w:rsidP="009A47F3">
                  <w:pPr>
                    <w:rPr>
                      <w:lang w:val="fr-FR"/>
                    </w:rPr>
                  </w:pPr>
                  <w:r w:rsidRPr="004D333B">
                    <w:rPr>
                      <w:lang w:val="fr-FR"/>
                    </w:rPr>
                    <w:t>10</w:t>
                  </w:r>
                </w:p>
              </w:tc>
            </w:tr>
            <w:tr w:rsidR="00944C34" w:rsidRPr="002311C4" w14:paraId="4576A988" w14:textId="77777777" w:rsidTr="00944C34">
              <w:trPr>
                <w:trHeight w:val="594"/>
              </w:trPr>
              <w:tc>
                <w:tcPr>
                  <w:tcW w:w="5926" w:type="dxa"/>
                  <w:shd w:val="clear" w:color="auto" w:fill="auto"/>
                </w:tcPr>
                <w:p w14:paraId="2789A0D2" w14:textId="77777777" w:rsidR="00944C34" w:rsidRPr="004D333B" w:rsidRDefault="00944C34" w:rsidP="009A47F3">
                  <w:pPr>
                    <w:rPr>
                      <w:lang w:val="fr-FR"/>
                    </w:rPr>
                  </w:pPr>
                  <w:r w:rsidRPr="0096270F">
                    <w:rPr>
                      <w:rFonts w:cstheme="minorHAnsi"/>
                      <w:b/>
                      <w:bCs/>
                      <w:snapToGrid w:val="0"/>
                      <w:lang w:val="fr-FR"/>
                    </w:rPr>
                    <w:t>Total note proposition technique</w:t>
                  </w:r>
                </w:p>
              </w:tc>
              <w:tc>
                <w:tcPr>
                  <w:tcW w:w="1747" w:type="dxa"/>
                </w:tcPr>
                <w:p w14:paraId="0E7BFBC7" w14:textId="513D3515" w:rsidR="00944C34" w:rsidRPr="004D333B" w:rsidRDefault="00944C34" w:rsidP="009A47F3">
                  <w:pPr>
                    <w:rPr>
                      <w:lang w:val="fr-FR"/>
                    </w:rPr>
                  </w:pPr>
                  <w:r>
                    <w:rPr>
                      <w:lang w:val="fr-FR"/>
                    </w:rPr>
                    <w:t>100</w:t>
                  </w:r>
                </w:p>
              </w:tc>
            </w:tr>
          </w:tbl>
          <w:p w14:paraId="3178720D" w14:textId="77777777" w:rsidR="003230F4" w:rsidRPr="0096270F" w:rsidRDefault="003230F4" w:rsidP="003230F4">
            <w:pPr>
              <w:jc w:val="both"/>
              <w:rPr>
                <w:rFonts w:eastAsia="Times New Roman" w:cstheme="minorHAnsi"/>
                <w:bCs/>
                <w:lang w:val="fr-FR" w:eastAsia="rw-RW"/>
              </w:rPr>
            </w:pPr>
          </w:p>
          <w:p w14:paraId="74BC25A0" w14:textId="77777777" w:rsidR="00E41813" w:rsidRPr="0096270F" w:rsidRDefault="00E41813" w:rsidP="00E41813">
            <w:pPr>
              <w:jc w:val="both"/>
              <w:rPr>
                <w:rFonts w:cstheme="minorHAnsi"/>
                <w:b/>
                <w:lang w:val="fr-FR"/>
              </w:rPr>
            </w:pPr>
            <w:r w:rsidRPr="0096270F">
              <w:rPr>
                <w:rFonts w:cstheme="minorHAnsi"/>
                <w:b/>
                <w:lang w:val="fr-FR"/>
              </w:rPr>
              <w:t>Seront jugées qualifiées, les propositions techniques qui obtiendront 70% de la note maximale de 100 points ; cette note technique sera pondérée a 70%.</w:t>
            </w:r>
          </w:p>
          <w:p w14:paraId="70FC6136" w14:textId="77777777" w:rsidR="00E41813" w:rsidRPr="0096270F" w:rsidRDefault="00E41813" w:rsidP="00E41813">
            <w:pPr>
              <w:jc w:val="both"/>
              <w:rPr>
                <w:rFonts w:cstheme="minorHAnsi"/>
                <w:b/>
                <w:lang w:val="fr-FR"/>
              </w:rPr>
            </w:pPr>
          </w:p>
          <w:p w14:paraId="1D2A38A6" w14:textId="2E4D6B55" w:rsidR="00E41813" w:rsidRPr="00DE2BD5" w:rsidRDefault="00E41813" w:rsidP="00DE2BD5">
            <w:pPr>
              <w:pStyle w:val="Paragraphedeliste"/>
              <w:numPr>
                <w:ilvl w:val="0"/>
                <w:numId w:val="19"/>
              </w:numPr>
              <w:jc w:val="both"/>
              <w:rPr>
                <w:rFonts w:eastAsia="Times New Roman" w:cstheme="minorHAnsi"/>
                <w:i/>
                <w:u w:val="single"/>
                <w:lang w:eastAsia="rw-RW"/>
              </w:rPr>
            </w:pPr>
            <w:r w:rsidRPr="00DE2BD5">
              <w:rPr>
                <w:rFonts w:eastAsia="Times New Roman" w:cstheme="minorHAnsi"/>
                <w:i/>
                <w:u w:val="single"/>
                <w:lang w:eastAsia="rw-RW"/>
              </w:rPr>
              <w:t xml:space="preserve">Les propositions </w:t>
            </w:r>
            <w:proofErr w:type="spellStart"/>
            <w:r w:rsidRPr="00DE2BD5">
              <w:rPr>
                <w:rFonts w:eastAsia="Times New Roman" w:cstheme="minorHAnsi"/>
                <w:i/>
                <w:u w:val="single"/>
                <w:lang w:eastAsia="rw-RW"/>
              </w:rPr>
              <w:t>financières</w:t>
            </w:r>
            <w:proofErr w:type="spellEnd"/>
          </w:p>
          <w:p w14:paraId="77CBFEA9" w14:textId="77777777" w:rsidR="00E41813" w:rsidRPr="0096270F" w:rsidRDefault="00E41813" w:rsidP="00E41813">
            <w:pPr>
              <w:jc w:val="both"/>
              <w:rPr>
                <w:rFonts w:eastAsia="Times New Roman" w:cstheme="minorHAnsi"/>
                <w:bCs/>
                <w:lang w:eastAsia="rw-RW"/>
              </w:rPr>
            </w:pPr>
          </w:p>
          <w:p w14:paraId="223BE034" w14:textId="77777777" w:rsidR="00DE2BD5" w:rsidRPr="0096270F" w:rsidRDefault="00DE2BD5" w:rsidP="00DE2BD5">
            <w:pPr>
              <w:jc w:val="both"/>
              <w:rPr>
                <w:rFonts w:eastAsia="Times New Roman" w:cstheme="minorHAnsi"/>
                <w:lang w:val="fr-FR" w:eastAsia="rw-RW"/>
              </w:rPr>
            </w:pPr>
            <w:r w:rsidRPr="0096270F">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6E14EEA0" w14:textId="77777777" w:rsidR="00DE2BD5" w:rsidRPr="0096270F" w:rsidRDefault="00DE2BD5" w:rsidP="00DE2BD5">
            <w:pPr>
              <w:jc w:val="both"/>
              <w:rPr>
                <w:rFonts w:eastAsia="Times New Roman" w:cstheme="minorHAnsi"/>
                <w:lang w:val="fr-FR" w:eastAsia="rw-RW"/>
              </w:rPr>
            </w:pPr>
          </w:p>
          <w:p w14:paraId="341351C2" w14:textId="73362DA5" w:rsidR="00DE2BD5" w:rsidRPr="00BB6AA4" w:rsidRDefault="00DE2BD5" w:rsidP="00DE2BD5">
            <w:pPr>
              <w:pStyle w:val="Paragraphedeliste"/>
              <w:numPr>
                <w:ilvl w:val="0"/>
                <w:numId w:val="20"/>
              </w:numPr>
              <w:jc w:val="both"/>
              <w:rPr>
                <w:rFonts w:eastAsia="Times New Roman" w:cstheme="minorHAnsi"/>
                <w:b/>
                <w:i/>
                <w:lang w:val="fr-FR" w:eastAsia="rw-RW"/>
              </w:rPr>
            </w:pPr>
            <w:r w:rsidRPr="00BB6AA4">
              <w:rPr>
                <w:rFonts w:eastAsia="Times New Roman" w:cstheme="minorHAnsi"/>
                <w:b/>
                <w:i/>
                <w:lang w:val="fr-FR" w:eastAsia="rw-RW"/>
              </w:rPr>
              <w:t xml:space="preserve">Note financière A = [(Offre financière la moins </w:t>
            </w:r>
            <w:proofErr w:type="spellStart"/>
            <w:r w:rsidR="0009695F" w:rsidRPr="00BB6AA4">
              <w:rPr>
                <w:rFonts w:eastAsia="Times New Roman" w:cstheme="minorHAnsi"/>
                <w:b/>
                <w:i/>
                <w:lang w:val="fr-FR" w:eastAsia="rw-RW"/>
              </w:rPr>
              <w:t>disante</w:t>
            </w:r>
            <w:proofErr w:type="spellEnd"/>
            <w:r w:rsidR="0009695F" w:rsidRPr="00BB6AA4">
              <w:rPr>
                <w:rFonts w:eastAsia="Times New Roman" w:cstheme="minorHAnsi"/>
                <w:b/>
                <w:i/>
                <w:lang w:val="fr-FR" w:eastAsia="rw-RW"/>
              </w:rPr>
              <w:t>) /</w:t>
            </w:r>
            <w:r w:rsidRPr="00BB6AA4">
              <w:rPr>
                <w:rFonts w:eastAsia="Times New Roman" w:cstheme="minorHAnsi"/>
                <w:b/>
                <w:i/>
                <w:lang w:val="fr-FR" w:eastAsia="rw-RW"/>
              </w:rPr>
              <w:t>Offre financière de A] x 30</w:t>
            </w:r>
          </w:p>
          <w:p w14:paraId="64344D07" w14:textId="77777777" w:rsidR="00DE2BD5" w:rsidRPr="0096270F" w:rsidRDefault="00DE2BD5" w:rsidP="00DE2BD5">
            <w:pPr>
              <w:jc w:val="both"/>
              <w:rPr>
                <w:rFonts w:eastAsia="Times New Roman" w:cstheme="minorHAnsi"/>
                <w:b/>
                <w:i/>
                <w:u w:val="single"/>
                <w:lang w:val="fr-FR" w:eastAsia="rw-RW"/>
              </w:rPr>
            </w:pPr>
          </w:p>
          <w:p w14:paraId="457BDF4F" w14:textId="77777777" w:rsidR="00DE2BD5" w:rsidRPr="0096270F" w:rsidRDefault="00DE2BD5" w:rsidP="00DE2BD5">
            <w:pPr>
              <w:jc w:val="both"/>
              <w:rPr>
                <w:rFonts w:eastAsia="Times New Roman" w:cstheme="minorHAnsi"/>
                <w:b/>
                <w:lang w:val="fr-FR" w:eastAsia="rw-RW"/>
              </w:rPr>
            </w:pPr>
            <w:r w:rsidRPr="0096270F">
              <w:rPr>
                <w:rFonts w:eastAsia="Times New Roman" w:cstheme="minorHAnsi"/>
                <w:b/>
                <w:lang w:val="fr-FR" w:eastAsia="rw-RW"/>
              </w:rPr>
              <w:t>Le/la Consultant (e) avec le cumul de notes (Technique + Financière) le plus élevé sera retenu pour le contrat.</w:t>
            </w:r>
          </w:p>
          <w:p w14:paraId="3C32A467" w14:textId="77777777" w:rsidR="00DE2BD5" w:rsidRPr="0096270F" w:rsidRDefault="00DE2BD5" w:rsidP="00DE2BD5">
            <w:pPr>
              <w:jc w:val="both"/>
              <w:rPr>
                <w:rFonts w:cstheme="minorHAnsi"/>
                <w:b/>
                <w:i/>
                <w:lang w:val="fr-FR"/>
              </w:rPr>
            </w:pPr>
          </w:p>
          <w:p w14:paraId="7DD9E0ED" w14:textId="77777777" w:rsidR="00DE2BD5" w:rsidRPr="00C3053C" w:rsidRDefault="00DE2BD5" w:rsidP="00DE2BD5">
            <w:pPr>
              <w:jc w:val="both"/>
              <w:rPr>
                <w:rFonts w:eastAsia="Times New Roman"/>
                <w:bCs/>
                <w:lang w:val="fr-FR" w:eastAsia="rw-RW"/>
              </w:rPr>
            </w:pPr>
            <w:r w:rsidRPr="00C3053C">
              <w:rPr>
                <w:rFonts w:eastAsia="Times New Roman"/>
                <w:bCs/>
                <w:lang w:val="fr-FR" w:eastAsia="rw-RW"/>
              </w:rPr>
              <w:t>Le/la Consultant(e) fait sa proposition financière suivant le Tableau des coûts dans l´Annexe II</w:t>
            </w:r>
            <w:r>
              <w:rPr>
                <w:rFonts w:eastAsia="Times New Roman"/>
                <w:bCs/>
                <w:lang w:val="fr-FR" w:eastAsia="rw-RW"/>
              </w:rPr>
              <w:t xml:space="preserve"> (Lettre de soumission au PNUD)</w:t>
            </w:r>
            <w:r w:rsidRPr="00C3053C">
              <w:rPr>
                <w:rFonts w:eastAsia="Times New Roman"/>
                <w:bCs/>
                <w:lang w:val="fr-FR" w:eastAsia="rw-RW"/>
              </w:rPr>
              <w:t>. Il doit proposer un montant forfaitaire et présenter</w:t>
            </w:r>
            <w:r w:rsidRPr="00C3053C">
              <w:rPr>
                <w:rFonts w:eastAsia="Times New Roman"/>
                <w:bCs/>
                <w:color w:val="00B050"/>
                <w:lang w:val="fr-FR" w:eastAsia="rw-RW"/>
              </w:rPr>
              <w:t>,</w:t>
            </w:r>
            <w:r w:rsidRPr="00C3053C">
              <w:rPr>
                <w:rFonts w:eastAsia="Times New Roman"/>
                <w:bCs/>
                <w:lang w:val="fr-FR" w:eastAsia="rw-RW"/>
              </w:rPr>
              <w:t xml:space="preserve"> dans le Tableau des coûts</w:t>
            </w:r>
            <w:r w:rsidRPr="00C3053C">
              <w:rPr>
                <w:rFonts w:eastAsia="Times New Roman"/>
                <w:bCs/>
                <w:color w:val="00B050"/>
                <w:lang w:val="fr-FR" w:eastAsia="rw-RW"/>
              </w:rPr>
              <w:t>,</w:t>
            </w:r>
            <w:r w:rsidRPr="00C3053C">
              <w:rPr>
                <w:rFonts w:eastAsia="Times New Roman"/>
                <w:bCs/>
                <w:lang w:val="fr-FR" w:eastAsia="rw-RW"/>
              </w:rPr>
              <w:t xml:space="preserve"> la ventilation de ce montant forfaitaire.</w:t>
            </w:r>
          </w:p>
          <w:p w14:paraId="2A96D850" w14:textId="77777777" w:rsidR="00DE2BD5" w:rsidRPr="00C3053C" w:rsidRDefault="00DE2BD5" w:rsidP="00DE2BD5">
            <w:pPr>
              <w:jc w:val="both"/>
              <w:rPr>
                <w:rFonts w:eastAsia="Times New Roman"/>
                <w:bCs/>
                <w:lang w:val="fr-FR" w:eastAsia="rw-RW"/>
              </w:rPr>
            </w:pPr>
          </w:p>
          <w:p w14:paraId="4815AE5D" w14:textId="77777777" w:rsidR="00DE2BD5" w:rsidRDefault="00DE2BD5" w:rsidP="00DE2BD5">
            <w:pPr>
              <w:jc w:val="both"/>
              <w:rPr>
                <w:rFonts w:eastAsia="Times New Roman"/>
                <w:bCs/>
                <w:lang w:val="fr-FR" w:eastAsia="rw-RW"/>
              </w:rPr>
            </w:pPr>
            <w:r w:rsidRPr="00C3053C">
              <w:rPr>
                <w:rFonts w:eastAsia="Times New Roman"/>
                <w:bCs/>
                <w:lang w:val="fr-FR" w:eastAsia="rw-RW"/>
              </w:rPr>
              <w:t>Le/la consultant/e devra inclure tous les frais lui permettant d’exécuter la mission suivant la durée prévue. Les paiements seront effectués sur la base de la production des livrables tels que mentionné dans la Section 3</w:t>
            </w:r>
            <w:r>
              <w:rPr>
                <w:rFonts w:eastAsia="Times New Roman"/>
                <w:bCs/>
                <w:lang w:val="fr-FR" w:eastAsia="rw-RW"/>
              </w:rPr>
              <w:t xml:space="preserve"> – Livrables et Tranches de Paiement</w:t>
            </w:r>
          </w:p>
          <w:p w14:paraId="69F14502" w14:textId="77777777" w:rsidR="00E41813" w:rsidRPr="0096270F" w:rsidRDefault="00E41813" w:rsidP="00E41813">
            <w:pPr>
              <w:jc w:val="both"/>
              <w:rPr>
                <w:rFonts w:cstheme="minorHAnsi"/>
                <w:b/>
                <w:i/>
                <w:lang w:val="fr-FR"/>
              </w:rPr>
            </w:pPr>
          </w:p>
          <w:p w14:paraId="67F13CA9" w14:textId="77777777" w:rsidR="00443E94" w:rsidRPr="0096270F" w:rsidRDefault="00E41813" w:rsidP="00167362">
            <w:pPr>
              <w:jc w:val="both"/>
              <w:rPr>
                <w:rFonts w:cstheme="minorHAnsi"/>
                <w:b/>
                <w:i/>
                <w:lang w:val="fr-FR"/>
              </w:rPr>
            </w:pPr>
            <w:r w:rsidRPr="0096270F">
              <w:rPr>
                <w:rFonts w:cstheme="minorHAnsi"/>
                <w:b/>
                <w:i/>
                <w:lang w:val="fr-FR"/>
              </w:rPr>
              <w:t>Seulement les candidats ayant obtenu la note minimale combinée de 70/100 à l´évaluation technique seront considérés pour l’évaluation financière.</w:t>
            </w:r>
          </w:p>
        </w:tc>
      </w:tr>
    </w:tbl>
    <w:p w14:paraId="1FCF716F" w14:textId="77777777" w:rsidR="00976D3C" w:rsidRPr="0096270F" w:rsidRDefault="00976D3C" w:rsidP="00A24134">
      <w:pPr>
        <w:rPr>
          <w:rFonts w:cstheme="minorHAnsi"/>
          <w:b/>
          <w:lang w:val="fr-FR"/>
        </w:rPr>
      </w:pPr>
    </w:p>
    <w:p w14:paraId="4A14E738" w14:textId="77777777" w:rsidR="00C3053C" w:rsidRPr="0096270F" w:rsidRDefault="00393024" w:rsidP="00C3053C">
      <w:pPr>
        <w:rPr>
          <w:rFonts w:cstheme="minorHAnsi"/>
          <w:b/>
          <w:lang w:val="fr-FR"/>
        </w:rPr>
      </w:pPr>
      <w:r w:rsidRPr="0096270F">
        <w:rPr>
          <w:rFonts w:cstheme="minorHAnsi"/>
          <w:b/>
        </w:rPr>
        <w:t>8</w:t>
      </w:r>
      <w:r w:rsidR="00C3053C" w:rsidRPr="0096270F">
        <w:rPr>
          <w:rFonts w:cstheme="minorHAnsi"/>
          <w:b/>
        </w:rPr>
        <w:t xml:space="preserve">. </w:t>
      </w:r>
      <w:r w:rsidR="00C3053C" w:rsidRPr="0096270F">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2311C4" w14:paraId="42896A12" w14:textId="77777777" w:rsidTr="00CB2556">
        <w:trPr>
          <w:trHeight w:val="1790"/>
        </w:trPr>
        <w:tc>
          <w:tcPr>
            <w:tcW w:w="9576" w:type="dxa"/>
          </w:tcPr>
          <w:p w14:paraId="1EF7382C" w14:textId="77777777" w:rsidR="00C3053C" w:rsidRPr="0096270F" w:rsidRDefault="00C3053C" w:rsidP="00C3053C">
            <w:pPr>
              <w:rPr>
                <w:rFonts w:cstheme="minorHAnsi"/>
                <w:lang w:val="fr-FR"/>
              </w:rPr>
            </w:pPr>
            <w:r w:rsidRPr="0096270F">
              <w:rPr>
                <w:rFonts w:cstheme="minorHAnsi"/>
                <w:lang w:val="fr-FR"/>
              </w:rPr>
              <w:lastRenderedPageBreak/>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96270F" w:rsidRDefault="00C3053C" w:rsidP="00C3053C">
            <w:pPr>
              <w:rPr>
                <w:rFonts w:cstheme="minorHAnsi"/>
                <w:lang w:val="fr-FR"/>
              </w:rPr>
            </w:pPr>
          </w:p>
          <w:p w14:paraId="6B5F4FE8" w14:textId="77777777" w:rsidR="00C3053C" w:rsidRPr="0096270F" w:rsidRDefault="00C3053C" w:rsidP="00DC6C23">
            <w:pPr>
              <w:rPr>
                <w:rFonts w:cstheme="minorHAnsi"/>
                <w:lang w:val="fr-FR"/>
              </w:rPr>
            </w:pPr>
            <w:r w:rsidRPr="0096270F">
              <w:rPr>
                <w:rFonts w:cstheme="minorHAnsi"/>
                <w:lang w:val="fr-FR"/>
              </w:rPr>
              <w:t xml:space="preserve">Le consultant retenu devra prendre toutes les dispositions nécessaires pour faire les </w:t>
            </w:r>
            <w:r w:rsidRPr="0096270F">
              <w:rPr>
                <w:rFonts w:cstheme="minorHAnsi"/>
                <w:b/>
                <w:lang w:val="fr-FR"/>
              </w:rPr>
              <w:t xml:space="preserve">formations sécuritaires requises </w:t>
            </w:r>
            <w:r w:rsidRPr="0096270F">
              <w:rPr>
                <w:rFonts w:cstheme="minorHAnsi"/>
                <w:lang w:val="fr-FR"/>
              </w:rPr>
              <w:t>avant tout démarrage de mission (ces certificats sont obtenus en ligne, le PNUD fournira tous les détails au consultant retenu au moment de l´attribution du contrat).</w:t>
            </w:r>
          </w:p>
        </w:tc>
      </w:tr>
    </w:tbl>
    <w:p w14:paraId="652DC8E8" w14:textId="77777777" w:rsidR="00A72DB1" w:rsidRDefault="00A72DB1" w:rsidP="00A24134">
      <w:pPr>
        <w:rPr>
          <w:rFonts w:cstheme="minorHAnsi"/>
          <w:b/>
          <w:u w:val="single"/>
          <w:lang w:val="fr-FR"/>
        </w:rPr>
      </w:pPr>
    </w:p>
    <w:p w14:paraId="06AD53EC" w14:textId="77777777" w:rsidR="00A72DB1" w:rsidRDefault="00A72DB1" w:rsidP="00A24134">
      <w:pPr>
        <w:rPr>
          <w:rFonts w:cstheme="minorHAnsi"/>
          <w:b/>
          <w:u w:val="single"/>
          <w:lang w:val="fr-FR"/>
        </w:rPr>
      </w:pPr>
    </w:p>
    <w:p w14:paraId="6CAB27E1" w14:textId="28816285" w:rsidR="00EA50D0" w:rsidRPr="0096270F" w:rsidRDefault="002A1486" w:rsidP="00A24134">
      <w:pPr>
        <w:rPr>
          <w:rFonts w:cstheme="minorHAnsi"/>
          <w:b/>
          <w:u w:val="single"/>
          <w:lang w:val="fr-FR"/>
        </w:rPr>
      </w:pPr>
      <w:r w:rsidRPr="0096270F">
        <w:rPr>
          <w:rFonts w:cstheme="minorHAnsi"/>
          <w:b/>
          <w:u w:val="single"/>
          <w:lang w:val="fr-FR"/>
        </w:rPr>
        <w:t>ANNEX</w:t>
      </w:r>
      <w:r w:rsidR="00852471" w:rsidRPr="0096270F">
        <w:rPr>
          <w:rFonts w:cstheme="minorHAnsi"/>
          <w:b/>
          <w:u w:val="single"/>
          <w:lang w:val="fr-FR"/>
        </w:rPr>
        <w:t>ES</w:t>
      </w:r>
    </w:p>
    <w:p w14:paraId="7D25DA8C" w14:textId="77777777" w:rsidR="00103276" w:rsidRPr="0096270F" w:rsidRDefault="0082245E" w:rsidP="00A24134">
      <w:pPr>
        <w:rPr>
          <w:rFonts w:cstheme="minorHAnsi"/>
          <w:b/>
          <w:lang w:val="fr-FR"/>
        </w:rPr>
      </w:pPr>
      <w:r w:rsidRPr="0096270F">
        <w:rPr>
          <w:rFonts w:cstheme="minorHAnsi"/>
          <w:b/>
          <w:lang w:val="fr-FR"/>
        </w:rPr>
        <w:t>ANNEX 1</w:t>
      </w:r>
      <w:r w:rsidR="00167362" w:rsidRPr="0096270F">
        <w:rPr>
          <w:rFonts w:cstheme="minorHAnsi"/>
          <w:b/>
          <w:lang w:val="fr-FR"/>
        </w:rPr>
        <w:t xml:space="preserve"> – Termes et Conditions des contrats IC (</w:t>
      </w:r>
      <w:proofErr w:type="spellStart"/>
      <w:r w:rsidR="00167362" w:rsidRPr="0096270F">
        <w:rPr>
          <w:rFonts w:cstheme="minorHAnsi"/>
          <w:b/>
          <w:lang w:val="fr-FR"/>
        </w:rPr>
        <w:t>Individual</w:t>
      </w:r>
      <w:proofErr w:type="spellEnd"/>
      <w:r w:rsidR="00167362" w:rsidRPr="0096270F">
        <w:rPr>
          <w:rFonts w:cstheme="minorHAnsi"/>
          <w:b/>
          <w:lang w:val="fr-FR"/>
        </w:rPr>
        <w:t xml:space="preserve"> </w:t>
      </w:r>
      <w:proofErr w:type="spellStart"/>
      <w:r w:rsidR="00167362" w:rsidRPr="0096270F">
        <w:rPr>
          <w:rFonts w:cstheme="minorHAnsi"/>
          <w:b/>
          <w:lang w:val="fr-FR"/>
        </w:rPr>
        <w:t>Contracts</w:t>
      </w:r>
      <w:proofErr w:type="spellEnd"/>
      <w:r w:rsidR="00167362" w:rsidRPr="0096270F">
        <w:rPr>
          <w:rFonts w:cstheme="minorHAnsi"/>
          <w:b/>
          <w:lang w:val="fr-FR"/>
        </w:rPr>
        <w:t>)</w:t>
      </w:r>
    </w:p>
    <w:bookmarkStart w:id="1" w:name="_MON_1440321617"/>
    <w:bookmarkEnd w:id="1"/>
    <w:p w14:paraId="1897775D" w14:textId="77777777" w:rsidR="00CB2556" w:rsidRDefault="00A24A6D" w:rsidP="009B3F7F">
      <w:pPr>
        <w:rPr>
          <w:rFonts w:eastAsia="Times New Roman" w:cstheme="minorHAnsi"/>
          <w:b/>
          <w:noProof/>
          <w:lang w:eastAsia="rw-RW"/>
        </w:rPr>
      </w:pPr>
      <w:r w:rsidRPr="0096270F">
        <w:rPr>
          <w:rFonts w:eastAsia="Times New Roman" w:cstheme="minorHAnsi"/>
          <w:b/>
          <w:noProof/>
          <w:lang w:eastAsia="rw-RW"/>
        </w:rPr>
        <w:object w:dxaOrig="1531" w:dyaOrig="990" w14:anchorId="4CA2B9B6">
          <v:shape id="_x0000_i1026" type="#_x0000_t75" alt="" style="width:78.6pt;height:50.4pt;mso-width-percent:0;mso-height-percent:0;mso-width-percent:0;mso-height-percent:0" o:ole="">
            <v:imagedata r:id="rId14" o:title=""/>
          </v:shape>
          <o:OLEObject Type="Embed" ProgID="Word.Document.12" ShapeID="_x0000_i1026" DrawAspect="Icon" ObjectID="_1622036011" r:id="rId15">
            <o:FieldCodes>\s</o:FieldCodes>
          </o:OLEObject>
        </w:object>
      </w:r>
    </w:p>
    <w:p w14:paraId="6730935D" w14:textId="58CAD4AD" w:rsidR="00CB2556" w:rsidRPr="002311C4" w:rsidRDefault="00852471" w:rsidP="009B3F7F">
      <w:pPr>
        <w:rPr>
          <w:rFonts w:eastAsia="Times New Roman" w:cstheme="minorHAnsi"/>
          <w:b/>
          <w:noProof/>
          <w:lang w:val="fr-FR" w:eastAsia="rw-RW"/>
        </w:rPr>
      </w:pPr>
      <w:r w:rsidRPr="0096270F">
        <w:rPr>
          <w:rFonts w:cstheme="minorHAnsi"/>
          <w:b/>
          <w:lang w:val="fr-FR"/>
        </w:rPr>
        <w:t>ANNEX 2 –</w:t>
      </w:r>
      <w:r w:rsidR="009B3F7F" w:rsidRPr="009B3F7F">
        <w:rPr>
          <w:rFonts w:cstheme="minorHAnsi"/>
          <w:b/>
          <w:lang w:val="fr-FR"/>
        </w:rPr>
        <w:t xml:space="preserve"> </w:t>
      </w:r>
      <w:r w:rsidR="009B3F7F" w:rsidRPr="00BB6AA4">
        <w:rPr>
          <w:rFonts w:cstheme="minorHAnsi"/>
          <w:b/>
          <w:lang w:val="fr-FR"/>
        </w:rPr>
        <w:t>Lettre de soumission au PNUD confirmant l´intérêt et la disponibilité du prestataire individuel (IC) pour la mission (y compris le tableau des couts)</w:t>
      </w:r>
    </w:p>
    <w:p w14:paraId="784DD087" w14:textId="0A6A3344" w:rsidR="009B3F7F" w:rsidRPr="00CB2556" w:rsidRDefault="00CB2556" w:rsidP="00CB2556">
      <w:pPr>
        <w:rPr>
          <w:rFonts w:eastAsia="Times New Roman" w:cstheme="minorHAnsi"/>
          <w:lang w:eastAsia="rw-RW"/>
        </w:rPr>
      </w:pPr>
      <w:r>
        <w:rPr>
          <w:rFonts w:cstheme="minorHAnsi"/>
          <w:b/>
          <w:noProof/>
          <w:lang w:val="fr-FR"/>
        </w:rPr>
        <w:object w:dxaOrig="1478" w:dyaOrig="973" w14:anchorId="6107FC62">
          <v:shape id="_x0000_i1027" type="#_x0000_t75" style="width:73.8pt;height:48.6pt" o:ole="">
            <v:imagedata r:id="rId16" o:title=""/>
          </v:shape>
          <o:OLEObject Type="Embed" ProgID="Word.Document.12" ShapeID="_x0000_i1027" DrawAspect="Icon" ObjectID="_1622036012" r:id="rId17">
            <o:FieldCodes>\s</o:FieldCodes>
          </o:OLEObject>
        </w:object>
      </w:r>
    </w:p>
    <w:p w14:paraId="59233549" w14:textId="0DD18AC5" w:rsidR="00852471" w:rsidRPr="00C94C3F" w:rsidRDefault="00852471" w:rsidP="00A24134">
      <w:pPr>
        <w:rPr>
          <w:rFonts w:cstheme="minorHAnsi"/>
          <w:b/>
          <w:lang w:val="fr-FR"/>
        </w:rPr>
      </w:pPr>
      <w:r w:rsidRPr="0096270F">
        <w:rPr>
          <w:rFonts w:cstheme="minorHAnsi"/>
          <w:b/>
          <w:lang w:val="fr-FR"/>
        </w:rPr>
        <w:t xml:space="preserve"> </w:t>
      </w:r>
    </w:p>
    <w:p w14:paraId="36C0255C" w14:textId="5592D42B" w:rsidR="00240981" w:rsidRPr="00C94C3F" w:rsidRDefault="00240981" w:rsidP="00C3053C">
      <w:pPr>
        <w:rPr>
          <w:rFonts w:cstheme="minorHAnsi"/>
          <w:b/>
          <w:lang w:val="fr-FR"/>
        </w:rPr>
      </w:pPr>
    </w:p>
    <w:sectPr w:rsidR="00240981" w:rsidRPr="00C94C3F"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8963" w14:textId="77777777" w:rsidR="00F34605" w:rsidRDefault="00F34605" w:rsidP="00A24134">
      <w:pPr>
        <w:spacing w:after="0" w:line="240" w:lineRule="auto"/>
      </w:pPr>
      <w:r>
        <w:separator/>
      </w:r>
    </w:p>
  </w:endnote>
  <w:endnote w:type="continuationSeparator" w:id="0">
    <w:p w14:paraId="0B72996D" w14:textId="77777777" w:rsidR="00F34605" w:rsidRDefault="00F3460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B8CA" w14:textId="0D00EBB6" w:rsidR="003343CB" w:rsidRPr="003F640F" w:rsidRDefault="0010514C" w:rsidP="003F640F">
    <w:pPr>
      <w:pStyle w:val="Pieddepage"/>
    </w:pPr>
    <w:r>
      <w:rPr>
        <w:rFonts w:eastAsia="Times New Roman" w:cstheme="minorHAnsi"/>
        <w:b/>
        <w:lang w:val="fr-FR" w:eastAsia="rw-RW"/>
      </w:rPr>
      <w:t>1</w:t>
    </w:r>
    <w:r w:rsidR="00667BDE">
      <w:rPr>
        <w:rFonts w:eastAsia="Times New Roman" w:cstheme="minorHAnsi"/>
        <w:b/>
        <w:lang w:val="fr-FR" w:eastAsia="rw-RW"/>
      </w:rPr>
      <w:t>57</w:t>
    </w:r>
    <w:r w:rsidR="003F640F">
      <w:rPr>
        <w:rFonts w:eastAsia="Times New Roman" w:cstheme="minorHAnsi"/>
        <w:b/>
        <w:lang w:val="fr-FR" w:eastAsia="rw-RW"/>
      </w:rPr>
      <w:t>/IC</w:t>
    </w:r>
    <w:r w:rsidR="00E30D50">
      <w:rPr>
        <w:rFonts w:eastAsia="Times New Roman" w:cstheme="minorHAnsi"/>
        <w:b/>
        <w:lang w:val="fr-FR" w:eastAsia="rw-RW"/>
      </w:rPr>
      <w:t>-NAT</w:t>
    </w:r>
    <w:r w:rsidR="003F640F">
      <w:rPr>
        <w:rFonts w:eastAsia="Times New Roman" w:cstheme="minorHAnsi"/>
        <w:b/>
        <w:lang w:val="fr-FR" w:eastAsia="rw-RW"/>
      </w:rPr>
      <w:t>/</w:t>
    </w:r>
    <w:r w:rsidR="00E30D50">
      <w:rPr>
        <w:rFonts w:eastAsia="Times New Roman" w:cstheme="minorHAnsi"/>
        <w:b/>
        <w:lang w:val="fr-FR" w:eastAsia="rw-RW"/>
      </w:rPr>
      <w:t>PNA</w:t>
    </w:r>
    <w:r w:rsidR="003F640F">
      <w:rPr>
        <w:rFonts w:eastAsia="Times New Roman" w:cstheme="minorHAnsi"/>
        <w:b/>
        <w:lang w:val="fr-FR" w:eastAsia="rw-RW"/>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D209" w14:textId="77777777" w:rsidR="00F34605" w:rsidRDefault="00F34605" w:rsidP="00A24134">
      <w:pPr>
        <w:spacing w:after="0" w:line="240" w:lineRule="auto"/>
      </w:pPr>
      <w:r>
        <w:separator/>
      </w:r>
    </w:p>
  </w:footnote>
  <w:footnote w:type="continuationSeparator" w:id="0">
    <w:p w14:paraId="5A8BC4F4" w14:textId="77777777" w:rsidR="00F34605" w:rsidRDefault="00F34605" w:rsidP="00A24134">
      <w:pPr>
        <w:spacing w:after="0" w:line="240" w:lineRule="auto"/>
      </w:pPr>
      <w:r>
        <w:continuationSeparator/>
      </w:r>
    </w:p>
  </w:footnote>
  <w:footnote w:id="1">
    <w:p w14:paraId="36189FA0" w14:textId="77777777" w:rsidR="00BA2938" w:rsidRPr="00BE707D" w:rsidRDefault="00BA2938" w:rsidP="00BA2938">
      <w:pPr>
        <w:pStyle w:val="Notedebasdepage"/>
        <w:rPr>
          <w:lang w:val="fr-CD"/>
        </w:rPr>
      </w:pPr>
      <w:r>
        <w:rPr>
          <w:rStyle w:val="Appelnotedebasdep"/>
        </w:rPr>
        <w:footnoteRef/>
      </w:r>
      <w:r>
        <w:t xml:space="preserve"> </w:t>
      </w:r>
      <w:hyperlink r:id="rId1" w:history="1">
        <w:r w:rsidRPr="001D114C">
          <w:rPr>
            <w:rStyle w:val="Lienhypertexte"/>
          </w:rPr>
          <w:t>https://donnees.banquemondiale.org/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133B4DF9">
          <wp:extent cx="381000" cy="983758"/>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474" cy="1039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6.6pt" o:bullet="t">
        <v:imagedata r:id="rId1" o:title="bullet"/>
      </v:shape>
    </w:pict>
  </w:numPicBullet>
  <w:abstractNum w:abstractNumId="0" w15:restartNumberingAfterBreak="0">
    <w:nsid w:val="02CE39D6"/>
    <w:multiLevelType w:val="hybridMultilevel"/>
    <w:tmpl w:val="412823FE"/>
    <w:lvl w:ilvl="0" w:tplc="71CAF1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3686"/>
    <w:multiLevelType w:val="multilevel"/>
    <w:tmpl w:val="CD34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9086D"/>
    <w:multiLevelType w:val="hybridMultilevel"/>
    <w:tmpl w:val="ED4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C37AF"/>
    <w:multiLevelType w:val="hybridMultilevel"/>
    <w:tmpl w:val="C4B4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447FF"/>
    <w:multiLevelType w:val="hybridMultilevel"/>
    <w:tmpl w:val="64BCF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7A1EDD"/>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4A555426"/>
    <w:multiLevelType w:val="hybridMultilevel"/>
    <w:tmpl w:val="05D88890"/>
    <w:lvl w:ilvl="0" w:tplc="00400B6E">
      <w:start w:val="1"/>
      <w:numFmt w:val="decimal"/>
      <w:lvlText w:val="%1."/>
      <w:lvlJc w:val="left"/>
      <w:pPr>
        <w:ind w:left="405" w:hanging="360"/>
      </w:pPr>
      <w:rPr>
        <w:rFonts w:asciiTheme="minorHAnsi" w:eastAsiaTheme="minorHAnsi" w:hAnsiTheme="minorHAnsi" w:cstheme="minorBidi"/>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4"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0F6DDF"/>
    <w:multiLevelType w:val="hybridMultilevel"/>
    <w:tmpl w:val="735E6236"/>
    <w:lvl w:ilvl="0" w:tplc="4588D19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DF535D"/>
    <w:multiLevelType w:val="hybridMultilevel"/>
    <w:tmpl w:val="C2ACE93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0"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A2870"/>
    <w:multiLevelType w:val="hybridMultilevel"/>
    <w:tmpl w:val="1F0C78A0"/>
    <w:lvl w:ilvl="0" w:tplc="00400B6E">
      <w:start w:val="1"/>
      <w:numFmt w:val="decimal"/>
      <w:lvlText w:val="%1."/>
      <w:lvlJc w:val="left"/>
      <w:pPr>
        <w:ind w:left="405" w:hanging="360"/>
      </w:pPr>
      <w:rPr>
        <w:rFonts w:asciiTheme="minorHAnsi" w:eastAsiaTheme="minorHAnsi" w:hAnsiTheme="minorHAnsi" w:cstheme="minorBidi"/>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15:restartNumberingAfterBreak="0">
    <w:nsid w:val="6B1A1557"/>
    <w:multiLevelType w:val="hybridMultilevel"/>
    <w:tmpl w:val="AA0E4A6C"/>
    <w:lvl w:ilvl="0" w:tplc="240C0019">
      <w:start w:val="2"/>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4"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E7063B"/>
    <w:multiLevelType w:val="hybridMultilevel"/>
    <w:tmpl w:val="B3622346"/>
    <w:lvl w:ilvl="0" w:tplc="27A2CEDE">
      <w:start w:val="1"/>
      <w:numFmt w:val="decimal"/>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83576"/>
    <w:multiLevelType w:val="hybridMultilevel"/>
    <w:tmpl w:val="3D0A0C2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8" w15:restartNumberingAfterBreak="0">
    <w:nsid w:val="7CA77457"/>
    <w:multiLevelType w:val="hybridMultilevel"/>
    <w:tmpl w:val="1FC083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8"/>
  </w:num>
  <w:num w:numId="2">
    <w:abstractNumId w:val="16"/>
  </w:num>
  <w:num w:numId="3">
    <w:abstractNumId w:val="3"/>
  </w:num>
  <w:num w:numId="4">
    <w:abstractNumId w:val="5"/>
  </w:num>
  <w:num w:numId="5">
    <w:abstractNumId w:val="15"/>
  </w:num>
  <w:num w:numId="6">
    <w:abstractNumId w:val="4"/>
  </w:num>
  <w:num w:numId="7">
    <w:abstractNumId w:val="26"/>
  </w:num>
  <w:num w:numId="8">
    <w:abstractNumId w:val="14"/>
  </w:num>
  <w:num w:numId="9">
    <w:abstractNumId w:val="20"/>
  </w:num>
  <w:num w:numId="10">
    <w:abstractNumId w:val="28"/>
  </w:num>
  <w:num w:numId="11">
    <w:abstractNumId w:val="21"/>
  </w:num>
  <w:num w:numId="12">
    <w:abstractNumId w:val="10"/>
  </w:num>
  <w:num w:numId="13">
    <w:abstractNumId w:val="9"/>
  </w:num>
  <w:num w:numId="14">
    <w:abstractNumId w:val="13"/>
  </w:num>
  <w:num w:numId="15">
    <w:abstractNumId w:val="22"/>
  </w:num>
  <w:num w:numId="16">
    <w:abstractNumId w:val="25"/>
  </w:num>
  <w:num w:numId="17">
    <w:abstractNumId w:val="11"/>
  </w:num>
  <w:num w:numId="18">
    <w:abstractNumId w:val="17"/>
  </w:num>
  <w:num w:numId="19">
    <w:abstractNumId w:val="23"/>
  </w:num>
  <w:num w:numId="20">
    <w:abstractNumId w:val="8"/>
  </w:num>
  <w:num w:numId="21">
    <w:abstractNumId w:val="6"/>
  </w:num>
  <w:num w:numId="22">
    <w:abstractNumId w:val="12"/>
  </w:num>
  <w:num w:numId="23">
    <w:abstractNumId w:val="19"/>
  </w:num>
  <w:num w:numId="24">
    <w:abstractNumId w:val="24"/>
  </w:num>
  <w:num w:numId="25">
    <w:abstractNumId w:val="1"/>
  </w:num>
  <w:num w:numId="26">
    <w:abstractNumId w:val="27"/>
  </w:num>
  <w:num w:numId="27">
    <w:abstractNumId w:val="2"/>
  </w:num>
  <w:num w:numId="28">
    <w:abstractNumId w:val="0"/>
  </w:num>
  <w:num w:numId="2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2307"/>
    <w:rsid w:val="00003CF1"/>
    <w:rsid w:val="00005A87"/>
    <w:rsid w:val="0001012F"/>
    <w:rsid w:val="000121F0"/>
    <w:rsid w:val="0001469E"/>
    <w:rsid w:val="00023420"/>
    <w:rsid w:val="000247EB"/>
    <w:rsid w:val="00033D7A"/>
    <w:rsid w:val="000440EC"/>
    <w:rsid w:val="00057DA8"/>
    <w:rsid w:val="00076BC5"/>
    <w:rsid w:val="0008283A"/>
    <w:rsid w:val="000853CD"/>
    <w:rsid w:val="00086485"/>
    <w:rsid w:val="00092DBB"/>
    <w:rsid w:val="000964DE"/>
    <w:rsid w:val="0009695F"/>
    <w:rsid w:val="00097CE8"/>
    <w:rsid w:val="000A1FF0"/>
    <w:rsid w:val="000A50A1"/>
    <w:rsid w:val="000A6993"/>
    <w:rsid w:val="000B254C"/>
    <w:rsid w:val="000C1DFD"/>
    <w:rsid w:val="000D2201"/>
    <w:rsid w:val="000D7BD3"/>
    <w:rsid w:val="000E1EB5"/>
    <w:rsid w:val="000E2C6B"/>
    <w:rsid w:val="000E45E5"/>
    <w:rsid w:val="000E6FDF"/>
    <w:rsid w:val="00103276"/>
    <w:rsid w:val="0010514C"/>
    <w:rsid w:val="00121461"/>
    <w:rsid w:val="00123982"/>
    <w:rsid w:val="00130622"/>
    <w:rsid w:val="00134850"/>
    <w:rsid w:val="00134A66"/>
    <w:rsid w:val="001446F6"/>
    <w:rsid w:val="00144DE7"/>
    <w:rsid w:val="001473B3"/>
    <w:rsid w:val="00151CC7"/>
    <w:rsid w:val="00157D70"/>
    <w:rsid w:val="00164555"/>
    <w:rsid w:val="00167362"/>
    <w:rsid w:val="00170654"/>
    <w:rsid w:val="00170915"/>
    <w:rsid w:val="00171DE4"/>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311C4"/>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6AFF"/>
    <w:rsid w:val="002F799A"/>
    <w:rsid w:val="002F7B77"/>
    <w:rsid w:val="003033CA"/>
    <w:rsid w:val="00313992"/>
    <w:rsid w:val="00314F51"/>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4655"/>
    <w:rsid w:val="00361D3D"/>
    <w:rsid w:val="00374D57"/>
    <w:rsid w:val="003754C3"/>
    <w:rsid w:val="00377996"/>
    <w:rsid w:val="0038031A"/>
    <w:rsid w:val="003812A9"/>
    <w:rsid w:val="003836C0"/>
    <w:rsid w:val="00393024"/>
    <w:rsid w:val="00394B99"/>
    <w:rsid w:val="003A22D4"/>
    <w:rsid w:val="003B0C3C"/>
    <w:rsid w:val="003B189C"/>
    <w:rsid w:val="003C7664"/>
    <w:rsid w:val="003F0258"/>
    <w:rsid w:val="003F640F"/>
    <w:rsid w:val="004122DA"/>
    <w:rsid w:val="00420FEA"/>
    <w:rsid w:val="0042632D"/>
    <w:rsid w:val="00431ED4"/>
    <w:rsid w:val="00432027"/>
    <w:rsid w:val="00440ECE"/>
    <w:rsid w:val="00443E94"/>
    <w:rsid w:val="00445903"/>
    <w:rsid w:val="00456FFA"/>
    <w:rsid w:val="00460609"/>
    <w:rsid w:val="00464661"/>
    <w:rsid w:val="00473B49"/>
    <w:rsid w:val="004758AA"/>
    <w:rsid w:val="004762C8"/>
    <w:rsid w:val="0048306B"/>
    <w:rsid w:val="004830B9"/>
    <w:rsid w:val="00497F1C"/>
    <w:rsid w:val="004A2B79"/>
    <w:rsid w:val="004B1614"/>
    <w:rsid w:val="004D3F24"/>
    <w:rsid w:val="004E1860"/>
    <w:rsid w:val="004E6556"/>
    <w:rsid w:val="004F4F1B"/>
    <w:rsid w:val="004F50EA"/>
    <w:rsid w:val="00504B1D"/>
    <w:rsid w:val="005063F9"/>
    <w:rsid w:val="005131C5"/>
    <w:rsid w:val="005227DB"/>
    <w:rsid w:val="00523BE8"/>
    <w:rsid w:val="00526069"/>
    <w:rsid w:val="005342F9"/>
    <w:rsid w:val="00540BD0"/>
    <w:rsid w:val="00550CF0"/>
    <w:rsid w:val="0055144F"/>
    <w:rsid w:val="0055219C"/>
    <w:rsid w:val="00552801"/>
    <w:rsid w:val="00557FCC"/>
    <w:rsid w:val="00562515"/>
    <w:rsid w:val="0056423A"/>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3D95"/>
    <w:rsid w:val="0065681E"/>
    <w:rsid w:val="0065710B"/>
    <w:rsid w:val="0066198E"/>
    <w:rsid w:val="00662312"/>
    <w:rsid w:val="00666EED"/>
    <w:rsid w:val="00667BDE"/>
    <w:rsid w:val="00671528"/>
    <w:rsid w:val="00676AD5"/>
    <w:rsid w:val="006822FB"/>
    <w:rsid w:val="00684307"/>
    <w:rsid w:val="00691E45"/>
    <w:rsid w:val="006C491D"/>
    <w:rsid w:val="006C5D0B"/>
    <w:rsid w:val="006E06DC"/>
    <w:rsid w:val="006E1090"/>
    <w:rsid w:val="006E4092"/>
    <w:rsid w:val="006E4DAC"/>
    <w:rsid w:val="006F32E7"/>
    <w:rsid w:val="006F4513"/>
    <w:rsid w:val="00711A47"/>
    <w:rsid w:val="00711F0F"/>
    <w:rsid w:val="00714D65"/>
    <w:rsid w:val="00717476"/>
    <w:rsid w:val="007222BB"/>
    <w:rsid w:val="00726A53"/>
    <w:rsid w:val="00733BAA"/>
    <w:rsid w:val="007354EA"/>
    <w:rsid w:val="00741FDD"/>
    <w:rsid w:val="00763D8C"/>
    <w:rsid w:val="007650C2"/>
    <w:rsid w:val="007654A8"/>
    <w:rsid w:val="00765B08"/>
    <w:rsid w:val="00776FB1"/>
    <w:rsid w:val="007A00F5"/>
    <w:rsid w:val="007B467A"/>
    <w:rsid w:val="007B4EEB"/>
    <w:rsid w:val="007B6AE2"/>
    <w:rsid w:val="007C4235"/>
    <w:rsid w:val="007C60BB"/>
    <w:rsid w:val="007D382E"/>
    <w:rsid w:val="007E3539"/>
    <w:rsid w:val="007E4F76"/>
    <w:rsid w:val="00806135"/>
    <w:rsid w:val="00810FC3"/>
    <w:rsid w:val="00816B78"/>
    <w:rsid w:val="008221DF"/>
    <w:rsid w:val="0082245E"/>
    <w:rsid w:val="00834D1A"/>
    <w:rsid w:val="0083711D"/>
    <w:rsid w:val="00837F09"/>
    <w:rsid w:val="008429D1"/>
    <w:rsid w:val="00845D5B"/>
    <w:rsid w:val="00852471"/>
    <w:rsid w:val="00873D75"/>
    <w:rsid w:val="008800F4"/>
    <w:rsid w:val="00881645"/>
    <w:rsid w:val="00881ADC"/>
    <w:rsid w:val="00882780"/>
    <w:rsid w:val="0088741C"/>
    <w:rsid w:val="008A0260"/>
    <w:rsid w:val="008A277A"/>
    <w:rsid w:val="008A4E69"/>
    <w:rsid w:val="008A6F73"/>
    <w:rsid w:val="008B33D2"/>
    <w:rsid w:val="008B4DB7"/>
    <w:rsid w:val="008B6321"/>
    <w:rsid w:val="008D43CB"/>
    <w:rsid w:val="008E128B"/>
    <w:rsid w:val="008E21EC"/>
    <w:rsid w:val="008E31C7"/>
    <w:rsid w:val="00916940"/>
    <w:rsid w:val="009208E8"/>
    <w:rsid w:val="00922409"/>
    <w:rsid w:val="00922731"/>
    <w:rsid w:val="00935DF2"/>
    <w:rsid w:val="00944C34"/>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A47F3"/>
    <w:rsid w:val="009B3F7F"/>
    <w:rsid w:val="009B45BD"/>
    <w:rsid w:val="009B61EA"/>
    <w:rsid w:val="009C7263"/>
    <w:rsid w:val="009C7D23"/>
    <w:rsid w:val="009E2B22"/>
    <w:rsid w:val="009E74E7"/>
    <w:rsid w:val="00A030A0"/>
    <w:rsid w:val="00A04F9B"/>
    <w:rsid w:val="00A0735A"/>
    <w:rsid w:val="00A24134"/>
    <w:rsid w:val="00A24A6D"/>
    <w:rsid w:val="00A324B3"/>
    <w:rsid w:val="00A33C98"/>
    <w:rsid w:val="00A35C84"/>
    <w:rsid w:val="00A4217E"/>
    <w:rsid w:val="00A45B0E"/>
    <w:rsid w:val="00A4679A"/>
    <w:rsid w:val="00A538B9"/>
    <w:rsid w:val="00A62FDC"/>
    <w:rsid w:val="00A6756E"/>
    <w:rsid w:val="00A7215E"/>
    <w:rsid w:val="00A72DB1"/>
    <w:rsid w:val="00A766AD"/>
    <w:rsid w:val="00A7756F"/>
    <w:rsid w:val="00A83454"/>
    <w:rsid w:val="00A84AEE"/>
    <w:rsid w:val="00A90D06"/>
    <w:rsid w:val="00A91D81"/>
    <w:rsid w:val="00A932C0"/>
    <w:rsid w:val="00A9494D"/>
    <w:rsid w:val="00AA27D1"/>
    <w:rsid w:val="00AA449A"/>
    <w:rsid w:val="00AA4872"/>
    <w:rsid w:val="00AA5BAE"/>
    <w:rsid w:val="00AA76B6"/>
    <w:rsid w:val="00AB24DE"/>
    <w:rsid w:val="00AB3424"/>
    <w:rsid w:val="00AB6727"/>
    <w:rsid w:val="00AC3D6C"/>
    <w:rsid w:val="00AC6EA2"/>
    <w:rsid w:val="00AC6F4C"/>
    <w:rsid w:val="00AD129C"/>
    <w:rsid w:val="00AD5158"/>
    <w:rsid w:val="00AF28E5"/>
    <w:rsid w:val="00AF3C0C"/>
    <w:rsid w:val="00AF6929"/>
    <w:rsid w:val="00B00EF2"/>
    <w:rsid w:val="00B2445F"/>
    <w:rsid w:val="00B24D48"/>
    <w:rsid w:val="00B270C3"/>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85129"/>
    <w:rsid w:val="00B871A7"/>
    <w:rsid w:val="00B879BD"/>
    <w:rsid w:val="00BA2938"/>
    <w:rsid w:val="00BC623E"/>
    <w:rsid w:val="00BD09E0"/>
    <w:rsid w:val="00BF32D9"/>
    <w:rsid w:val="00BF3F19"/>
    <w:rsid w:val="00BF6263"/>
    <w:rsid w:val="00C03793"/>
    <w:rsid w:val="00C13782"/>
    <w:rsid w:val="00C22E07"/>
    <w:rsid w:val="00C3053C"/>
    <w:rsid w:val="00C40A32"/>
    <w:rsid w:val="00C5158D"/>
    <w:rsid w:val="00C52701"/>
    <w:rsid w:val="00C564EB"/>
    <w:rsid w:val="00C615FD"/>
    <w:rsid w:val="00C62F49"/>
    <w:rsid w:val="00C64099"/>
    <w:rsid w:val="00C641FE"/>
    <w:rsid w:val="00C73042"/>
    <w:rsid w:val="00C74855"/>
    <w:rsid w:val="00C75B64"/>
    <w:rsid w:val="00C82325"/>
    <w:rsid w:val="00C860E4"/>
    <w:rsid w:val="00C94C3F"/>
    <w:rsid w:val="00C95583"/>
    <w:rsid w:val="00C978E6"/>
    <w:rsid w:val="00CA2CE9"/>
    <w:rsid w:val="00CB0DEA"/>
    <w:rsid w:val="00CB2556"/>
    <w:rsid w:val="00CB68B7"/>
    <w:rsid w:val="00CC1E8E"/>
    <w:rsid w:val="00CD14E5"/>
    <w:rsid w:val="00CD41C8"/>
    <w:rsid w:val="00CF522C"/>
    <w:rsid w:val="00D0095F"/>
    <w:rsid w:val="00D02344"/>
    <w:rsid w:val="00D1513C"/>
    <w:rsid w:val="00D17475"/>
    <w:rsid w:val="00D20044"/>
    <w:rsid w:val="00D2444D"/>
    <w:rsid w:val="00D2659A"/>
    <w:rsid w:val="00D50C2F"/>
    <w:rsid w:val="00D54A05"/>
    <w:rsid w:val="00D56C11"/>
    <w:rsid w:val="00D56C66"/>
    <w:rsid w:val="00D72CA7"/>
    <w:rsid w:val="00D758FB"/>
    <w:rsid w:val="00D92FCE"/>
    <w:rsid w:val="00DA132E"/>
    <w:rsid w:val="00DA646F"/>
    <w:rsid w:val="00DA6EEB"/>
    <w:rsid w:val="00DB0EB6"/>
    <w:rsid w:val="00DB13D3"/>
    <w:rsid w:val="00DB4E3B"/>
    <w:rsid w:val="00DB77DD"/>
    <w:rsid w:val="00DB7F57"/>
    <w:rsid w:val="00DC2CB2"/>
    <w:rsid w:val="00DD3BA3"/>
    <w:rsid w:val="00DE1432"/>
    <w:rsid w:val="00DE2BD5"/>
    <w:rsid w:val="00DF1DC4"/>
    <w:rsid w:val="00DF61A0"/>
    <w:rsid w:val="00E1553B"/>
    <w:rsid w:val="00E25CD3"/>
    <w:rsid w:val="00E30D50"/>
    <w:rsid w:val="00E33760"/>
    <w:rsid w:val="00E35467"/>
    <w:rsid w:val="00E41813"/>
    <w:rsid w:val="00E41F6D"/>
    <w:rsid w:val="00E430E5"/>
    <w:rsid w:val="00E44214"/>
    <w:rsid w:val="00E533DA"/>
    <w:rsid w:val="00E53AB2"/>
    <w:rsid w:val="00E56341"/>
    <w:rsid w:val="00E57459"/>
    <w:rsid w:val="00E67628"/>
    <w:rsid w:val="00E73D68"/>
    <w:rsid w:val="00E75675"/>
    <w:rsid w:val="00E8310E"/>
    <w:rsid w:val="00E849D6"/>
    <w:rsid w:val="00E84CA5"/>
    <w:rsid w:val="00E850F3"/>
    <w:rsid w:val="00E90323"/>
    <w:rsid w:val="00E94857"/>
    <w:rsid w:val="00E94CCB"/>
    <w:rsid w:val="00E978BB"/>
    <w:rsid w:val="00EA50D0"/>
    <w:rsid w:val="00EA697D"/>
    <w:rsid w:val="00EB1B71"/>
    <w:rsid w:val="00EB217C"/>
    <w:rsid w:val="00ED319C"/>
    <w:rsid w:val="00ED649B"/>
    <w:rsid w:val="00ED7C12"/>
    <w:rsid w:val="00F0080A"/>
    <w:rsid w:val="00F00D58"/>
    <w:rsid w:val="00F06319"/>
    <w:rsid w:val="00F17141"/>
    <w:rsid w:val="00F22E57"/>
    <w:rsid w:val="00F2411C"/>
    <w:rsid w:val="00F34605"/>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54B"/>
    <w:rsid w:val="00FC2EB1"/>
    <w:rsid w:val="00FC5CF1"/>
    <w:rsid w:val="00FD4FB7"/>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1638388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1A94EF03-22C7-4D7C-A41B-58C31EC3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16745</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MCN_Jacques</cp:lastModifiedBy>
  <cp:revision>2</cp:revision>
  <cp:lastPrinted>2011-03-24T14:16:00Z</cp:lastPrinted>
  <dcterms:created xsi:type="dcterms:W3CDTF">2019-06-14T15:46:00Z</dcterms:created>
  <dcterms:modified xsi:type="dcterms:W3CDTF">2019-06-14T15:46:00Z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