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4F20E7" w:rsidRDefault="00D56C11" w:rsidP="007260D6">
      <w:pPr>
        <w:tabs>
          <w:tab w:val="left" w:pos="1410"/>
        </w:tabs>
        <w:spacing w:after="0" w:line="240" w:lineRule="auto"/>
        <w:jc w:val="center"/>
        <w:rPr>
          <w:rFonts w:cstheme="minorHAnsi"/>
          <w:b/>
          <w:color w:val="000000" w:themeColor="text1"/>
          <w:lang w:val="fr-FR"/>
        </w:rPr>
      </w:pPr>
      <w:r w:rsidRPr="004F20E7">
        <w:rPr>
          <w:rFonts w:cstheme="minorHAnsi"/>
          <w:b/>
          <w:color w:val="000000" w:themeColor="text1"/>
          <w:lang w:val="fr-FR"/>
        </w:rPr>
        <w:t>NOTICE DE SELECTION</w:t>
      </w:r>
    </w:p>
    <w:p w14:paraId="782BB281" w14:textId="77777777" w:rsidR="007A00F5" w:rsidRPr="004F20E7" w:rsidRDefault="007A00F5" w:rsidP="00E94CCB">
      <w:pPr>
        <w:tabs>
          <w:tab w:val="left" w:pos="1410"/>
        </w:tabs>
        <w:spacing w:after="0" w:line="240" w:lineRule="auto"/>
        <w:jc w:val="center"/>
        <w:rPr>
          <w:rFonts w:cstheme="minorHAnsi"/>
          <w:b/>
          <w:color w:val="000000" w:themeColor="text1"/>
          <w:lang w:val="fr-FR"/>
        </w:rPr>
      </w:pPr>
    </w:p>
    <w:p w14:paraId="45647156" w14:textId="3BBAADBB" w:rsidR="009D7A82" w:rsidRPr="004F20E7" w:rsidRDefault="0010664C" w:rsidP="009D7A82">
      <w:pPr>
        <w:jc w:val="center"/>
        <w:rPr>
          <w:b/>
          <w:color w:val="000000" w:themeColor="text1"/>
          <w:sz w:val="24"/>
          <w:szCs w:val="24"/>
          <w:lang w:val="fr-FR"/>
        </w:rPr>
      </w:pPr>
      <w:bookmarkStart w:id="0" w:name="_Hlk18487585"/>
      <w:bookmarkStart w:id="1" w:name="_Hlk25161517"/>
      <w:bookmarkStart w:id="2" w:name="_Hlk18483930"/>
      <w:r w:rsidRPr="004F20E7">
        <w:rPr>
          <w:rFonts w:eastAsia="Times New Roman"/>
          <w:b/>
          <w:color w:val="000000" w:themeColor="text1"/>
          <w:sz w:val="24"/>
          <w:szCs w:val="24"/>
          <w:lang w:val="fr-FR"/>
        </w:rPr>
        <w:t xml:space="preserve">Recrutement d´un(e) consultant(e) </w:t>
      </w:r>
      <w:bookmarkStart w:id="3" w:name="_Hlk34661883"/>
      <w:bookmarkStart w:id="4" w:name="_Hlk39142397"/>
      <w:r w:rsidR="005843FB" w:rsidRPr="005843FB">
        <w:rPr>
          <w:b/>
          <w:color w:val="000000" w:themeColor="text1"/>
          <w:sz w:val="24"/>
          <w:szCs w:val="24"/>
          <w:lang w:val="fr-FR"/>
        </w:rPr>
        <w:t>avec expériences internationales, Chef d’équipe, pour coordonner et superviser</w:t>
      </w:r>
      <w:r w:rsidR="005843FB" w:rsidRPr="00ED387C">
        <w:rPr>
          <w:b/>
          <w:color w:val="000000" w:themeColor="text1"/>
          <w:sz w:val="24"/>
          <w:szCs w:val="24"/>
          <w:lang w:val="fr-FR"/>
        </w:rPr>
        <w:t xml:space="preserve"> </w:t>
      </w:r>
      <w:r w:rsidR="00ED387C" w:rsidRPr="00ED387C">
        <w:rPr>
          <w:b/>
          <w:color w:val="000000" w:themeColor="text1"/>
          <w:sz w:val="24"/>
          <w:szCs w:val="24"/>
          <w:lang w:val="fr-FR"/>
        </w:rPr>
        <w:t>la formulation du programme de renforcement des capacités nationales en Planification-Programmation-Budgétisation-Suivi-Evaluation (PPBSE) en République démocratique du Congo</w:t>
      </w:r>
      <w:r w:rsidR="00ED387C" w:rsidRPr="004F20E7">
        <w:rPr>
          <w:b/>
          <w:color w:val="000000" w:themeColor="text1"/>
          <w:sz w:val="24"/>
          <w:szCs w:val="24"/>
          <w:lang w:val="fr-FR"/>
        </w:rPr>
        <w:t xml:space="preserve"> </w:t>
      </w:r>
    </w:p>
    <w:bookmarkEnd w:id="0"/>
    <w:bookmarkEnd w:id="1"/>
    <w:bookmarkEnd w:id="3"/>
    <w:bookmarkEnd w:id="4"/>
    <w:p w14:paraId="18765791" w14:textId="60BA833F" w:rsidR="0010664C" w:rsidRPr="004F20E7" w:rsidRDefault="0010664C" w:rsidP="00106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color w:val="000000" w:themeColor="text1"/>
          <w:sz w:val="24"/>
          <w:szCs w:val="24"/>
          <w:lang w:val="fr-FR" w:eastAsia="fr-FR"/>
        </w:rPr>
      </w:pPr>
    </w:p>
    <w:bookmarkEnd w:id="2"/>
    <w:p w14:paraId="0F0A19DD" w14:textId="77777777" w:rsidR="0010664C" w:rsidRPr="004F20E7" w:rsidRDefault="0010664C" w:rsidP="00DE3AD8">
      <w:pPr>
        <w:spacing w:after="0" w:line="240" w:lineRule="auto"/>
        <w:rPr>
          <w:rFonts w:eastAsia="MS Mincho"/>
          <w:b/>
          <w:color w:val="000000" w:themeColor="text1"/>
          <w:lang w:val="fr-FR" w:eastAsia="fr-FR"/>
        </w:rPr>
      </w:pPr>
    </w:p>
    <w:p w14:paraId="118EF201" w14:textId="0F21398F" w:rsidR="0010664C" w:rsidRPr="004F20E7" w:rsidRDefault="0010664C" w:rsidP="009D7A82">
      <w:pPr>
        <w:spacing w:after="0" w:line="240" w:lineRule="auto"/>
        <w:rPr>
          <w:rFonts w:eastAsia="Times New Roman"/>
          <w:b/>
          <w:color w:val="000000" w:themeColor="text1"/>
          <w:lang w:val="fr-FR" w:eastAsia="rw-RW"/>
        </w:rPr>
      </w:pPr>
      <w:bookmarkStart w:id="5" w:name="_Hlk26355874"/>
      <w:r w:rsidRPr="004F20E7">
        <w:rPr>
          <w:rFonts w:eastAsia="Times New Roman"/>
          <w:b/>
          <w:color w:val="000000" w:themeColor="text1"/>
          <w:lang w:val="fr-FR" w:eastAsia="rw-RW"/>
        </w:rPr>
        <w:t>Référence du dossier :</w:t>
      </w:r>
      <w:bookmarkStart w:id="6" w:name="_Hlk32409321"/>
      <w:r w:rsidR="00743936" w:rsidRPr="004F20E7">
        <w:rPr>
          <w:rFonts w:eastAsia="Times New Roman"/>
          <w:b/>
          <w:color w:val="000000" w:themeColor="text1"/>
          <w:lang w:val="fr-FR" w:eastAsia="rw-RW"/>
        </w:rPr>
        <w:t xml:space="preserve"> 0</w:t>
      </w:r>
      <w:r w:rsidR="00ED387C">
        <w:rPr>
          <w:rFonts w:eastAsia="Times New Roman"/>
          <w:b/>
          <w:color w:val="000000" w:themeColor="text1"/>
          <w:lang w:val="fr-FR" w:eastAsia="rw-RW"/>
        </w:rPr>
        <w:t>6</w:t>
      </w:r>
      <w:r w:rsidR="005843FB">
        <w:rPr>
          <w:rFonts w:eastAsia="Times New Roman"/>
          <w:b/>
          <w:color w:val="000000" w:themeColor="text1"/>
          <w:lang w:val="fr-FR" w:eastAsia="rw-RW"/>
        </w:rPr>
        <w:t>5</w:t>
      </w:r>
      <w:r w:rsidRPr="004F20E7">
        <w:rPr>
          <w:rFonts w:eastAsia="Times New Roman"/>
          <w:b/>
          <w:color w:val="000000" w:themeColor="text1"/>
          <w:lang w:val="fr-FR" w:eastAsia="rw-RW"/>
        </w:rPr>
        <w:t>/</w:t>
      </w:r>
      <w:bookmarkStart w:id="7" w:name="_Hlk26097570"/>
      <w:r w:rsidRPr="004F20E7">
        <w:rPr>
          <w:rFonts w:eastAsia="Times New Roman"/>
          <w:b/>
          <w:color w:val="000000" w:themeColor="text1"/>
          <w:lang w:val="fr-FR" w:eastAsia="rw-RW"/>
        </w:rPr>
        <w:t>IC-</w:t>
      </w:r>
      <w:r w:rsidR="000A6107" w:rsidRPr="004F20E7">
        <w:rPr>
          <w:rFonts w:eastAsia="Times New Roman"/>
          <w:b/>
          <w:color w:val="000000" w:themeColor="text1"/>
          <w:lang w:val="fr-FR" w:eastAsia="rw-RW"/>
        </w:rPr>
        <w:t>NAT</w:t>
      </w:r>
      <w:r w:rsidRPr="004F20E7">
        <w:rPr>
          <w:rFonts w:eastAsia="Times New Roman"/>
          <w:b/>
          <w:color w:val="000000" w:themeColor="text1"/>
          <w:lang w:val="fr-FR" w:eastAsia="rw-RW"/>
        </w:rPr>
        <w:t>/</w:t>
      </w:r>
      <w:r w:rsidR="00ED387C">
        <w:rPr>
          <w:rFonts w:eastAsia="Times New Roman"/>
          <w:b/>
          <w:color w:val="000000" w:themeColor="text1"/>
          <w:lang w:val="fr-FR" w:eastAsia="rw-RW"/>
        </w:rPr>
        <w:t>PPBSE</w:t>
      </w:r>
      <w:r w:rsidRPr="004F20E7">
        <w:rPr>
          <w:rFonts w:eastAsia="Times New Roman"/>
          <w:b/>
          <w:color w:val="000000" w:themeColor="text1"/>
          <w:lang w:val="fr-FR" w:eastAsia="rw-RW"/>
        </w:rPr>
        <w:t>/20</w:t>
      </w:r>
      <w:bookmarkEnd w:id="7"/>
      <w:r w:rsidRPr="004F20E7">
        <w:rPr>
          <w:rFonts w:eastAsia="Times New Roman"/>
          <w:b/>
          <w:color w:val="000000" w:themeColor="text1"/>
          <w:lang w:val="fr-FR" w:eastAsia="rw-RW"/>
        </w:rPr>
        <w:t>20</w:t>
      </w:r>
      <w:bookmarkEnd w:id="6"/>
    </w:p>
    <w:bookmarkEnd w:id="5"/>
    <w:p w14:paraId="7399166F" w14:textId="77777777" w:rsidR="00167362" w:rsidRPr="004F20E7" w:rsidRDefault="00167362" w:rsidP="00743936">
      <w:pPr>
        <w:spacing w:after="0" w:line="240" w:lineRule="auto"/>
        <w:rPr>
          <w:rFonts w:eastAsia="Times New Roman" w:cstheme="minorHAnsi"/>
          <w:b/>
          <w:color w:val="000000" w:themeColor="text1"/>
          <w:lang w:val="fr-FR" w:eastAsia="fr-FR"/>
        </w:rPr>
      </w:pPr>
    </w:p>
    <w:p w14:paraId="52FE834E" w14:textId="09A93472" w:rsidR="003F640F" w:rsidRPr="004F20E7" w:rsidRDefault="00D56C11" w:rsidP="003F640F">
      <w:pPr>
        <w:spacing w:after="0" w:line="240" w:lineRule="auto"/>
        <w:jc w:val="right"/>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 xml:space="preserve">Date : </w:t>
      </w:r>
      <w:r w:rsidR="00ED387C">
        <w:rPr>
          <w:rFonts w:eastAsia="Times New Roman" w:cstheme="minorHAnsi"/>
          <w:color w:val="000000" w:themeColor="text1"/>
          <w:lang w:val="fr-FR" w:eastAsia="rw-RW"/>
        </w:rPr>
        <w:t>2</w:t>
      </w:r>
      <w:r w:rsidR="004A6EEF">
        <w:rPr>
          <w:rFonts w:eastAsia="Times New Roman" w:cstheme="minorHAnsi"/>
          <w:color w:val="000000" w:themeColor="text1"/>
          <w:lang w:val="fr-FR" w:eastAsia="rw-RW"/>
        </w:rPr>
        <w:t>1</w:t>
      </w:r>
      <w:r w:rsidRPr="004F20E7">
        <w:rPr>
          <w:rFonts w:eastAsia="Times New Roman" w:cstheme="minorHAnsi"/>
          <w:color w:val="000000" w:themeColor="text1"/>
          <w:lang w:val="fr-FR" w:eastAsia="rw-RW"/>
        </w:rPr>
        <w:t>/</w:t>
      </w:r>
      <w:r w:rsidR="00ED387C">
        <w:rPr>
          <w:rFonts w:eastAsia="Times New Roman" w:cstheme="minorHAnsi"/>
          <w:color w:val="000000" w:themeColor="text1"/>
          <w:lang w:val="fr-FR" w:eastAsia="rw-RW"/>
        </w:rPr>
        <w:t>10</w:t>
      </w:r>
      <w:r w:rsidRPr="004F20E7">
        <w:rPr>
          <w:rFonts w:eastAsia="Times New Roman" w:cstheme="minorHAnsi"/>
          <w:color w:val="000000" w:themeColor="text1"/>
          <w:lang w:val="fr-FR" w:eastAsia="rw-RW"/>
        </w:rPr>
        <w:t>/20</w:t>
      </w:r>
      <w:r w:rsidR="00724CB4" w:rsidRPr="004F20E7">
        <w:rPr>
          <w:rFonts w:eastAsia="Times New Roman" w:cstheme="minorHAnsi"/>
          <w:color w:val="000000" w:themeColor="text1"/>
          <w:lang w:val="fr-FR" w:eastAsia="rw-RW"/>
        </w:rPr>
        <w:t>20</w:t>
      </w:r>
    </w:p>
    <w:p w14:paraId="09001F3B" w14:textId="77777777" w:rsidR="009E2B22" w:rsidRPr="004F20E7" w:rsidRDefault="00DA6EEB" w:rsidP="009E2B22">
      <w:pPr>
        <w:tabs>
          <w:tab w:val="left" w:pos="1410"/>
        </w:tabs>
        <w:rPr>
          <w:rFonts w:cstheme="minorHAnsi"/>
          <w:b/>
          <w:color w:val="000000" w:themeColor="text1"/>
          <w:lang w:val="fr-FR"/>
        </w:rPr>
      </w:pPr>
      <w:r w:rsidRPr="004F20E7">
        <w:rPr>
          <w:rFonts w:cstheme="minorHAnsi"/>
          <w:b/>
          <w:noProof/>
          <w:color w:val="000000" w:themeColor="text1"/>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1FC08826" w:rsidR="0065710B" w:rsidRPr="004F20E7" w:rsidRDefault="009630B9" w:rsidP="0065710B">
      <w:pPr>
        <w:tabs>
          <w:tab w:val="left" w:pos="1410"/>
        </w:tabs>
        <w:rPr>
          <w:rFonts w:cstheme="minorHAnsi"/>
          <w:color w:val="000000" w:themeColor="text1"/>
          <w:lang w:val="fr-FR"/>
        </w:rPr>
      </w:pPr>
      <w:r w:rsidRPr="004F20E7">
        <w:rPr>
          <w:rFonts w:cstheme="minorHAnsi"/>
          <w:b/>
          <w:color w:val="000000" w:themeColor="text1"/>
          <w:lang w:val="fr-FR"/>
        </w:rPr>
        <w:t>Pays :</w:t>
      </w:r>
      <w:r w:rsidR="00FC5CF1" w:rsidRPr="004F20E7">
        <w:rPr>
          <w:rFonts w:cstheme="minorHAnsi"/>
          <w:b/>
          <w:color w:val="000000" w:themeColor="text1"/>
          <w:lang w:val="fr-FR"/>
        </w:rPr>
        <w:t xml:space="preserve"> </w:t>
      </w:r>
      <w:r w:rsidR="00E75675" w:rsidRPr="004F20E7">
        <w:rPr>
          <w:rFonts w:cstheme="minorHAnsi"/>
          <w:color w:val="000000" w:themeColor="text1"/>
          <w:lang w:val="fr-FR"/>
        </w:rPr>
        <w:t>République Démocratique du Congo</w:t>
      </w:r>
      <w:r w:rsidR="00170915" w:rsidRPr="004F20E7">
        <w:rPr>
          <w:rFonts w:cstheme="minorHAnsi"/>
          <w:color w:val="000000" w:themeColor="text1"/>
          <w:lang w:val="fr-FR"/>
        </w:rPr>
        <w:t>,</w:t>
      </w:r>
    </w:p>
    <w:p w14:paraId="3B6FE435" w14:textId="227AC9DE" w:rsidR="008800F4" w:rsidRPr="00ED387C" w:rsidRDefault="009630B9" w:rsidP="00ED387C">
      <w:pPr>
        <w:jc w:val="both"/>
        <w:rPr>
          <w:bCs/>
          <w:color w:val="000000" w:themeColor="text1"/>
          <w:sz w:val="24"/>
          <w:szCs w:val="24"/>
          <w:lang w:val="fr-FR"/>
        </w:rPr>
      </w:pPr>
      <w:r w:rsidRPr="004F20E7">
        <w:rPr>
          <w:rFonts w:cstheme="minorHAnsi"/>
          <w:b/>
          <w:color w:val="000000" w:themeColor="text1"/>
          <w:lang w:val="fr-FR"/>
        </w:rPr>
        <w:t>Description de la mission</w:t>
      </w:r>
      <w:r w:rsidR="00164555" w:rsidRPr="004F20E7">
        <w:rPr>
          <w:rFonts w:cstheme="minorHAnsi"/>
          <w:b/>
          <w:color w:val="000000" w:themeColor="text1"/>
          <w:lang w:val="fr-FR"/>
        </w:rPr>
        <w:t xml:space="preserve"> : </w:t>
      </w:r>
      <w:r w:rsidR="00526069" w:rsidRPr="004F20E7">
        <w:rPr>
          <w:rFonts w:eastAsia="Times New Roman" w:cstheme="minorHAnsi"/>
          <w:color w:val="000000" w:themeColor="text1"/>
          <w:lang w:val="fr-FR" w:eastAsia="fr-FR"/>
        </w:rPr>
        <w:t xml:space="preserve">Un(e) consultant(e) </w:t>
      </w:r>
      <w:r w:rsidR="005843FB" w:rsidRPr="005843FB">
        <w:rPr>
          <w:bCs/>
          <w:color w:val="000000" w:themeColor="text1"/>
          <w:sz w:val="24"/>
          <w:szCs w:val="24"/>
          <w:lang w:val="fr-FR"/>
        </w:rPr>
        <w:t xml:space="preserve">avec expériences internationales, Chef d’équipe, pour coordonner et supervise </w:t>
      </w:r>
      <w:r w:rsidR="00ED387C" w:rsidRPr="005843FB">
        <w:rPr>
          <w:bCs/>
          <w:color w:val="000000" w:themeColor="text1"/>
          <w:sz w:val="24"/>
          <w:szCs w:val="24"/>
          <w:lang w:val="fr-FR"/>
        </w:rPr>
        <w:t>la formulation du programme</w:t>
      </w:r>
      <w:r w:rsidR="00ED387C" w:rsidRPr="00ED387C">
        <w:rPr>
          <w:bCs/>
          <w:color w:val="000000" w:themeColor="text1"/>
          <w:sz w:val="24"/>
          <w:szCs w:val="24"/>
          <w:lang w:val="fr-FR"/>
        </w:rPr>
        <w:t xml:space="preserve"> de renforcement des capacités nationales en Planification-Programmation-Budgétisation-Suivi-Evaluation (PPBSE) en République démocratique du Congo </w:t>
      </w:r>
      <w:r w:rsidR="0002284B" w:rsidRPr="00ED387C">
        <w:rPr>
          <w:bCs/>
          <w:color w:val="000000" w:themeColor="text1"/>
          <w:sz w:val="24"/>
          <w:szCs w:val="24"/>
          <w:lang w:val="fr-FR"/>
        </w:rPr>
        <w:t xml:space="preserve"> </w:t>
      </w:r>
    </w:p>
    <w:p w14:paraId="4E929FFE" w14:textId="5B9EFE79"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r w:rsidRPr="004F20E7">
        <w:rPr>
          <w:rFonts w:cstheme="minorHAnsi"/>
          <w:b/>
          <w:color w:val="000000" w:themeColor="text1"/>
          <w:lang w:val="fr-FR"/>
        </w:rPr>
        <w:t>Niveau de poste et d’expérience :</w:t>
      </w:r>
      <w:r w:rsidRPr="004F20E7">
        <w:rPr>
          <w:rFonts w:cstheme="minorHAnsi"/>
          <w:color w:val="000000" w:themeColor="text1"/>
          <w:lang w:val="fr-FR"/>
        </w:rPr>
        <w:t xml:space="preserve"> Consultance</w:t>
      </w:r>
      <w:r w:rsidR="00A97E38" w:rsidRPr="004F20E7">
        <w:rPr>
          <w:rFonts w:cstheme="minorHAnsi"/>
          <w:color w:val="000000" w:themeColor="text1"/>
          <w:lang w:val="fr-FR"/>
        </w:rPr>
        <w:t xml:space="preserve"> </w:t>
      </w:r>
      <w:r w:rsidR="00170E8C">
        <w:rPr>
          <w:rFonts w:cstheme="minorHAnsi"/>
          <w:color w:val="000000" w:themeColor="text1"/>
          <w:lang w:val="fr-FR"/>
        </w:rPr>
        <w:t>avec expériences internationales</w:t>
      </w:r>
    </w:p>
    <w:p w14:paraId="6A10ABD6" w14:textId="77777777" w:rsidR="00D56C11" w:rsidRPr="004F20E7" w:rsidRDefault="00D56C11" w:rsidP="00D56C11">
      <w:pPr>
        <w:tabs>
          <w:tab w:val="left" w:pos="1410"/>
        </w:tabs>
        <w:spacing w:after="0" w:line="240" w:lineRule="auto"/>
        <w:ind w:left="3600" w:hanging="3600"/>
        <w:jc w:val="both"/>
        <w:rPr>
          <w:rFonts w:cstheme="minorHAnsi"/>
          <w:color w:val="000000" w:themeColor="text1"/>
          <w:lang w:val="fr-FR"/>
        </w:rPr>
      </w:pPr>
    </w:p>
    <w:p w14:paraId="02AB6AB8" w14:textId="532C5526" w:rsidR="00743936" w:rsidRPr="004F20E7" w:rsidRDefault="009630B9" w:rsidP="00743936">
      <w:pPr>
        <w:tabs>
          <w:tab w:val="left" w:pos="2160"/>
        </w:tabs>
        <w:ind w:left="2160" w:hanging="2160"/>
        <w:jc w:val="both"/>
        <w:rPr>
          <w:rFonts w:cstheme="minorHAnsi"/>
          <w:color w:val="000000" w:themeColor="text1"/>
          <w:lang w:val="fr-FR"/>
        </w:rPr>
      </w:pPr>
      <w:r w:rsidRPr="004F20E7">
        <w:rPr>
          <w:rFonts w:cstheme="minorHAnsi"/>
          <w:b/>
          <w:color w:val="000000" w:themeColor="text1"/>
          <w:lang w:val="fr-FR"/>
        </w:rPr>
        <w:t xml:space="preserve">Durée de la </w:t>
      </w:r>
      <w:r w:rsidR="00164555" w:rsidRPr="004F20E7">
        <w:rPr>
          <w:rFonts w:cstheme="minorHAnsi"/>
          <w:b/>
          <w:color w:val="000000" w:themeColor="text1"/>
          <w:lang w:val="fr-FR"/>
        </w:rPr>
        <w:t xml:space="preserve">mission : </w:t>
      </w:r>
      <w:r w:rsidR="00217109" w:rsidRPr="00217109">
        <w:rPr>
          <w:bCs/>
          <w:lang w:val="fr-FR"/>
        </w:rPr>
        <w:t xml:space="preserve">de </w:t>
      </w:r>
      <w:r w:rsidR="00BA25FF">
        <w:rPr>
          <w:bCs/>
          <w:lang w:val="fr-FR"/>
        </w:rPr>
        <w:t>30</w:t>
      </w:r>
      <w:r w:rsidR="00217109" w:rsidRPr="00217109">
        <w:rPr>
          <w:bCs/>
          <w:lang w:val="fr-FR"/>
        </w:rPr>
        <w:t xml:space="preserve"> jours ouvrables étendus sur 1 mois et demi</w:t>
      </w:r>
      <w:r w:rsidR="00743936" w:rsidRPr="004F20E7">
        <w:rPr>
          <w:rFonts w:cstheme="minorHAnsi"/>
          <w:color w:val="000000" w:themeColor="text1"/>
          <w:lang w:val="fr-FR"/>
        </w:rPr>
        <w:t>.</w:t>
      </w:r>
    </w:p>
    <w:p w14:paraId="4294F1B8" w14:textId="4DA80558" w:rsidR="00D56C11" w:rsidRPr="00551AE9" w:rsidRDefault="00D56C11" w:rsidP="00D56C11">
      <w:pPr>
        <w:spacing w:after="0" w:line="240" w:lineRule="auto"/>
        <w:jc w:val="both"/>
        <w:rPr>
          <w:rFonts w:eastAsia="Times New Roman" w:cstheme="minorHAnsi"/>
          <w:b/>
          <w:bCs/>
          <w:color w:val="000000" w:themeColor="text1"/>
          <w:lang w:val="fr-FR" w:eastAsia="rw-RW"/>
        </w:rPr>
      </w:pPr>
      <w:r w:rsidRPr="00551AE9">
        <w:rPr>
          <w:rFonts w:eastAsia="Times New Roman" w:cstheme="minorHAnsi"/>
          <w:b/>
          <w:bCs/>
          <w:color w:val="000000" w:themeColor="text1"/>
          <w:lang w:val="fr-FR" w:eastAsia="rw-RW"/>
        </w:rPr>
        <w:t xml:space="preserve">Prière envoyer vos propositions (propositions technique et financière) dûment signées à l’adresse e-mail </w:t>
      </w:r>
      <w:r w:rsidR="00E26507" w:rsidRPr="00551AE9">
        <w:rPr>
          <w:color w:val="000000" w:themeColor="text1"/>
          <w:lang w:val="fr-CD"/>
        </w:rPr>
        <w:t xml:space="preserve">: </w:t>
      </w:r>
      <w:hyperlink r:id="rId12" w:history="1">
        <w:r w:rsidR="00E26507" w:rsidRPr="00551AE9">
          <w:rPr>
            <w:rStyle w:val="Lienhypertexte"/>
            <w:b/>
            <w:bCs/>
            <w:color w:val="000000" w:themeColor="text1"/>
            <w:lang w:val="fr-CD"/>
          </w:rPr>
          <w:t>ic.soumission.cd@undp.org</w:t>
        </w:r>
      </w:hyperlink>
      <w:r w:rsidR="00E26507" w:rsidRPr="00551AE9">
        <w:rPr>
          <w:color w:val="000000" w:themeColor="text1"/>
          <w:lang w:val="fr-CD"/>
        </w:rPr>
        <w:t xml:space="preserve"> </w:t>
      </w:r>
      <w:r w:rsidR="003A7D2F" w:rsidRPr="00551AE9">
        <w:rPr>
          <w:rFonts w:eastAsia="Times New Roman" w:cstheme="minorHAnsi"/>
          <w:b/>
          <w:bCs/>
          <w:color w:val="000000" w:themeColor="text1"/>
          <w:lang w:val="fr-FR" w:eastAsia="rw-RW"/>
        </w:rPr>
        <w:t>avec mention de la référence et intitulé du dossier « </w:t>
      </w:r>
      <w:r w:rsidR="00ED387C" w:rsidRPr="00551AE9">
        <w:rPr>
          <w:rFonts w:eastAsia="Times New Roman"/>
          <w:b/>
          <w:color w:val="000000" w:themeColor="text1"/>
          <w:lang w:val="fr-FR" w:eastAsia="rw-RW"/>
        </w:rPr>
        <w:t>06</w:t>
      </w:r>
      <w:r w:rsidR="005843FB">
        <w:rPr>
          <w:rFonts w:eastAsia="Times New Roman"/>
          <w:b/>
          <w:color w:val="000000" w:themeColor="text1"/>
          <w:lang w:val="fr-FR" w:eastAsia="rw-RW"/>
        </w:rPr>
        <w:t>5</w:t>
      </w:r>
      <w:r w:rsidR="00ED387C" w:rsidRPr="00551AE9">
        <w:rPr>
          <w:rFonts w:eastAsia="Times New Roman"/>
          <w:b/>
          <w:color w:val="000000" w:themeColor="text1"/>
          <w:lang w:val="fr-FR" w:eastAsia="rw-RW"/>
        </w:rPr>
        <w:t>/IC-NAT/PPBSE/2020</w:t>
      </w:r>
      <w:r w:rsidR="003A7D2F" w:rsidRPr="00551AE9">
        <w:rPr>
          <w:rFonts w:eastAsia="Times New Roman" w:cstheme="minorHAnsi"/>
          <w:b/>
          <w:bCs/>
          <w:color w:val="000000" w:themeColor="text1"/>
          <w:lang w:val="fr-FR" w:eastAsia="rw-RW"/>
        </w:rPr>
        <w:t xml:space="preserve"> – </w:t>
      </w:r>
      <w:r w:rsidR="002E54A1" w:rsidRPr="00551AE9">
        <w:rPr>
          <w:rFonts w:eastAsia="Times New Roman" w:cstheme="minorHAnsi"/>
          <w:b/>
          <w:bCs/>
          <w:color w:val="000000" w:themeColor="text1"/>
          <w:lang w:val="fr-FR" w:eastAsia="rw-RW"/>
        </w:rPr>
        <w:t xml:space="preserve">Projet </w:t>
      </w:r>
      <w:r w:rsidR="00551AE9" w:rsidRPr="00551AE9">
        <w:rPr>
          <w:rFonts w:eastAsia="Times New Roman" w:cstheme="minorHAnsi"/>
          <w:b/>
          <w:bCs/>
          <w:color w:val="000000" w:themeColor="text1"/>
          <w:lang w:val="fr-FR" w:eastAsia="rw-RW"/>
        </w:rPr>
        <w:t>CIDD</w:t>
      </w:r>
      <w:r w:rsidR="003A7D2F" w:rsidRPr="00551AE9">
        <w:rPr>
          <w:rFonts w:eastAsia="Times New Roman" w:cstheme="minorHAnsi"/>
          <w:b/>
          <w:bCs/>
          <w:color w:val="000000" w:themeColor="text1"/>
          <w:lang w:val="fr-FR" w:eastAsia="rw-RW"/>
        </w:rPr>
        <w:t xml:space="preserve"> ». </w:t>
      </w:r>
      <w:r w:rsidR="003A7D2F" w:rsidRPr="00551AE9">
        <w:rPr>
          <w:rFonts w:eastAsia="Times New Roman" w:cstheme="minorHAnsi"/>
          <w:b/>
          <w:bCs/>
          <w:color w:val="000000" w:themeColor="text1"/>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551AE9" w:rsidRDefault="00D56C11" w:rsidP="00D56C11">
      <w:pPr>
        <w:spacing w:after="0" w:line="240" w:lineRule="auto"/>
        <w:jc w:val="both"/>
        <w:rPr>
          <w:rFonts w:cstheme="minorHAnsi"/>
          <w:b/>
          <w:color w:val="000000" w:themeColor="text1"/>
          <w:lang w:val="fr-FR"/>
        </w:rPr>
      </w:pPr>
    </w:p>
    <w:p w14:paraId="05D91372" w14:textId="3D295328" w:rsidR="00D56C11" w:rsidRPr="00551AE9" w:rsidRDefault="00D56C11" w:rsidP="00D56C11">
      <w:pPr>
        <w:spacing w:after="0" w:line="240" w:lineRule="auto"/>
        <w:jc w:val="both"/>
        <w:rPr>
          <w:rFonts w:cstheme="minorHAnsi"/>
          <w:b/>
          <w:color w:val="000000" w:themeColor="text1"/>
          <w:u w:val="single"/>
          <w:lang w:val="fr-FR"/>
        </w:rPr>
      </w:pPr>
      <w:r w:rsidRPr="00551AE9">
        <w:rPr>
          <w:rFonts w:cstheme="minorHAnsi"/>
          <w:b/>
          <w:color w:val="000000" w:themeColor="text1"/>
          <w:lang w:val="fr-FR"/>
        </w:rPr>
        <w:t>Votre proposition devra être reçue au plus tard le</w:t>
      </w:r>
      <w:r w:rsidR="00EB217C" w:rsidRPr="00551AE9">
        <w:rPr>
          <w:rFonts w:cstheme="minorHAnsi"/>
          <w:b/>
          <w:color w:val="000000" w:themeColor="text1"/>
          <w:lang w:val="fr-FR"/>
        </w:rPr>
        <w:t xml:space="preserve"> </w:t>
      </w:r>
      <w:r w:rsidR="005E0BC5" w:rsidRPr="00551AE9">
        <w:rPr>
          <w:rFonts w:cstheme="minorHAnsi"/>
          <w:b/>
          <w:color w:val="000000" w:themeColor="text1"/>
          <w:u w:val="single"/>
          <w:lang w:val="fr-FR"/>
        </w:rPr>
        <w:t>mar</w:t>
      </w:r>
      <w:r w:rsidR="004F20E7" w:rsidRPr="00551AE9">
        <w:rPr>
          <w:rFonts w:cstheme="minorHAnsi"/>
          <w:b/>
          <w:color w:val="000000" w:themeColor="text1"/>
          <w:u w:val="single"/>
          <w:lang w:val="fr-FR"/>
        </w:rPr>
        <w:t xml:space="preserve">di </w:t>
      </w:r>
      <w:r w:rsidR="00551AE9">
        <w:rPr>
          <w:rFonts w:cstheme="minorHAnsi"/>
          <w:b/>
          <w:color w:val="000000" w:themeColor="text1"/>
          <w:u w:val="single"/>
          <w:lang w:val="fr-FR"/>
        </w:rPr>
        <w:t>03 novembre</w:t>
      </w:r>
      <w:r w:rsidR="00764FD8" w:rsidRPr="00551AE9">
        <w:rPr>
          <w:rFonts w:cstheme="minorHAnsi"/>
          <w:b/>
          <w:color w:val="000000" w:themeColor="text1"/>
          <w:u w:val="single"/>
          <w:lang w:val="fr-FR"/>
        </w:rPr>
        <w:t xml:space="preserve"> 2020</w:t>
      </w:r>
      <w:r w:rsidRPr="00551AE9">
        <w:rPr>
          <w:rFonts w:cstheme="minorHAnsi"/>
          <w:b/>
          <w:color w:val="000000" w:themeColor="text1"/>
          <w:u w:val="single"/>
          <w:lang w:val="fr-FR"/>
        </w:rPr>
        <w:t xml:space="preserve"> à </w:t>
      </w:r>
      <w:r w:rsidR="00764FD8" w:rsidRPr="00551AE9">
        <w:rPr>
          <w:rFonts w:cstheme="minorHAnsi"/>
          <w:b/>
          <w:color w:val="000000" w:themeColor="text1"/>
          <w:u w:val="single"/>
          <w:lang w:val="fr-FR"/>
        </w:rPr>
        <w:t>1</w:t>
      </w:r>
      <w:r w:rsidR="002E54A1" w:rsidRPr="00551AE9">
        <w:rPr>
          <w:rFonts w:cstheme="minorHAnsi"/>
          <w:b/>
          <w:color w:val="000000" w:themeColor="text1"/>
          <w:u w:val="single"/>
          <w:lang w:val="fr-FR"/>
        </w:rPr>
        <w:t>6</w:t>
      </w:r>
      <w:r w:rsidRPr="00551AE9">
        <w:rPr>
          <w:rFonts w:cstheme="minorHAnsi"/>
          <w:b/>
          <w:color w:val="000000" w:themeColor="text1"/>
          <w:u w:val="single"/>
          <w:lang w:val="fr-FR"/>
        </w:rPr>
        <w:t xml:space="preserve"> heure</w:t>
      </w:r>
      <w:r w:rsidR="00526069" w:rsidRPr="00551AE9">
        <w:rPr>
          <w:rFonts w:cstheme="minorHAnsi"/>
          <w:b/>
          <w:color w:val="000000" w:themeColor="text1"/>
          <w:u w:val="single"/>
          <w:lang w:val="fr-FR"/>
        </w:rPr>
        <w:t>s</w:t>
      </w:r>
      <w:r w:rsidRPr="00551AE9">
        <w:rPr>
          <w:rFonts w:cstheme="minorHAnsi"/>
          <w:b/>
          <w:color w:val="000000" w:themeColor="text1"/>
          <w:u w:val="single"/>
          <w:lang w:val="fr-FR"/>
        </w:rPr>
        <w:t xml:space="preserve"> de </w:t>
      </w:r>
      <w:r w:rsidR="009A4FA9" w:rsidRPr="00551AE9">
        <w:rPr>
          <w:rFonts w:cstheme="minorHAnsi"/>
          <w:b/>
          <w:color w:val="000000" w:themeColor="text1"/>
          <w:u w:val="single"/>
          <w:lang w:val="fr-FR"/>
        </w:rPr>
        <w:t>K</w:t>
      </w:r>
      <w:r w:rsidR="00551AE9">
        <w:rPr>
          <w:rFonts w:cstheme="minorHAnsi"/>
          <w:b/>
          <w:color w:val="000000" w:themeColor="text1"/>
          <w:u w:val="single"/>
          <w:lang w:val="fr-FR"/>
        </w:rPr>
        <w:t>inshasa</w:t>
      </w:r>
    </w:p>
    <w:p w14:paraId="73CBBD73" w14:textId="77777777" w:rsidR="002E6AFF" w:rsidRPr="00551AE9" w:rsidRDefault="002E6AFF" w:rsidP="002E6AFF">
      <w:pPr>
        <w:spacing w:after="0" w:line="240" w:lineRule="auto"/>
        <w:jc w:val="both"/>
        <w:rPr>
          <w:rFonts w:cstheme="minorHAnsi"/>
          <w:b/>
          <w:color w:val="000000" w:themeColor="text1"/>
          <w:lang w:val="fr-FR"/>
        </w:rPr>
      </w:pPr>
      <w:r w:rsidRPr="00551AE9">
        <w:rPr>
          <w:rStyle w:val="lev"/>
          <w:rFonts w:cstheme="minorHAnsi"/>
          <w:color w:val="000000" w:themeColor="text1"/>
          <w:lang w:val="fr-FR"/>
        </w:rPr>
        <w:t>Toute offre soumise après ce délai sera automatiquement rejetée.</w:t>
      </w:r>
    </w:p>
    <w:p w14:paraId="6A2FD817" w14:textId="77777777" w:rsidR="00D56C11" w:rsidRPr="00551AE9" w:rsidRDefault="00D56C11" w:rsidP="00D56C11">
      <w:pPr>
        <w:spacing w:after="0" w:line="240" w:lineRule="auto"/>
        <w:jc w:val="both"/>
        <w:rPr>
          <w:rFonts w:cstheme="minorHAnsi"/>
          <w:color w:val="000000" w:themeColor="text1"/>
          <w:lang w:val="fr-FR"/>
        </w:rPr>
      </w:pPr>
    </w:p>
    <w:p w14:paraId="4881D92D" w14:textId="654D62C5" w:rsidR="00D56C11" w:rsidRDefault="00D56C11" w:rsidP="00D56C11">
      <w:pPr>
        <w:pStyle w:val="Retraitcorpsdetexte"/>
        <w:ind w:left="0"/>
        <w:jc w:val="both"/>
        <w:rPr>
          <w:rFonts w:asciiTheme="minorHAnsi" w:hAnsiTheme="minorHAnsi" w:cstheme="minorHAnsi"/>
          <w:color w:val="000000" w:themeColor="text1"/>
          <w:sz w:val="22"/>
          <w:szCs w:val="22"/>
        </w:rPr>
      </w:pPr>
      <w:r w:rsidRPr="00551AE9">
        <w:rPr>
          <w:rFonts w:asciiTheme="minorHAnsi" w:hAnsiTheme="minorHAnsi" w:cstheme="minorHAnsi"/>
          <w:color w:val="000000" w:themeColor="text1"/>
          <w:sz w:val="22"/>
          <w:szCs w:val="22"/>
        </w:rPr>
        <w:t xml:space="preserve">N’hésitez pas à écrire à l’adresse </w:t>
      </w:r>
      <w:hyperlink r:id="rId13" w:history="1">
        <w:r w:rsidR="00211905" w:rsidRPr="00551AE9">
          <w:rPr>
            <w:rStyle w:val="Lienhypertexte"/>
            <w:rFonts w:asciiTheme="minorHAnsi" w:hAnsiTheme="minorHAnsi" w:cstheme="minorHAnsi"/>
            <w:color w:val="000000" w:themeColor="text1"/>
            <w:sz w:val="22"/>
            <w:szCs w:val="22"/>
          </w:rPr>
          <w:t>soumission.info@undp.org</w:t>
        </w:r>
      </w:hyperlink>
      <w:r w:rsidRPr="00551AE9">
        <w:rPr>
          <w:rFonts w:asciiTheme="minorHAnsi" w:hAnsiTheme="minorHAnsi" w:cstheme="minorHAnsi"/>
          <w:color w:val="000000" w:themeColor="text1"/>
          <w:sz w:val="22"/>
          <w:szCs w:val="22"/>
        </w:rPr>
        <w:t xml:space="preserve"> pour toute information complémentaire avant la date limite de dépôt des offres. </w:t>
      </w:r>
    </w:p>
    <w:p w14:paraId="64D31161" w14:textId="77777777" w:rsidR="00551AE9" w:rsidRPr="00551AE9" w:rsidRDefault="00551AE9" w:rsidP="00D56C11">
      <w:pPr>
        <w:pStyle w:val="Retraitcorpsdetexte"/>
        <w:ind w:left="0"/>
        <w:jc w:val="both"/>
        <w:rPr>
          <w:rFonts w:asciiTheme="minorHAnsi" w:hAnsiTheme="minorHAnsi" w:cstheme="minorHAnsi"/>
          <w:color w:val="000000" w:themeColor="text1"/>
          <w:sz w:val="22"/>
          <w:szCs w:val="22"/>
        </w:rPr>
      </w:pPr>
    </w:p>
    <w:p w14:paraId="6DC37CD6" w14:textId="77777777" w:rsidR="00551AE9" w:rsidRPr="00195D52" w:rsidRDefault="00551AE9" w:rsidP="00551AE9">
      <w:pPr>
        <w:pStyle w:val="Retraitcorpsdetexte"/>
        <w:ind w:left="0"/>
        <w:rPr>
          <w:rFonts w:asciiTheme="minorHAnsi" w:hAnsiTheme="minorHAnsi"/>
          <w:b/>
          <w:color w:val="70AD47"/>
          <w:sz w:val="22"/>
          <w:szCs w:val="22"/>
        </w:rPr>
      </w:pPr>
      <w:r w:rsidRPr="00195D52">
        <w:rPr>
          <w:rFonts w:asciiTheme="minorHAnsi" w:hAnsiTheme="minorHAnsi"/>
          <w:b/>
          <w:color w:val="FF0000"/>
          <w:sz w:val="22"/>
          <w:szCs w:val="22"/>
          <w:u w:val="single"/>
        </w:rPr>
        <w:t>Les candidatures féminines sont vivement encouragées</w:t>
      </w:r>
      <w:r w:rsidRPr="00195D52">
        <w:rPr>
          <w:rFonts w:asciiTheme="minorHAnsi" w:hAnsiTheme="minorHAnsi"/>
          <w:b/>
          <w:color w:val="70AD47"/>
          <w:sz w:val="22"/>
          <w:szCs w:val="22"/>
        </w:rPr>
        <w:t>.</w:t>
      </w:r>
    </w:p>
    <w:p w14:paraId="176128D7" w14:textId="77777777" w:rsidR="00D56C11" w:rsidRPr="00BC73BD" w:rsidRDefault="00D56C11" w:rsidP="00D56C11">
      <w:pPr>
        <w:spacing w:after="0" w:line="240" w:lineRule="auto"/>
        <w:jc w:val="both"/>
        <w:rPr>
          <w:rFonts w:cstheme="minorHAnsi"/>
          <w:b/>
          <w:color w:val="00B0F0"/>
          <w:u w:val="single"/>
          <w:lang w:val="fr-FR"/>
        </w:rPr>
      </w:pPr>
    </w:p>
    <w:p w14:paraId="05687D1A" w14:textId="77777777" w:rsidR="009E2B22" w:rsidRPr="004F20E7" w:rsidRDefault="00DA6EEB" w:rsidP="009E2B22">
      <w:pPr>
        <w:tabs>
          <w:tab w:val="left" w:pos="1410"/>
        </w:tabs>
        <w:rPr>
          <w:rFonts w:cstheme="minorHAnsi"/>
          <w:color w:val="000000" w:themeColor="text1"/>
          <w:lang w:val="fr-FR"/>
        </w:rPr>
      </w:pPr>
      <w:r w:rsidRPr="004F20E7">
        <w:rPr>
          <w:rFonts w:cstheme="minorHAnsi"/>
          <w:noProof/>
          <w:color w:val="000000" w:themeColor="text1"/>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493FC61" w14:textId="325A0497" w:rsidR="009E2B22" w:rsidRDefault="009E2B22" w:rsidP="009E2B22">
      <w:pPr>
        <w:tabs>
          <w:tab w:val="left" w:pos="1410"/>
        </w:tabs>
        <w:rPr>
          <w:rFonts w:cstheme="minorHAnsi"/>
          <w:b/>
          <w:color w:val="000000" w:themeColor="text1"/>
          <w:u w:val="single"/>
          <w:lang w:val="fr-FR"/>
        </w:rPr>
      </w:pPr>
      <w:r w:rsidRPr="004F20E7">
        <w:rPr>
          <w:rFonts w:cstheme="minorHAnsi"/>
          <w:b/>
          <w:color w:val="000000" w:themeColor="text1"/>
          <w:u w:val="single"/>
          <w:lang w:val="fr-FR"/>
        </w:rPr>
        <w:t xml:space="preserve">1. </w:t>
      </w:r>
      <w:r w:rsidR="00213A46" w:rsidRPr="004F20E7">
        <w:rPr>
          <w:rFonts w:cstheme="minorHAnsi"/>
          <w:b/>
          <w:color w:val="000000" w:themeColor="text1"/>
          <w:u w:val="single"/>
          <w:lang w:val="fr-FR"/>
        </w:rPr>
        <w:t xml:space="preserve">Contexte </w:t>
      </w:r>
      <w:r w:rsidR="00875DF3" w:rsidRPr="004F20E7">
        <w:rPr>
          <w:rFonts w:cstheme="minorHAnsi"/>
          <w:b/>
          <w:color w:val="000000" w:themeColor="text1"/>
          <w:u w:val="single"/>
          <w:lang w:val="fr-FR"/>
        </w:rPr>
        <w:t>et Justification</w:t>
      </w:r>
    </w:p>
    <w:p w14:paraId="426ED2AC" w14:textId="3094E4B4" w:rsidR="005843FB" w:rsidRPr="005843FB" w:rsidRDefault="005843FB" w:rsidP="005843FB">
      <w:pPr>
        <w:tabs>
          <w:tab w:val="left" w:pos="2550"/>
        </w:tabs>
        <w:rPr>
          <w:rFonts w:cstheme="minorHAnsi"/>
          <w:lang w:val="fr-FR"/>
        </w:rPr>
      </w:pPr>
      <w:r>
        <w:rPr>
          <w:rFonts w:cstheme="minorHAnsi"/>
          <w:lang w:val="fr-FR"/>
        </w:rPr>
        <w:tab/>
      </w:r>
    </w:p>
    <w:tbl>
      <w:tblPr>
        <w:tblStyle w:val="Grilledutableau"/>
        <w:tblW w:w="0" w:type="auto"/>
        <w:tblLook w:val="04A0" w:firstRow="1" w:lastRow="0" w:firstColumn="1" w:lastColumn="0" w:noHBand="0" w:noVBand="1"/>
      </w:tblPr>
      <w:tblGrid>
        <w:gridCol w:w="9350"/>
      </w:tblGrid>
      <w:tr w:rsidR="004F20E7" w:rsidRPr="004A6EEF" w14:paraId="60EECF8A" w14:textId="77777777" w:rsidTr="00174B83">
        <w:tc>
          <w:tcPr>
            <w:tcW w:w="9350" w:type="dxa"/>
          </w:tcPr>
          <w:p w14:paraId="62E9E888" w14:textId="77777777" w:rsidR="00ED387C" w:rsidRPr="00ED387C" w:rsidRDefault="00ED387C" w:rsidP="00ED387C">
            <w:pPr>
              <w:spacing w:after="120"/>
              <w:jc w:val="both"/>
              <w:rPr>
                <w:rFonts w:cs="Times New Roman"/>
                <w:lang w:val="fr-FR"/>
              </w:rPr>
            </w:pPr>
            <w:r w:rsidRPr="00ED387C">
              <w:rPr>
                <w:rFonts w:cs="Times New Roman"/>
                <w:lang w:val="fr-FR"/>
              </w:rPr>
              <w:lastRenderedPageBreak/>
              <w:t>Le Gouvernement de la République Démocratique du Congo (RDC) a endossé le 27 décembre 2019 le Plan National Stratégique de Développement 2019-2023, PNSD en sigle. L’adoption politique de ce cadre stratégique national qui fixe les grandes lignes directrices pour le développement du pays marque la volonté du Gouvernement de commencer à mettre en œuvre la vision de développement à long terme RDC 2040 qui s’énonce comme suit : « </w:t>
            </w:r>
            <w:r w:rsidRPr="00ED387C">
              <w:rPr>
                <w:rFonts w:cs="Times New Roman"/>
                <w:b/>
                <w:bCs/>
                <w:i/>
                <w:iCs/>
                <w:lang w:val="fr-FR"/>
              </w:rPr>
              <w:t>En 25 ans, les potentiels des secteurs extractifs et agricoles de la RDC auront été mis en valeur, dans l’optique de construire une économie diversifiée à croissance inclusive et à revenu intermédiaire, qui vise à vaincre la pauvreté</w:t>
            </w:r>
            <w:r w:rsidRPr="00ED387C">
              <w:rPr>
                <w:rFonts w:cs="Times New Roman"/>
                <w:lang w:val="fr-FR"/>
              </w:rPr>
              <w:t xml:space="preserve"> ».  Ainsi donc, la mise en œuvre de cette vision partagée et harmonisée se matérialise par un plan national pour les 5 prochaines années qui s’articule autour des 5 piliers suivants : </w:t>
            </w:r>
            <w:r w:rsidRPr="00ED387C">
              <w:rPr>
                <w:rFonts w:cs="Times New Roman"/>
                <w:b/>
                <w:bCs/>
                <w:i/>
                <w:iCs/>
                <w:lang w:val="fr-FR"/>
              </w:rPr>
              <w:t>(1) Valorisation du capital humain, développement social et culturel ; (2) Renforcement de la bonne gouvernance, restauration de l’autorité de l’Etat et consolidation de la Paix ; (3) Consolidation de la croissance économique, diversification et transformation de l’économie ; (4) Aménagement du territoire national en infrastructures et équipements du numérique &amp; (5) Protection de l’environnement, lutte contre le changement climatique, développement durable et équilibré</w:t>
            </w:r>
            <w:r w:rsidRPr="00ED387C">
              <w:rPr>
                <w:rFonts w:cs="Times New Roman"/>
                <w:lang w:val="fr-FR"/>
              </w:rPr>
              <w:t>.</w:t>
            </w:r>
          </w:p>
          <w:p w14:paraId="428A8F9C" w14:textId="77777777" w:rsidR="00ED387C" w:rsidRPr="00ED387C" w:rsidRDefault="00ED387C" w:rsidP="00ED387C">
            <w:pPr>
              <w:jc w:val="both"/>
              <w:rPr>
                <w:rFonts w:cs="Times New Roman"/>
                <w:lang w:val="fr-FR"/>
              </w:rPr>
            </w:pPr>
            <w:r w:rsidRPr="00ED387C">
              <w:rPr>
                <w:rFonts w:cs="Times New Roman"/>
                <w:lang w:val="fr-FR"/>
              </w:rPr>
              <w:t xml:space="preserve">La mise en œuvre du PNSD par le Gouvernement, à travers le ministère du Plan, implique l’adoption des principes et des outils de gestion adéquats garantissant une coordination efficiente des actions et un meilleur suivi pour l’atteinte des objectifs fixés. Il s’agit notamment de l’adoption de la gestion axée sur les résultats de développement comme principe d’opérationnalisation de la chaîne Planification-Programmation-Budgétisation-Suivi-Evaluation (PPBSE) en vue d’un pilotage plus efficace du développement.   </w:t>
            </w:r>
          </w:p>
          <w:p w14:paraId="58B42438" w14:textId="77777777" w:rsidR="00ED387C" w:rsidRPr="00ED387C" w:rsidRDefault="00ED387C" w:rsidP="00ED387C">
            <w:pPr>
              <w:jc w:val="both"/>
              <w:rPr>
                <w:rFonts w:cs="Times New Roman"/>
                <w:sz w:val="16"/>
                <w:szCs w:val="16"/>
                <w:lang w:val="fr-FR"/>
              </w:rPr>
            </w:pPr>
          </w:p>
          <w:p w14:paraId="11DE5C4D" w14:textId="77777777" w:rsidR="00ED387C" w:rsidRPr="00ED387C" w:rsidRDefault="00ED387C" w:rsidP="00ED387C">
            <w:pPr>
              <w:jc w:val="both"/>
              <w:rPr>
                <w:rFonts w:cs="Times New Roman"/>
                <w:lang w:val="fr-FR"/>
              </w:rPr>
            </w:pPr>
            <w:r w:rsidRPr="00ED387C">
              <w:rPr>
                <w:rFonts w:cs="Times New Roman"/>
                <w:lang w:val="fr-FR"/>
              </w:rPr>
              <w:t xml:space="preserve">Par ailleurs, selon les conclusions du rapport provisoire PEFA 2019 relatif à l’évaluation de la performance de la gestion des finances publiques en RDC (méthodologie 2016), la gestion budgétaire est encore décidée par quelques entités selon une base « tiroir-caisse » comme le soulignent divers rapports du FMI.  L’évaluation a mis en exergue de nombreuses faiblesses dans la gestion des finances publiques au cours des exercices 2016 à 2018, notamment : (i) </w:t>
            </w:r>
            <w:r w:rsidRPr="00ED387C">
              <w:rPr>
                <w:lang w:val="fr-FR"/>
              </w:rPr>
              <w:t xml:space="preserve">les écarts importants entre les crédits votés et le budget tel qu’exécuté par le Gouvernement ; (ii) le dépassement des allocations budgétaires des institutions et ministères de souveraineté au détriment des dépenses pro-pauvres ; (iii) le cumul des arriérés budgétaires et le non-respect de la procédure systématique d’encaissement et de décaissement des fonds par des comptables publics ; (iv) la possibilité, dans le cadre du système de gestion budgétaire de la RDC, qu’une dépense non exécutée à la fin d’un exercice budgétaire, puisse bénéficier d’un avis d’imputation directe lui permettant de se rattacher au budget de l’exercice en cours, ce qui a pour effet de réduire artificiellement les arriérés et d’accroitre le déficit du budget en cours ; (v) le recours excessif aux procédures exceptionnelles de la chaîne de la dépense, causé en partie par le manque de fluidité des procédures lors du traitement des dossiers des dépenses et la redondance des contrôles. </w:t>
            </w:r>
          </w:p>
          <w:p w14:paraId="1A87B54A" w14:textId="77777777" w:rsidR="00ED387C" w:rsidRPr="00ED387C" w:rsidRDefault="00ED387C" w:rsidP="00ED387C">
            <w:pPr>
              <w:jc w:val="both"/>
              <w:rPr>
                <w:rFonts w:cs="Times New Roman"/>
                <w:lang w:val="fr-FR"/>
              </w:rPr>
            </w:pPr>
          </w:p>
          <w:p w14:paraId="63429E04" w14:textId="77777777" w:rsidR="00ED387C" w:rsidRPr="00ED387C" w:rsidRDefault="00ED387C" w:rsidP="00ED387C">
            <w:pPr>
              <w:jc w:val="both"/>
              <w:rPr>
                <w:rFonts w:cs="Times New Roman"/>
                <w:lang w:val="fr-FR"/>
              </w:rPr>
            </w:pPr>
            <w:r w:rsidRPr="00ED387C">
              <w:rPr>
                <w:rFonts w:cs="Times New Roman"/>
                <w:lang w:val="fr-FR"/>
              </w:rPr>
              <w:t xml:space="preserve">De façon plus spécifique, les résultats de l’évaluation par rapport aux principaux objectifs budgétaires se présentent comme suit : </w:t>
            </w:r>
          </w:p>
          <w:p w14:paraId="0DB4D9E5" w14:textId="77777777" w:rsidR="00ED387C" w:rsidRPr="00ED387C" w:rsidRDefault="00ED387C" w:rsidP="00ED387C">
            <w:pPr>
              <w:jc w:val="both"/>
              <w:rPr>
                <w:rFonts w:cs="Times New Roman"/>
                <w:lang w:val="fr-FR"/>
              </w:rPr>
            </w:pPr>
          </w:p>
          <w:p w14:paraId="6E17E2E1" w14:textId="77777777" w:rsidR="00ED387C" w:rsidRPr="00ED387C" w:rsidRDefault="00ED387C" w:rsidP="00625E6D">
            <w:pPr>
              <w:pStyle w:val="Paragraphedeliste"/>
              <w:numPr>
                <w:ilvl w:val="0"/>
                <w:numId w:val="9"/>
              </w:numPr>
              <w:spacing w:before="120" w:after="120" w:line="259" w:lineRule="auto"/>
              <w:ind w:left="714" w:hanging="357"/>
              <w:contextualSpacing w:val="0"/>
              <w:jc w:val="both"/>
              <w:rPr>
                <w:rFonts w:eastAsia="Calibri"/>
                <w:bCs/>
                <w:iCs/>
                <w:lang w:val="fr-FR"/>
              </w:rPr>
            </w:pPr>
            <w:bookmarkStart w:id="8" w:name="_Toc22899953"/>
            <w:r w:rsidRPr="00ED387C">
              <w:rPr>
                <w:rFonts w:eastAsia="Calibri"/>
                <w:b/>
                <w:i/>
                <w:lang w:val="fr-FR"/>
              </w:rPr>
              <w:t>Discipline budgétaire globale</w:t>
            </w:r>
            <w:bookmarkEnd w:id="8"/>
            <w:r w:rsidRPr="00ED387C">
              <w:rPr>
                <w:rFonts w:eastAsia="Calibri"/>
                <w:bCs/>
                <w:iCs/>
                <w:lang w:val="fr-FR"/>
              </w:rPr>
              <w:t xml:space="preserve"> : </w:t>
            </w:r>
            <w:r w:rsidRPr="00ED387C">
              <w:rPr>
                <w:bCs/>
                <w:iCs/>
                <w:lang w:val="fr-FR"/>
              </w:rPr>
              <w:t>la performance relative</w:t>
            </w:r>
            <w:r w:rsidRPr="00ED387C">
              <w:rPr>
                <w:rFonts w:eastAsia="Calibri"/>
                <w:bCs/>
                <w:iCs/>
                <w:lang w:val="fr-FR"/>
              </w:rPr>
              <w:t xml:space="preserve"> à la discipline budgétaire globale est </w:t>
            </w:r>
            <w:r w:rsidRPr="00ED387C">
              <w:rPr>
                <w:rFonts w:eastAsia="Calibri" w:cs="Calibri"/>
                <w:b/>
                <w:i/>
                <w:lang w:val="fr-FR"/>
              </w:rPr>
              <w:t>basique</w:t>
            </w:r>
            <w:r w:rsidRPr="00ED387C">
              <w:rPr>
                <w:rFonts w:eastAsia="Calibri"/>
                <w:bCs/>
                <w:iCs/>
                <w:lang w:val="fr-FR"/>
              </w:rPr>
              <w:t xml:space="preserve">, résultant essentiellement : (i) de l'affectation discrétionnaire des ressources publiques, principalement en raison de la crise politique et des pressions politiques exercées pour effectuer des dépenses plus élevées que celles prévues au budget ; (ii) du montant </w:t>
            </w:r>
            <w:r w:rsidRPr="00ED387C">
              <w:rPr>
                <w:rFonts w:eastAsia="Calibri"/>
                <w:bCs/>
                <w:iCs/>
                <w:lang w:val="fr-FR"/>
              </w:rPr>
              <w:lastRenderedPageBreak/>
              <w:t>important des arriérés de dépenses et (iii) de l’absence de perspective à moyen terme dans la budgétisation des dépenses.</w:t>
            </w:r>
          </w:p>
          <w:p w14:paraId="2567D6E3" w14:textId="77777777" w:rsidR="00ED387C" w:rsidRPr="00ED387C" w:rsidRDefault="00ED387C" w:rsidP="00625E6D">
            <w:pPr>
              <w:pStyle w:val="Paragraphedeliste"/>
              <w:numPr>
                <w:ilvl w:val="0"/>
                <w:numId w:val="9"/>
              </w:numPr>
              <w:spacing w:before="120" w:after="120" w:line="259" w:lineRule="auto"/>
              <w:ind w:left="714" w:hanging="357"/>
              <w:contextualSpacing w:val="0"/>
              <w:jc w:val="both"/>
              <w:rPr>
                <w:bCs/>
                <w:iCs/>
                <w:lang w:val="fr-FR"/>
              </w:rPr>
            </w:pPr>
            <w:bookmarkStart w:id="9" w:name="_Toc22899954"/>
            <w:r w:rsidRPr="00ED387C">
              <w:rPr>
                <w:rFonts w:eastAsia="Calibri"/>
                <w:b/>
                <w:i/>
                <w:lang w:val="fr-FR"/>
              </w:rPr>
              <w:t>Allocation stratégique des ressources</w:t>
            </w:r>
            <w:bookmarkEnd w:id="9"/>
            <w:r w:rsidRPr="00ED387C">
              <w:rPr>
                <w:bCs/>
                <w:iCs/>
                <w:lang w:val="fr-FR"/>
              </w:rPr>
              <w:t> : l</w:t>
            </w:r>
            <w:r w:rsidRPr="00ED387C">
              <w:rPr>
                <w:rFonts w:ascii="Calibri" w:hAnsi="Calibri"/>
                <w:bCs/>
                <w:iCs/>
                <w:lang w:val="fr-FR"/>
              </w:rPr>
              <w:t xml:space="preserve">a performance portant sur </w:t>
            </w:r>
            <w:r w:rsidRPr="00ED387C">
              <w:rPr>
                <w:bCs/>
                <w:iCs/>
                <w:lang w:val="fr-FR"/>
              </w:rPr>
              <w:t xml:space="preserve">l’allocation stratégique des ressources est aussi </w:t>
            </w:r>
            <w:r w:rsidRPr="00ED387C">
              <w:rPr>
                <w:rFonts w:ascii="Calibri" w:hAnsi="Calibri" w:cs="Calibri"/>
                <w:b/>
                <w:bCs/>
                <w:i/>
                <w:lang w:val="fr-FR"/>
              </w:rPr>
              <w:t>basique</w:t>
            </w:r>
            <w:r w:rsidRPr="00ED387C">
              <w:rPr>
                <w:bCs/>
                <w:iCs/>
                <w:lang w:val="fr-FR"/>
              </w:rPr>
              <w:t>, du fait de : (i) la faiblesse de recettes fiscales et douanières résultant notamment de la fraude fiscale et douanière (ii) l’importance des opérations de recettes et de dépenses effectuées en dehors du budget. De même, en l’absence de Rapports Annuels de Performance (RAP), il est encore prématuré de savoir si l’établissement des Projets Annuels de Performance (PAP) a permis de contribuer à une meilleure allocation des ressources.</w:t>
            </w:r>
          </w:p>
          <w:p w14:paraId="1BAB93C4" w14:textId="77777777" w:rsidR="00ED387C" w:rsidRPr="00ED387C" w:rsidRDefault="00ED387C" w:rsidP="00625E6D">
            <w:pPr>
              <w:pStyle w:val="Paragraphedeliste"/>
              <w:numPr>
                <w:ilvl w:val="0"/>
                <w:numId w:val="9"/>
              </w:numPr>
              <w:spacing w:before="120" w:after="120" w:line="259" w:lineRule="auto"/>
              <w:ind w:left="714" w:hanging="357"/>
              <w:contextualSpacing w:val="0"/>
              <w:jc w:val="both"/>
              <w:rPr>
                <w:rFonts w:ascii="Calibri" w:hAnsi="Calibri"/>
                <w:bCs/>
                <w:iCs/>
                <w:lang w:val="fr-FR"/>
              </w:rPr>
            </w:pPr>
            <w:bookmarkStart w:id="10" w:name="_Toc22899955"/>
            <w:bookmarkStart w:id="11" w:name="_Hlk31396798"/>
            <w:r w:rsidRPr="00ED387C">
              <w:rPr>
                <w:rFonts w:eastAsia="Calibri"/>
                <w:b/>
                <w:i/>
                <w:lang w:val="fr-FR"/>
              </w:rPr>
              <w:t xml:space="preserve">Utilisation </w:t>
            </w:r>
            <w:r w:rsidRPr="00ED387C">
              <w:rPr>
                <w:b/>
                <w:i/>
                <w:lang w:val="fr-FR"/>
              </w:rPr>
              <w:t>efficace</w:t>
            </w:r>
            <w:r w:rsidRPr="00ED387C">
              <w:rPr>
                <w:rFonts w:eastAsia="Calibri"/>
                <w:b/>
                <w:i/>
                <w:lang w:val="fr-FR"/>
              </w:rPr>
              <w:t xml:space="preserve"> des ressources à des fins de prestation de services</w:t>
            </w:r>
            <w:bookmarkEnd w:id="10"/>
            <w:r w:rsidRPr="00ED387C">
              <w:rPr>
                <w:bCs/>
                <w:iCs/>
                <w:lang w:val="fr-FR"/>
              </w:rPr>
              <w:t xml:space="preserve"> : </w:t>
            </w:r>
            <w:bookmarkEnd w:id="11"/>
            <w:r w:rsidRPr="00ED387C">
              <w:rPr>
                <w:bCs/>
                <w:iCs/>
                <w:lang w:val="fr-FR"/>
              </w:rPr>
              <w:t>l</w:t>
            </w:r>
            <w:r w:rsidRPr="00ED387C">
              <w:rPr>
                <w:rFonts w:ascii="Calibri" w:hAnsi="Calibri"/>
                <w:bCs/>
                <w:iCs/>
                <w:lang w:val="fr-FR"/>
              </w:rPr>
              <w:t xml:space="preserve">a performance globale </w:t>
            </w:r>
            <w:r w:rsidRPr="00ED387C">
              <w:rPr>
                <w:bCs/>
                <w:iCs/>
                <w:lang w:val="fr-FR"/>
              </w:rPr>
              <w:t>relative</w:t>
            </w:r>
            <w:r w:rsidRPr="00ED387C">
              <w:rPr>
                <w:rFonts w:ascii="Calibri" w:hAnsi="Calibri"/>
                <w:bCs/>
                <w:iCs/>
                <w:lang w:val="fr-FR"/>
              </w:rPr>
              <w:t xml:space="preserve"> à Utilisation efficace des ressources à des fins de prestation de services est</w:t>
            </w:r>
            <w:r w:rsidRPr="00ED387C">
              <w:rPr>
                <w:bCs/>
                <w:iCs/>
                <w:lang w:val="fr-FR"/>
              </w:rPr>
              <w:t xml:space="preserve"> également</w:t>
            </w:r>
            <w:r w:rsidRPr="00ED387C">
              <w:rPr>
                <w:rFonts w:ascii="Calibri" w:hAnsi="Calibri"/>
                <w:bCs/>
                <w:iCs/>
                <w:lang w:val="fr-FR"/>
              </w:rPr>
              <w:t xml:space="preserve"> </w:t>
            </w:r>
            <w:r w:rsidRPr="00ED387C">
              <w:rPr>
                <w:rFonts w:ascii="Calibri" w:hAnsi="Calibri" w:cs="Calibri"/>
                <w:b/>
                <w:bCs/>
                <w:i/>
                <w:lang w:val="fr-FR"/>
              </w:rPr>
              <w:t xml:space="preserve">basique. </w:t>
            </w:r>
            <w:r w:rsidRPr="00ED387C">
              <w:rPr>
                <w:rFonts w:ascii="Calibri" w:hAnsi="Calibri"/>
                <w:bCs/>
                <w:iCs/>
                <w:lang w:val="fr-FR"/>
              </w:rPr>
              <w:t>Les services publics sont inefficaces, coûteux et insuffisamment contrôlés et suivis par la Cour des Comptes et le Parlement. A cause du recours aux procédures d’urgence utilisées par la Présidence, la Primature, les ministères des Finances et du Budget, les services de santé, d'éducation, d'eau et d'électricité sont sous-financés. Le gouvernement central paie l'essentiel des salaires, mais pas les frais d'utilisation qui sont importants dans ces secteurs. De plus, les données présentées dans les rapports sur l’exécution du budget, pourtant publiées trimestriellement manquent de fiabilité. Il en résulte que le public est peu informé pour juger de l’efficacité de l’utilisation des ressources à des fins de prestation de services.</w:t>
            </w:r>
          </w:p>
          <w:p w14:paraId="20507CC1" w14:textId="77777777" w:rsidR="00ED387C" w:rsidRPr="00ED387C" w:rsidRDefault="00ED387C" w:rsidP="00ED387C">
            <w:pPr>
              <w:spacing w:after="120"/>
              <w:jc w:val="both"/>
              <w:rPr>
                <w:rFonts w:cs="Times New Roman"/>
                <w:lang w:val="fr-FR"/>
              </w:rPr>
            </w:pPr>
            <w:r w:rsidRPr="00ED387C">
              <w:rPr>
                <w:rFonts w:cs="Times New Roman"/>
                <w:lang w:val="fr-FR"/>
              </w:rPr>
              <w:t>Au total, le rapport d’évaluation PEFA 2019 fait ressortir que, malgré des améliorations dans certains domaines, notamment la préparation du budget, la production des rapports et la reddition des comptes, il est noté une régression de la performance de la GFP</w:t>
            </w:r>
            <w:r>
              <w:rPr>
                <w:rStyle w:val="Appelnotedebasdep"/>
                <w:rFonts w:cs="Times New Roman"/>
              </w:rPr>
              <w:footnoteReference w:id="1"/>
            </w:r>
            <w:r w:rsidRPr="00ED387C">
              <w:rPr>
                <w:rFonts w:cs="Times New Roman"/>
                <w:lang w:val="fr-FR"/>
              </w:rPr>
              <w:t xml:space="preserve"> par rapport à la précédente évaluation de 2011 qui s’expliquerait par les dysfonctionnements qui se sont accrus du fait des tensions politiques au cours de la période évaluée, notamment sur le plan de la collecte des recettes fiscales et douanières et des procédures d’exécution du budget.</w:t>
            </w:r>
          </w:p>
          <w:p w14:paraId="4ACEB495" w14:textId="77777777" w:rsidR="00ED387C" w:rsidRPr="00ED387C" w:rsidRDefault="00ED387C" w:rsidP="00ED387C">
            <w:pPr>
              <w:spacing w:after="120"/>
              <w:jc w:val="both"/>
              <w:rPr>
                <w:rFonts w:cs="Times New Roman"/>
                <w:lang w:val="fr-FR"/>
              </w:rPr>
            </w:pPr>
            <w:r w:rsidRPr="00ED387C">
              <w:rPr>
                <w:rFonts w:cs="Times New Roman"/>
                <w:lang w:val="fr-FR"/>
              </w:rPr>
              <w:t xml:space="preserve">Toutes ces faiblesses constituent également l’expression des capacités limitées des acteurs de la chaîne PPBSE tant au niveau des Ministères transversaux (Plan, budget, finances, etc.) que des ministères sectoriels. La mise en place de la chaîne PPBSE nécessite un certain nombre de préalables notamment la disponibilité des stratégies sectorielles, l’élaboration des budget-programmes et la disponibilité d’un mécanisme consensuel et opérationnel de suivi du pilotage du PNSD. Il convient de rappeler tout même que le ministère du Plan avec l’appui des partenaires techniques et financiers avait déjà développé des outils pour la réalisation de ces préalables. Il s’agit notamment du guide de planification provincial et local et du guide méthodologique pour l’élaboration des stratégies sectorielles. Par ailleurs, le renforcement des capacités nationales en matière d’élaboration des budget-programmes avait été également initiés mais il n’avait été complètement achevé.   </w:t>
            </w:r>
          </w:p>
          <w:p w14:paraId="76F28201" w14:textId="336EBDA8" w:rsidR="00ED387C" w:rsidRPr="00ED387C" w:rsidRDefault="00ED387C" w:rsidP="00ED387C">
            <w:pPr>
              <w:spacing w:after="120"/>
              <w:jc w:val="both"/>
              <w:rPr>
                <w:rFonts w:cs="Times New Roman"/>
                <w:lang w:val="fr-FR"/>
              </w:rPr>
            </w:pPr>
            <w:r w:rsidRPr="00ED387C">
              <w:rPr>
                <w:rFonts w:cs="Times New Roman"/>
                <w:lang w:val="fr-FR"/>
              </w:rPr>
              <w:t xml:space="preserve">C’est dans cette perspective que le </w:t>
            </w:r>
            <w:bookmarkStart w:id="12" w:name="_Hlk36547935"/>
            <w:r w:rsidRPr="00ED387C">
              <w:rPr>
                <w:rFonts w:cs="Times New Roman"/>
                <w:lang w:val="fr-FR"/>
              </w:rPr>
              <w:t xml:space="preserve">Bureau-Pays du PNUD </w:t>
            </w:r>
            <w:bookmarkEnd w:id="12"/>
            <w:r w:rsidRPr="00ED387C">
              <w:rPr>
                <w:rFonts w:cs="Times New Roman"/>
                <w:lang w:val="fr-FR"/>
              </w:rPr>
              <w:t xml:space="preserve">en RDC a prévu dans son Document de Programme-Pays 2020-2024 de soutenir le renforcement des capacités nationales pour la chaîne PPBSE en RDC. En effet, pour appuyer l’un </w:t>
            </w:r>
            <w:r w:rsidR="00551AE9" w:rsidRPr="00ED387C">
              <w:rPr>
                <w:rFonts w:cs="Times New Roman"/>
                <w:lang w:val="fr-FR"/>
              </w:rPr>
              <w:t>des objectifs nationaux</w:t>
            </w:r>
            <w:r w:rsidRPr="00ED387C">
              <w:rPr>
                <w:rFonts w:cs="Times New Roman"/>
                <w:lang w:val="fr-FR"/>
              </w:rPr>
              <w:t xml:space="preserve"> déclinés dans le PNSD, à savoir le renforcement de la gouvernance économique et la consolidation de la paix, le Bureau-Pays du PNUD </w:t>
            </w:r>
            <w:r w:rsidRPr="00ED387C">
              <w:rPr>
                <w:rFonts w:cs="Times New Roman"/>
                <w:lang w:val="fr-FR"/>
              </w:rPr>
              <w:lastRenderedPageBreak/>
              <w:t xml:space="preserve">va contribuer au renforcement des capacités de réalisation, de suivi et d'évaluation des objectifs de développement durable à travers la chaîne PPBSE aux niveaux national, provincial et local, y compris l'Institut national de statistique. Ceci ne peut être possible qu’à travers un programme structurant qui va contribuer à aider la RDC d’améliorer la mise en œuvre du PNSD.  </w:t>
            </w:r>
          </w:p>
          <w:p w14:paraId="50726450" w14:textId="77777777" w:rsidR="00ED387C" w:rsidRPr="00ED387C" w:rsidRDefault="00ED387C" w:rsidP="00ED387C">
            <w:pPr>
              <w:spacing w:after="120"/>
              <w:jc w:val="both"/>
              <w:rPr>
                <w:rFonts w:cs="Times New Roman"/>
                <w:lang w:val="fr-FR"/>
              </w:rPr>
            </w:pPr>
            <w:r w:rsidRPr="00ED387C">
              <w:rPr>
                <w:rFonts w:cs="Times New Roman"/>
                <w:lang w:val="fr-FR"/>
              </w:rPr>
              <w:t xml:space="preserve">Par ailleurs, à l’issue de l’atelier résidentiel de Zongo (19 au 20 février 2020) présidé par Madame la Vice-Premier Ministre, Ministre du Plan, il avait été recommandé la formulation et la mise en œuvre d’un programme pour le renforcement de la chaîne PPBSE sous la coordination du ministère du Plan.   </w:t>
            </w:r>
          </w:p>
          <w:p w14:paraId="5BDFFA20" w14:textId="198F0FEE" w:rsidR="00ED387C" w:rsidRPr="00ED387C" w:rsidRDefault="00551AE9" w:rsidP="00ED387C">
            <w:pPr>
              <w:spacing w:after="120"/>
              <w:jc w:val="both"/>
              <w:rPr>
                <w:rFonts w:cs="Times New Roman"/>
                <w:lang w:val="fr-FR"/>
              </w:rPr>
            </w:pPr>
            <w:r w:rsidRPr="00ED387C">
              <w:rPr>
                <w:rFonts w:cs="Times New Roman"/>
                <w:lang w:val="fr-FR"/>
              </w:rPr>
              <w:t>Les présents termes</w:t>
            </w:r>
            <w:r w:rsidR="00ED387C" w:rsidRPr="00ED387C">
              <w:rPr>
                <w:rFonts w:cs="Times New Roman"/>
                <w:lang w:val="fr-FR"/>
              </w:rPr>
              <w:t xml:space="preserve"> de référence </w:t>
            </w:r>
            <w:r w:rsidRPr="00ED387C">
              <w:rPr>
                <w:rFonts w:cs="Times New Roman"/>
                <w:lang w:val="fr-FR"/>
              </w:rPr>
              <w:t>explicitent</w:t>
            </w:r>
            <w:r w:rsidR="00ED387C" w:rsidRPr="00ED387C">
              <w:rPr>
                <w:rFonts w:cs="Times New Roman"/>
                <w:lang w:val="fr-FR"/>
              </w:rPr>
              <w:t xml:space="preserve"> le travail du (de la) consultant(e) national(e) qui travaillera sous la coordination du (de la) consultant(e) national(e), chef d’équipe, pour formuler ce programme.</w:t>
            </w:r>
          </w:p>
          <w:p w14:paraId="3A8B7A76" w14:textId="77777777" w:rsidR="00ED387C" w:rsidRPr="00526D86" w:rsidRDefault="00ED387C" w:rsidP="00625E6D">
            <w:pPr>
              <w:pStyle w:val="Paragraphedeliste"/>
              <w:numPr>
                <w:ilvl w:val="0"/>
                <w:numId w:val="8"/>
              </w:numPr>
              <w:spacing w:after="120" w:line="259" w:lineRule="auto"/>
              <w:jc w:val="both"/>
              <w:rPr>
                <w:rFonts w:cs="Times New Roman"/>
                <w:b/>
                <w:bCs/>
                <w:u w:val="single"/>
              </w:rPr>
            </w:pPr>
            <w:r w:rsidRPr="00526D86">
              <w:rPr>
                <w:rFonts w:cs="Times New Roman"/>
                <w:b/>
                <w:bCs/>
                <w:u w:val="single"/>
              </w:rPr>
              <w:t>Objectifs</w:t>
            </w:r>
          </w:p>
          <w:p w14:paraId="13E5DCBB" w14:textId="77777777" w:rsidR="00ED387C" w:rsidRPr="00ED387C" w:rsidRDefault="00ED387C" w:rsidP="00ED387C">
            <w:pPr>
              <w:spacing w:after="120"/>
              <w:jc w:val="both"/>
              <w:rPr>
                <w:rFonts w:cs="Times New Roman"/>
                <w:lang w:val="fr-FR"/>
              </w:rPr>
            </w:pPr>
            <w:r w:rsidRPr="00ED387C">
              <w:rPr>
                <w:rFonts w:cs="Times New Roman"/>
                <w:lang w:val="fr-FR"/>
              </w:rPr>
              <w:t xml:space="preserve">L’objectif principal est l’analyse réaliste de la chaîne PPBSE en RDC en vue de proposer un programme structurant, cohérent et intégré, pour garantir son renforcement et son fonctionnement effectif. </w:t>
            </w:r>
          </w:p>
          <w:p w14:paraId="7451BFEE" w14:textId="77777777" w:rsidR="00ED387C" w:rsidRPr="00ED387C" w:rsidRDefault="00ED387C" w:rsidP="00ED387C">
            <w:pPr>
              <w:spacing w:after="120"/>
              <w:jc w:val="both"/>
              <w:rPr>
                <w:rFonts w:cs="Times New Roman"/>
                <w:lang w:val="fr-FR"/>
              </w:rPr>
            </w:pPr>
            <w:r w:rsidRPr="00ED387C">
              <w:rPr>
                <w:rFonts w:cs="Times New Roman"/>
                <w:lang w:val="fr-FR"/>
              </w:rPr>
              <w:t>Il s’agira de manière spécifique de procéder à :</w:t>
            </w:r>
          </w:p>
          <w:p w14:paraId="7F3D1108"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L’état des lieux de la chaîne PPBSE au niveau national et provincial ;</w:t>
            </w:r>
          </w:p>
          <w:p w14:paraId="64C35E9C"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L’identification des ministères et structures clés intervenant dans cette chaîne tant au niveau national que provincial ainsi que leurs rôles et attributions ;</w:t>
            </w:r>
          </w:p>
          <w:p w14:paraId="36116682"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L’analyse des différentes interactions entre ces ministères et structures clés avec les autres ministères sectoriels ainsi que les structures intervenant de manière directe ou indirecte dans la chaîne PPBSE ;</w:t>
            </w:r>
          </w:p>
          <w:p w14:paraId="549648EA"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L’analyser les capacités de maîtrise du cycle de projet et de mise en place des budget-programmes par les ministères sectoriels ;</w:t>
            </w:r>
          </w:p>
          <w:p w14:paraId="247821FC"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L’identification des partenaires techniques et financiers qui apportent des appuis dans le domaine de la planification stratégique au niveau national et provincial, de la mise en place des budget-programmes, du renforcement du suivi et de l’évaluation des programmes en général et du PNSD en particulier ;</w:t>
            </w:r>
          </w:p>
          <w:p w14:paraId="2FBC8662"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 xml:space="preserve">L’analyse des capacités des ministères centraux (Plan, Finances, Budget, etc…) à accompagner le processus de mise en place des budget-programmes dans le cadre de la mise en œuvre du PNSD ; </w:t>
            </w:r>
          </w:p>
          <w:p w14:paraId="6E7C1C2A"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L’identification des contraintes freinant l’absorption des ressources publiques dans quelques ministères prioritaires (enseignement, santé, agriculture et développement rural, hydraulique et énergie, protection sociale, infrastructures routières, etc…) ;</w:t>
            </w:r>
          </w:p>
          <w:p w14:paraId="2A516ACD"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L’identification des actions à court terme, répondant aux besoins les plus urgents, dans une vision de résolution de l’ensemble des problèmes à moyen et long terme dans le cadre des réformes en cours ;</w:t>
            </w:r>
          </w:p>
          <w:p w14:paraId="107AF18C" w14:textId="77777777" w:rsidR="00ED387C" w:rsidRPr="00ED387C" w:rsidRDefault="00ED387C" w:rsidP="00625E6D">
            <w:pPr>
              <w:pStyle w:val="Paragraphedeliste"/>
              <w:numPr>
                <w:ilvl w:val="0"/>
                <w:numId w:val="10"/>
              </w:numPr>
              <w:spacing w:before="160" w:after="160" w:line="259" w:lineRule="auto"/>
              <w:contextualSpacing w:val="0"/>
              <w:jc w:val="both"/>
              <w:rPr>
                <w:rFonts w:cs="Times New Roman"/>
                <w:lang w:val="fr-FR"/>
              </w:rPr>
            </w:pPr>
            <w:r w:rsidRPr="00ED387C">
              <w:rPr>
                <w:rFonts w:cs="Times New Roman"/>
                <w:lang w:val="fr-FR"/>
              </w:rPr>
              <w:lastRenderedPageBreak/>
              <w:t>Le choix des zones d’intervention doit tenir compte de la faisabilité et de la conduite du Programme dans les zones concernées.</w:t>
            </w:r>
          </w:p>
          <w:p w14:paraId="57914EBE"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La formulation d’un plan d’actions permettant de lever rapidement certaines contraintes qui freinent l’absorption dans la perspective d’une réorganisation plus globale et compréhensive du Système de Gestion des Finances Publiques dans le cadre d’une Administration Publique plus performante ;</w:t>
            </w:r>
          </w:p>
          <w:p w14:paraId="7C86A26A"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A la formulation du programme structurant d’appui à la chaîne PPBSE dans la perspective de la mise en œuvre des PNSD et de la réalisation des ODD ;</w:t>
            </w:r>
          </w:p>
          <w:p w14:paraId="5411C314" w14:textId="77777777" w:rsidR="00ED387C" w:rsidRPr="00ED387C" w:rsidRDefault="00ED387C" w:rsidP="00625E6D">
            <w:pPr>
              <w:pStyle w:val="Paragraphedeliste"/>
              <w:numPr>
                <w:ilvl w:val="0"/>
                <w:numId w:val="10"/>
              </w:numPr>
              <w:spacing w:before="160" w:after="160" w:line="259" w:lineRule="auto"/>
              <w:ind w:left="765" w:hanging="357"/>
              <w:contextualSpacing w:val="0"/>
              <w:jc w:val="both"/>
              <w:rPr>
                <w:rFonts w:cs="Times New Roman"/>
                <w:lang w:val="fr-FR"/>
              </w:rPr>
            </w:pPr>
            <w:r w:rsidRPr="00ED387C">
              <w:rPr>
                <w:rFonts w:cs="Times New Roman"/>
                <w:lang w:val="fr-FR"/>
              </w:rPr>
              <w:t>La prise en compte dans la mise en œuvre de ce programme des questions liées au Genre ainsi qu’aux aspects relatifs aux changements climatiques et aux de droit de l’homme ;</w:t>
            </w:r>
          </w:p>
          <w:p w14:paraId="02325B8D" w14:textId="794F4114" w:rsidR="003F640F" w:rsidRPr="00551AE9" w:rsidRDefault="00ED387C" w:rsidP="00625E6D">
            <w:pPr>
              <w:pStyle w:val="Paragraphedeliste"/>
              <w:numPr>
                <w:ilvl w:val="0"/>
                <w:numId w:val="10"/>
              </w:numPr>
              <w:spacing w:before="160" w:after="120" w:line="259" w:lineRule="auto"/>
              <w:ind w:left="765" w:hanging="357"/>
              <w:contextualSpacing w:val="0"/>
              <w:jc w:val="both"/>
              <w:rPr>
                <w:rFonts w:cs="Times New Roman"/>
                <w:lang w:val="fr-FR"/>
              </w:rPr>
            </w:pPr>
            <w:r w:rsidRPr="00ED387C">
              <w:rPr>
                <w:rFonts w:cs="Times New Roman"/>
                <w:lang w:val="fr-FR"/>
              </w:rPr>
              <w:t>L’intégration des aspects relatifs à la coopération Sud-Sud et/ou Triangulaire afin de renforcer la mobilisation des ressources, le partenariat et la collaboration entre la partie nationale et les partenaires techniques et financiers lors de la mise en œuvre de ce programme.</w:t>
            </w:r>
            <w:r w:rsidR="00FE54A5" w:rsidRPr="00551AE9">
              <w:rPr>
                <w:rFonts w:eastAsia="Times New Roman" w:cstheme="minorHAnsi"/>
                <w:color w:val="000000" w:themeColor="text1"/>
                <w:lang w:val="fr-FR" w:eastAsia="fr-FR"/>
              </w:rPr>
              <w:t xml:space="preserve"> </w:t>
            </w:r>
          </w:p>
        </w:tc>
      </w:tr>
    </w:tbl>
    <w:p w14:paraId="51E9963D" w14:textId="77777777" w:rsidR="00E54A8B" w:rsidRPr="004F20E7" w:rsidRDefault="00E54A8B" w:rsidP="00BF6263">
      <w:pPr>
        <w:rPr>
          <w:rFonts w:cstheme="minorHAnsi"/>
          <w:b/>
          <w:color w:val="000000" w:themeColor="text1"/>
          <w:lang w:val="fr-FR"/>
        </w:rPr>
      </w:pPr>
    </w:p>
    <w:p w14:paraId="16360BC5" w14:textId="363378B8" w:rsidR="00BF6263" w:rsidRPr="004F20E7" w:rsidRDefault="00BF6263" w:rsidP="00BF6263">
      <w:pPr>
        <w:rPr>
          <w:rFonts w:cstheme="minorHAnsi"/>
          <w:b/>
          <w:color w:val="000000" w:themeColor="text1"/>
          <w:u w:val="single"/>
          <w:lang w:val="fr-FR"/>
        </w:rPr>
      </w:pPr>
      <w:r w:rsidRPr="004F20E7">
        <w:rPr>
          <w:rFonts w:cstheme="minorHAnsi"/>
          <w:b/>
          <w:color w:val="000000" w:themeColor="text1"/>
          <w:u w:val="single"/>
          <w:lang w:val="fr-FR"/>
        </w:rPr>
        <w:t xml:space="preserve">3. </w:t>
      </w:r>
      <w:r w:rsidR="008E10A2" w:rsidRPr="004F20E7">
        <w:rPr>
          <w:rFonts w:cstheme="minorHAnsi"/>
          <w:b/>
          <w:color w:val="000000" w:themeColor="text1"/>
          <w:u w:val="single"/>
          <w:lang w:val="fr-FR"/>
        </w:rPr>
        <w:t>R</w:t>
      </w:r>
      <w:r w:rsidR="00EC2E68" w:rsidRPr="004F20E7">
        <w:rPr>
          <w:rFonts w:cstheme="minorHAnsi"/>
          <w:b/>
          <w:color w:val="000000" w:themeColor="text1"/>
          <w:u w:val="single"/>
          <w:lang w:val="fr-FR"/>
        </w:rPr>
        <w:t>esponsabilités du consultant, r</w:t>
      </w:r>
      <w:r w:rsidR="008E10A2" w:rsidRPr="004F20E7">
        <w:rPr>
          <w:rFonts w:cstheme="minorHAnsi"/>
          <w:b/>
          <w:color w:val="000000" w:themeColor="text1"/>
          <w:u w:val="single"/>
          <w:lang w:val="fr-FR"/>
        </w:rPr>
        <w:t>ésultats</w:t>
      </w:r>
      <w:r w:rsidR="00875DF3" w:rsidRPr="004F20E7">
        <w:rPr>
          <w:rFonts w:cstheme="minorHAnsi"/>
          <w:b/>
          <w:color w:val="000000" w:themeColor="text1"/>
          <w:u w:val="single"/>
          <w:lang w:val="fr-FR"/>
        </w:rPr>
        <w:t xml:space="preserve"> attendus, </w:t>
      </w:r>
    </w:p>
    <w:tbl>
      <w:tblPr>
        <w:tblStyle w:val="Grilledutableau"/>
        <w:tblW w:w="9360" w:type="dxa"/>
        <w:tblInd w:w="-5" w:type="dxa"/>
        <w:tblLook w:val="04A0" w:firstRow="1" w:lastRow="0" w:firstColumn="1" w:lastColumn="0" w:noHBand="0" w:noVBand="1"/>
      </w:tblPr>
      <w:tblGrid>
        <w:gridCol w:w="9360"/>
      </w:tblGrid>
      <w:tr w:rsidR="004F20E7" w:rsidRPr="004A6EEF" w14:paraId="2553B827" w14:textId="77777777" w:rsidTr="007E3539">
        <w:tc>
          <w:tcPr>
            <w:tcW w:w="9360" w:type="dxa"/>
          </w:tcPr>
          <w:p w14:paraId="14A5873E" w14:textId="77777777" w:rsidR="005843FB" w:rsidRPr="005843FB" w:rsidRDefault="005843FB" w:rsidP="005843FB">
            <w:pPr>
              <w:spacing w:after="120"/>
              <w:jc w:val="both"/>
              <w:rPr>
                <w:rFonts w:cstheme="minorHAnsi"/>
                <w:lang w:val="fr-FR"/>
              </w:rPr>
            </w:pPr>
            <w:r w:rsidRPr="005843FB">
              <w:rPr>
                <w:rFonts w:cstheme="minorHAnsi"/>
                <w:lang w:val="fr-FR"/>
              </w:rPr>
              <w:t>Sous la supervision générale du Team Leader de l’Unité Croissance Inclusive (CIDD) en collaboration avec le Directeur de la Direction des Etudes Macro-Economiques (DEME) du ministère du Plan et l’assistance de l’Expert en charge de la Planification et la Coordination de l’aide en collaboration, le (la) consultant(e), chef d’équipe, est chargé(e) de :</w:t>
            </w:r>
          </w:p>
          <w:p w14:paraId="2D421CDB" w14:textId="77777777" w:rsidR="005843FB" w:rsidRPr="005843FB" w:rsidRDefault="005843FB" w:rsidP="005843FB">
            <w:pPr>
              <w:pStyle w:val="Paragraphedeliste"/>
              <w:numPr>
                <w:ilvl w:val="0"/>
                <w:numId w:val="12"/>
              </w:numPr>
              <w:spacing w:before="120" w:after="120" w:line="259" w:lineRule="auto"/>
              <w:contextualSpacing w:val="0"/>
              <w:jc w:val="both"/>
              <w:rPr>
                <w:rFonts w:cstheme="minorHAnsi"/>
                <w:lang w:val="fr-FR"/>
              </w:rPr>
            </w:pPr>
            <w:r w:rsidRPr="005843FB">
              <w:rPr>
                <w:rFonts w:cstheme="minorHAnsi"/>
                <w:lang w:val="fr-FR"/>
              </w:rPr>
              <w:t xml:space="preserve">Coordonner l’élaboration de la note méthodologique relative à la réalisation de la mission et la soumettre à la validation de toutes les parties prenantes (ministère du Plan, Budget, Finances, PNUD, BAD, Banque Mondiale, etc…) ; </w:t>
            </w:r>
          </w:p>
          <w:p w14:paraId="5C59D466" w14:textId="77777777" w:rsidR="005843FB" w:rsidRPr="005843FB" w:rsidRDefault="005843FB" w:rsidP="005843FB">
            <w:pPr>
              <w:pStyle w:val="Paragraphedeliste"/>
              <w:numPr>
                <w:ilvl w:val="0"/>
                <w:numId w:val="12"/>
              </w:numPr>
              <w:spacing w:before="120" w:after="120" w:line="259" w:lineRule="auto"/>
              <w:contextualSpacing w:val="0"/>
              <w:jc w:val="both"/>
              <w:rPr>
                <w:rFonts w:cstheme="minorHAnsi"/>
                <w:lang w:val="fr-FR"/>
              </w:rPr>
            </w:pPr>
            <w:r w:rsidRPr="005843FB">
              <w:rPr>
                <w:rFonts w:cstheme="minorHAnsi"/>
                <w:lang w:val="fr-FR"/>
              </w:rPr>
              <w:t>Coordonner l’ensemble du processus d’analyse de la chaîne PPBSE et de formulation du programme structurant y relatif ;</w:t>
            </w:r>
          </w:p>
          <w:p w14:paraId="7D363AE5" w14:textId="77777777" w:rsidR="005843FB" w:rsidRPr="005843FB" w:rsidRDefault="005843FB" w:rsidP="005843FB">
            <w:pPr>
              <w:pStyle w:val="Paragraphedeliste"/>
              <w:numPr>
                <w:ilvl w:val="0"/>
                <w:numId w:val="12"/>
              </w:numPr>
              <w:spacing w:before="120" w:after="120" w:line="259" w:lineRule="auto"/>
              <w:contextualSpacing w:val="0"/>
              <w:jc w:val="both"/>
              <w:rPr>
                <w:rFonts w:cstheme="minorHAnsi"/>
                <w:lang w:val="fr-FR"/>
              </w:rPr>
            </w:pPr>
            <w:r w:rsidRPr="005843FB">
              <w:rPr>
                <w:rFonts w:cstheme="minorHAnsi"/>
                <w:lang w:val="fr-FR"/>
              </w:rPr>
              <w:t>Préparer les rencontres, interviews, séances de travail avec les services administrations, structures nationales concernées directement par l’exercice</w:t>
            </w:r>
          </w:p>
          <w:p w14:paraId="247E6E56" w14:textId="77777777" w:rsidR="005843FB" w:rsidRPr="005843FB" w:rsidRDefault="005843FB" w:rsidP="005843FB">
            <w:pPr>
              <w:pStyle w:val="Paragraphedeliste"/>
              <w:numPr>
                <w:ilvl w:val="0"/>
                <w:numId w:val="12"/>
              </w:numPr>
              <w:spacing w:before="120" w:after="120" w:line="259" w:lineRule="auto"/>
              <w:contextualSpacing w:val="0"/>
              <w:jc w:val="both"/>
              <w:rPr>
                <w:rFonts w:cstheme="minorHAnsi"/>
                <w:lang w:val="fr-FR"/>
              </w:rPr>
            </w:pPr>
            <w:r w:rsidRPr="005843FB">
              <w:rPr>
                <w:rFonts w:cstheme="minorHAnsi"/>
                <w:lang w:val="fr-FR"/>
              </w:rPr>
              <w:t xml:space="preserve">Analyser </w:t>
            </w:r>
            <w:r w:rsidRPr="005843FB">
              <w:rPr>
                <w:rFonts w:eastAsia="MS Mincho" w:cstheme="minorHAnsi"/>
                <w:lang w:val="fr-FR" w:eastAsia="ja-JP"/>
              </w:rPr>
              <w:t>les capacités de maîtrise du cycle de projet et de mise en place des budget-programmes par les ministères sectoriels</w:t>
            </w:r>
          </w:p>
          <w:p w14:paraId="215B988F" w14:textId="77777777" w:rsidR="005843FB" w:rsidRPr="005843FB" w:rsidRDefault="005843FB" w:rsidP="005843FB">
            <w:pPr>
              <w:pStyle w:val="Paragraphedeliste"/>
              <w:widowControl w:val="0"/>
              <w:numPr>
                <w:ilvl w:val="0"/>
                <w:numId w:val="11"/>
              </w:numPr>
              <w:spacing w:before="120" w:after="120"/>
              <w:ind w:left="714" w:hanging="357"/>
              <w:contextualSpacing w:val="0"/>
              <w:jc w:val="both"/>
              <w:rPr>
                <w:rFonts w:eastAsia="MS Mincho" w:cstheme="minorHAnsi"/>
                <w:lang w:val="fr-FR" w:eastAsia="ja-JP"/>
              </w:rPr>
            </w:pPr>
            <w:r w:rsidRPr="005843FB">
              <w:rPr>
                <w:rFonts w:eastAsia="MS Mincho" w:cstheme="minorHAnsi"/>
                <w:lang w:val="fr-FR" w:eastAsia="ja-JP"/>
              </w:rPr>
              <w:t xml:space="preserve">Analyser les capacités des ministères centraux (Plan, Finances, Budget, etc.) à accompagner le processus de mise en place des budget-programmes dans le cadre de la mise en œuvre du PNSD ; </w:t>
            </w:r>
          </w:p>
          <w:p w14:paraId="51F86C15" w14:textId="77777777" w:rsidR="005843FB" w:rsidRPr="005843FB" w:rsidRDefault="005843FB" w:rsidP="005843FB">
            <w:pPr>
              <w:pStyle w:val="Paragraphedeliste"/>
              <w:widowControl w:val="0"/>
              <w:numPr>
                <w:ilvl w:val="0"/>
                <w:numId w:val="11"/>
              </w:numPr>
              <w:spacing w:before="120" w:after="120" w:line="276" w:lineRule="auto"/>
              <w:ind w:left="714" w:hanging="357"/>
              <w:contextualSpacing w:val="0"/>
              <w:jc w:val="both"/>
              <w:rPr>
                <w:rFonts w:cstheme="minorHAnsi"/>
                <w:lang w:val="fr-FR"/>
              </w:rPr>
            </w:pPr>
            <w:r w:rsidRPr="005843FB">
              <w:rPr>
                <w:rFonts w:eastAsia="MS Mincho" w:cstheme="minorHAnsi"/>
                <w:lang w:val="fr-FR" w:eastAsia="ja-JP"/>
              </w:rPr>
              <w:t>Identifier les contraintes et les obstacles empêchant qui entravent la mise en œuvre d’un programme de renforcement des capacités nationales en matière de PPBSE ;</w:t>
            </w:r>
          </w:p>
          <w:p w14:paraId="42573C11" w14:textId="77777777" w:rsidR="005843FB" w:rsidRPr="005843FB" w:rsidRDefault="005843FB" w:rsidP="005843FB">
            <w:pPr>
              <w:pStyle w:val="Paragraphedeliste"/>
              <w:widowControl w:val="0"/>
              <w:numPr>
                <w:ilvl w:val="0"/>
                <w:numId w:val="11"/>
              </w:numPr>
              <w:spacing w:before="120" w:after="120" w:line="276" w:lineRule="auto"/>
              <w:ind w:left="714" w:hanging="357"/>
              <w:contextualSpacing w:val="0"/>
              <w:jc w:val="both"/>
              <w:rPr>
                <w:rFonts w:cstheme="minorHAnsi"/>
                <w:lang w:val="fr-FR"/>
              </w:rPr>
            </w:pPr>
            <w:r w:rsidRPr="005843FB">
              <w:rPr>
                <w:rFonts w:eastAsia="MS Mincho" w:cstheme="minorHAnsi"/>
                <w:lang w:val="fr-FR" w:eastAsia="ja-JP"/>
              </w:rPr>
              <w:t xml:space="preserve">Sur base des informations, analyses et connaissance du contexte du (de la) consultant(e) </w:t>
            </w:r>
            <w:r w:rsidRPr="005843FB">
              <w:rPr>
                <w:rFonts w:eastAsia="MS Mincho" w:cstheme="minorHAnsi"/>
                <w:lang w:val="fr-FR" w:eastAsia="ja-JP"/>
              </w:rPr>
              <w:lastRenderedPageBreak/>
              <w:t xml:space="preserve">national(e) établir l’élaboration du diagnostic en matière de chaîne PPBSE en RDC ; </w:t>
            </w:r>
          </w:p>
          <w:p w14:paraId="27A83B3C" w14:textId="77777777" w:rsidR="005843FB" w:rsidRPr="005843FB" w:rsidRDefault="005843FB" w:rsidP="005843FB">
            <w:pPr>
              <w:pStyle w:val="Paragraphedeliste"/>
              <w:widowControl w:val="0"/>
              <w:numPr>
                <w:ilvl w:val="0"/>
                <w:numId w:val="11"/>
              </w:numPr>
              <w:spacing w:before="120" w:after="120" w:line="276" w:lineRule="auto"/>
              <w:ind w:left="714" w:hanging="357"/>
              <w:contextualSpacing w:val="0"/>
              <w:jc w:val="both"/>
              <w:rPr>
                <w:rFonts w:cstheme="minorHAnsi"/>
                <w:lang w:val="fr-FR"/>
              </w:rPr>
            </w:pPr>
            <w:r w:rsidRPr="005843FB">
              <w:rPr>
                <w:rFonts w:eastAsia="MS Mincho" w:cstheme="minorHAnsi"/>
                <w:lang w:val="fr-FR" w:eastAsia="ja-JP"/>
              </w:rPr>
              <w:t xml:space="preserve">Superviser les séances de validation techniques des différentes étapes clés du processus de formulation du programme structurant PPBSE avec les principaux ministères centraux (Plan, Finances, Budget, Décentralisation) ; </w:t>
            </w:r>
          </w:p>
          <w:p w14:paraId="7BF52537" w14:textId="77777777" w:rsidR="005843FB" w:rsidRPr="005843FB" w:rsidRDefault="005843FB" w:rsidP="005843FB">
            <w:pPr>
              <w:pStyle w:val="Paragraphedeliste"/>
              <w:widowControl w:val="0"/>
              <w:numPr>
                <w:ilvl w:val="0"/>
                <w:numId w:val="11"/>
              </w:numPr>
              <w:spacing w:before="120" w:after="120" w:line="276" w:lineRule="auto"/>
              <w:ind w:left="714" w:hanging="357"/>
              <w:contextualSpacing w:val="0"/>
              <w:jc w:val="both"/>
              <w:rPr>
                <w:rFonts w:cstheme="minorHAnsi"/>
                <w:lang w:val="fr-FR"/>
              </w:rPr>
            </w:pPr>
            <w:r w:rsidRPr="005843FB">
              <w:rPr>
                <w:rFonts w:cstheme="minorHAnsi"/>
                <w:lang w:val="fr-FR"/>
              </w:rPr>
              <w:t>Proposer et présenter à la validation de toutes les parties prenantes un programme structurant cohérent et inclusive d’appui au renforcement de la chaîne PPBSE (ressources humaines, processus, structures, équipements et logiciels) dans la perspective de faciliter mise en œuvre et le suivi du PNSD et la réalisation des ODD ;</w:t>
            </w:r>
          </w:p>
          <w:p w14:paraId="028AE3D9" w14:textId="4F380B1C" w:rsidR="00E55437" w:rsidRPr="005843FB" w:rsidRDefault="005843FB" w:rsidP="005843FB">
            <w:pPr>
              <w:pStyle w:val="Paragraphedeliste"/>
              <w:widowControl w:val="0"/>
              <w:numPr>
                <w:ilvl w:val="0"/>
                <w:numId w:val="11"/>
              </w:numPr>
              <w:spacing w:before="120" w:after="120" w:line="276" w:lineRule="auto"/>
              <w:ind w:left="714" w:hanging="357"/>
              <w:contextualSpacing w:val="0"/>
              <w:jc w:val="both"/>
              <w:rPr>
                <w:rFonts w:cstheme="minorHAnsi"/>
                <w:lang w:val="fr-FR"/>
              </w:rPr>
            </w:pPr>
            <w:r w:rsidRPr="005843FB">
              <w:rPr>
                <w:rFonts w:cstheme="minorHAnsi"/>
                <w:lang w:val="fr-FR"/>
              </w:rPr>
              <w:t>Transmettre au ministère du Plan et au PNUD, le rapport de la mission de consultation.</w:t>
            </w:r>
          </w:p>
        </w:tc>
      </w:tr>
    </w:tbl>
    <w:p w14:paraId="1FDBAB0D" w14:textId="493DD9E1" w:rsidR="008B2DF8" w:rsidRPr="004F20E7" w:rsidRDefault="008B2DF8" w:rsidP="00916940">
      <w:pPr>
        <w:jc w:val="both"/>
        <w:rPr>
          <w:rFonts w:cstheme="minorHAnsi"/>
          <w:b/>
          <w:color w:val="000000" w:themeColor="text1"/>
          <w:u w:val="single"/>
          <w:lang w:val="fr-FR"/>
        </w:rPr>
      </w:pPr>
    </w:p>
    <w:p w14:paraId="7141FA99" w14:textId="1A89B66D" w:rsidR="008B2DF8" w:rsidRDefault="008B2DF8" w:rsidP="008B2DF8">
      <w:pPr>
        <w:jc w:val="both"/>
        <w:rPr>
          <w:rFonts w:cstheme="minorHAnsi"/>
          <w:b/>
          <w:color w:val="000000" w:themeColor="text1"/>
          <w:u w:val="single"/>
          <w:lang w:val="fr-FR"/>
        </w:rPr>
      </w:pPr>
      <w:r w:rsidRPr="004F20E7">
        <w:rPr>
          <w:rFonts w:eastAsia="Calibri"/>
          <w:b/>
          <w:bCs/>
          <w:color w:val="000000" w:themeColor="text1"/>
          <w:lang w:val="fr-FR"/>
        </w:rPr>
        <w:t>4. L</w:t>
      </w:r>
      <w:r w:rsidR="00E55437" w:rsidRPr="004F20E7">
        <w:rPr>
          <w:rFonts w:cstheme="minorHAnsi"/>
          <w:b/>
          <w:color w:val="000000" w:themeColor="text1"/>
          <w:u w:val="single"/>
          <w:lang w:val="fr-FR"/>
        </w:rPr>
        <w:t>ivrables et tranches de paiement</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5040"/>
        <w:gridCol w:w="1350"/>
        <w:gridCol w:w="900"/>
      </w:tblGrid>
      <w:tr w:rsidR="004C66C5" w:rsidRPr="004B1588" w14:paraId="592505C9" w14:textId="77777777" w:rsidTr="00D62FC5">
        <w:trPr>
          <w:trHeight w:val="93"/>
        </w:trPr>
        <w:tc>
          <w:tcPr>
            <w:tcW w:w="630" w:type="dxa"/>
          </w:tcPr>
          <w:p w14:paraId="3AAF43DD" w14:textId="77777777" w:rsidR="004C66C5" w:rsidRPr="004B1588" w:rsidRDefault="004C66C5" w:rsidP="0043047E">
            <w:pPr>
              <w:autoSpaceDE w:val="0"/>
              <w:autoSpaceDN w:val="0"/>
              <w:adjustRightInd w:val="0"/>
              <w:spacing w:before="120" w:after="120" w:line="240" w:lineRule="auto"/>
              <w:jc w:val="center"/>
              <w:rPr>
                <w:rFonts w:eastAsia="Times New Roman" w:cstheme="minorHAnsi"/>
                <w:b/>
                <w:bCs/>
                <w:color w:val="000000"/>
                <w:lang w:eastAsia="fr-FR"/>
              </w:rPr>
            </w:pPr>
            <w:r w:rsidRPr="004B1588">
              <w:rPr>
                <w:rFonts w:eastAsia="Times New Roman" w:cstheme="minorHAnsi"/>
                <w:b/>
                <w:bCs/>
                <w:color w:val="000000"/>
                <w:lang w:eastAsia="fr-FR"/>
              </w:rPr>
              <w:t>N°</w:t>
            </w:r>
          </w:p>
        </w:tc>
        <w:tc>
          <w:tcPr>
            <w:tcW w:w="2430" w:type="dxa"/>
          </w:tcPr>
          <w:p w14:paraId="70CB5950" w14:textId="77777777" w:rsidR="004C66C5" w:rsidRPr="004B1588" w:rsidRDefault="004C66C5" w:rsidP="0043047E">
            <w:pPr>
              <w:autoSpaceDE w:val="0"/>
              <w:autoSpaceDN w:val="0"/>
              <w:adjustRightInd w:val="0"/>
              <w:spacing w:before="120" w:after="120" w:line="240" w:lineRule="auto"/>
              <w:jc w:val="center"/>
              <w:rPr>
                <w:rFonts w:eastAsia="Times New Roman" w:cstheme="minorHAnsi"/>
                <w:color w:val="000000"/>
                <w:lang w:eastAsia="fr-FR"/>
              </w:rPr>
            </w:pPr>
            <w:r w:rsidRPr="004B1588">
              <w:rPr>
                <w:rFonts w:eastAsia="Times New Roman" w:cstheme="minorHAnsi"/>
                <w:b/>
                <w:bCs/>
                <w:color w:val="000000"/>
                <w:lang w:eastAsia="fr-FR"/>
              </w:rPr>
              <w:t>Livrables</w:t>
            </w:r>
          </w:p>
        </w:tc>
        <w:tc>
          <w:tcPr>
            <w:tcW w:w="5040" w:type="dxa"/>
          </w:tcPr>
          <w:p w14:paraId="442E3EB5" w14:textId="77777777" w:rsidR="004C66C5" w:rsidRPr="004B1588" w:rsidRDefault="004C66C5" w:rsidP="0043047E">
            <w:pPr>
              <w:autoSpaceDE w:val="0"/>
              <w:autoSpaceDN w:val="0"/>
              <w:adjustRightInd w:val="0"/>
              <w:spacing w:before="120" w:after="120" w:line="240" w:lineRule="auto"/>
              <w:jc w:val="center"/>
              <w:rPr>
                <w:rFonts w:eastAsia="Times New Roman" w:cstheme="minorHAnsi"/>
                <w:color w:val="000000"/>
                <w:lang w:eastAsia="fr-FR"/>
              </w:rPr>
            </w:pPr>
            <w:r w:rsidRPr="004B1588">
              <w:rPr>
                <w:rFonts w:eastAsia="Times New Roman" w:cstheme="minorHAnsi"/>
                <w:b/>
                <w:bCs/>
                <w:color w:val="000000"/>
                <w:lang w:eastAsia="fr-FR"/>
              </w:rPr>
              <w:t xml:space="preserve">Description </w:t>
            </w:r>
          </w:p>
        </w:tc>
        <w:tc>
          <w:tcPr>
            <w:tcW w:w="1350" w:type="dxa"/>
          </w:tcPr>
          <w:p w14:paraId="3D288E48" w14:textId="77777777" w:rsidR="004C66C5" w:rsidRPr="004B1588" w:rsidRDefault="004C66C5" w:rsidP="0043047E">
            <w:pPr>
              <w:autoSpaceDE w:val="0"/>
              <w:autoSpaceDN w:val="0"/>
              <w:adjustRightInd w:val="0"/>
              <w:spacing w:before="120" w:after="120" w:line="240" w:lineRule="auto"/>
              <w:jc w:val="center"/>
              <w:rPr>
                <w:rFonts w:eastAsia="Times New Roman" w:cstheme="minorHAnsi"/>
                <w:color w:val="000000"/>
                <w:lang w:eastAsia="fr-FR"/>
              </w:rPr>
            </w:pPr>
            <w:r w:rsidRPr="004B1588">
              <w:rPr>
                <w:rFonts w:eastAsia="Times New Roman" w:cstheme="minorHAnsi"/>
                <w:b/>
                <w:bCs/>
                <w:color w:val="000000"/>
                <w:lang w:eastAsia="fr-FR"/>
              </w:rPr>
              <w:t>Echéance</w:t>
            </w:r>
          </w:p>
        </w:tc>
        <w:tc>
          <w:tcPr>
            <w:tcW w:w="900" w:type="dxa"/>
          </w:tcPr>
          <w:p w14:paraId="57E7228B" w14:textId="77777777" w:rsidR="004C66C5" w:rsidRPr="004B1588" w:rsidRDefault="004C66C5" w:rsidP="0043047E">
            <w:pPr>
              <w:autoSpaceDE w:val="0"/>
              <w:autoSpaceDN w:val="0"/>
              <w:adjustRightInd w:val="0"/>
              <w:spacing w:before="120" w:after="120" w:line="240" w:lineRule="auto"/>
              <w:jc w:val="center"/>
              <w:rPr>
                <w:rFonts w:eastAsia="Times New Roman" w:cstheme="minorHAnsi"/>
                <w:b/>
                <w:bCs/>
                <w:color w:val="000000"/>
                <w:lang w:eastAsia="fr-FR"/>
              </w:rPr>
            </w:pPr>
            <w:r w:rsidRPr="004B1588">
              <w:rPr>
                <w:rFonts w:eastAsia="Times New Roman" w:cstheme="minorHAnsi"/>
                <w:b/>
                <w:bCs/>
                <w:color w:val="000000"/>
                <w:lang w:eastAsia="fr-FR"/>
              </w:rPr>
              <w:t>%</w:t>
            </w:r>
          </w:p>
        </w:tc>
      </w:tr>
      <w:tr w:rsidR="004C66C5" w:rsidRPr="004B1588" w14:paraId="08AB008B" w14:textId="77777777" w:rsidTr="00D62FC5">
        <w:trPr>
          <w:trHeight w:val="769"/>
        </w:trPr>
        <w:tc>
          <w:tcPr>
            <w:tcW w:w="630" w:type="dxa"/>
          </w:tcPr>
          <w:p w14:paraId="7C5BE14F"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sidRPr="004B1588">
              <w:rPr>
                <w:rFonts w:eastAsia="Times New Roman" w:cstheme="minorHAnsi"/>
                <w:bCs/>
                <w:color w:val="000000"/>
                <w:lang w:eastAsia="fr-FR"/>
              </w:rPr>
              <w:t>1</w:t>
            </w:r>
          </w:p>
        </w:tc>
        <w:tc>
          <w:tcPr>
            <w:tcW w:w="2430" w:type="dxa"/>
          </w:tcPr>
          <w:p w14:paraId="6BDF861D" w14:textId="77777777" w:rsidR="004C66C5" w:rsidRPr="004C66C5" w:rsidRDefault="004C66C5" w:rsidP="00D62FC5">
            <w:pPr>
              <w:autoSpaceDE w:val="0"/>
              <w:autoSpaceDN w:val="0"/>
              <w:adjustRightInd w:val="0"/>
              <w:spacing w:before="120" w:after="120" w:line="240" w:lineRule="auto"/>
              <w:jc w:val="both"/>
              <w:rPr>
                <w:rFonts w:eastAsia="Times New Roman" w:cstheme="minorHAnsi"/>
                <w:bCs/>
                <w:color w:val="000000"/>
                <w:lang w:val="fr-FR" w:eastAsia="fr-FR"/>
              </w:rPr>
            </w:pPr>
            <w:r w:rsidRPr="004C66C5">
              <w:rPr>
                <w:rFonts w:cstheme="minorHAnsi"/>
                <w:lang w:val="fr-FR"/>
              </w:rPr>
              <w:t>Méthodologie harmonisée pour la formulation du programme structurant PPBSE</w:t>
            </w:r>
          </w:p>
        </w:tc>
        <w:tc>
          <w:tcPr>
            <w:tcW w:w="5040" w:type="dxa"/>
            <w:vAlign w:val="center"/>
          </w:tcPr>
          <w:p w14:paraId="7928EE75" w14:textId="77777777" w:rsidR="004C66C5" w:rsidRPr="004C66C5" w:rsidRDefault="004C66C5" w:rsidP="00D62FC5">
            <w:pPr>
              <w:autoSpaceDE w:val="0"/>
              <w:autoSpaceDN w:val="0"/>
              <w:adjustRightInd w:val="0"/>
              <w:spacing w:before="120" w:after="120" w:line="240" w:lineRule="auto"/>
              <w:ind w:left="19"/>
              <w:jc w:val="both"/>
              <w:rPr>
                <w:rFonts w:cstheme="minorHAnsi"/>
                <w:lang w:val="fr-FR"/>
              </w:rPr>
            </w:pPr>
            <w:r w:rsidRPr="004C66C5">
              <w:rPr>
                <w:rFonts w:cstheme="minorHAnsi"/>
                <w:lang w:val="fr-FR"/>
              </w:rPr>
              <w:t xml:space="preserve">Approche méthodologique qui reprend la note technique présentée par le consultant pour réaliser la mission ainsi que les orientations et enrichissement faits lors de la réunion de cadrage, avant le début de la mission.  </w:t>
            </w:r>
          </w:p>
          <w:p w14:paraId="3250FC4F" w14:textId="77777777"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cstheme="minorHAnsi"/>
                <w:lang w:val="fr-FR"/>
              </w:rPr>
              <w:t>Il s’agit d’une description technique de la compréhension de la mission et des livrables à produire ainsi que des différentes étapes à réaliser assorties d’un chronogramme cohérent et réaliste tenant compte de la durée de la mission.</w:t>
            </w:r>
          </w:p>
        </w:tc>
        <w:tc>
          <w:tcPr>
            <w:tcW w:w="1350" w:type="dxa"/>
          </w:tcPr>
          <w:p w14:paraId="67EC3BA3"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3</w:t>
            </w:r>
            <w:r w:rsidRPr="004B1588">
              <w:rPr>
                <w:rFonts w:eastAsia="Times New Roman" w:cstheme="minorHAnsi"/>
                <w:bCs/>
                <w:color w:val="000000"/>
                <w:vertAlign w:val="superscript"/>
                <w:lang w:eastAsia="fr-FR"/>
              </w:rPr>
              <w:t>è</w:t>
            </w:r>
            <w:r w:rsidRPr="004B1588">
              <w:rPr>
                <w:rFonts w:eastAsia="Times New Roman" w:cstheme="minorHAnsi"/>
                <w:bCs/>
                <w:color w:val="000000"/>
                <w:lang w:eastAsia="fr-FR"/>
              </w:rPr>
              <w:t xml:space="preserve"> jour </w:t>
            </w:r>
          </w:p>
        </w:tc>
        <w:tc>
          <w:tcPr>
            <w:tcW w:w="900" w:type="dxa"/>
          </w:tcPr>
          <w:p w14:paraId="6CB8CD5B"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25</w:t>
            </w:r>
            <w:r w:rsidRPr="004B1588">
              <w:rPr>
                <w:rFonts w:eastAsia="Times New Roman" w:cstheme="minorHAnsi"/>
                <w:bCs/>
                <w:color w:val="000000"/>
                <w:lang w:eastAsia="fr-FR"/>
              </w:rPr>
              <w:t xml:space="preserve"> %</w:t>
            </w:r>
          </w:p>
        </w:tc>
      </w:tr>
      <w:tr w:rsidR="004C66C5" w:rsidRPr="004B1588" w14:paraId="3BF10E74" w14:textId="77777777" w:rsidTr="00D62FC5">
        <w:trPr>
          <w:trHeight w:val="93"/>
        </w:trPr>
        <w:tc>
          <w:tcPr>
            <w:tcW w:w="630" w:type="dxa"/>
          </w:tcPr>
          <w:p w14:paraId="234077F0"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sidRPr="004B1588">
              <w:rPr>
                <w:rFonts w:eastAsia="Times New Roman" w:cstheme="minorHAnsi"/>
                <w:bCs/>
                <w:color w:val="000000"/>
                <w:lang w:eastAsia="fr-FR"/>
              </w:rPr>
              <w:t>2</w:t>
            </w:r>
          </w:p>
        </w:tc>
        <w:tc>
          <w:tcPr>
            <w:tcW w:w="2430" w:type="dxa"/>
          </w:tcPr>
          <w:p w14:paraId="7B4608CD" w14:textId="77777777" w:rsidR="004C66C5" w:rsidRPr="004C66C5" w:rsidRDefault="004C66C5" w:rsidP="00D62FC5">
            <w:pPr>
              <w:jc w:val="both"/>
              <w:rPr>
                <w:rFonts w:cstheme="minorHAnsi"/>
                <w:lang w:val="fr-FR"/>
              </w:rPr>
            </w:pPr>
            <w:r w:rsidRPr="004C66C5">
              <w:rPr>
                <w:rFonts w:eastAsia="Times New Roman" w:cstheme="minorHAnsi"/>
                <w:bCs/>
                <w:color w:val="000000"/>
                <w:lang w:val="fr-FR" w:eastAsia="fr-FR"/>
              </w:rPr>
              <w:t>Programme Structurant de renforcement des capacités nationales pour la chaîne PPBSE à soumettre à la validation technique de toutes les parties prenantes</w:t>
            </w:r>
          </w:p>
        </w:tc>
        <w:tc>
          <w:tcPr>
            <w:tcW w:w="5040" w:type="dxa"/>
          </w:tcPr>
          <w:p w14:paraId="48CC9FC7" w14:textId="77777777" w:rsidR="004C66C5" w:rsidRPr="004C66C5" w:rsidRDefault="004C66C5" w:rsidP="00D62FC5">
            <w:pPr>
              <w:jc w:val="both"/>
              <w:rPr>
                <w:rFonts w:eastAsia="Times New Roman" w:cstheme="minorHAnsi"/>
                <w:bCs/>
                <w:color w:val="000000"/>
                <w:lang w:val="fr-FR" w:eastAsia="fr-FR"/>
              </w:rPr>
            </w:pPr>
            <w:r w:rsidRPr="004C66C5">
              <w:rPr>
                <w:rFonts w:eastAsia="Times New Roman" w:cstheme="minorHAnsi"/>
                <w:bCs/>
                <w:color w:val="000000"/>
                <w:lang w:val="fr-FR" w:eastAsia="fr-FR"/>
              </w:rPr>
              <w:t>Première version du Document de Programme ou PRODOC consensuel et cohérent indiquant essentiellement :</w:t>
            </w:r>
          </w:p>
          <w:p w14:paraId="6D1A6025" w14:textId="08AFEB17" w:rsidR="004C66C5" w:rsidRPr="004C66C5" w:rsidRDefault="00D62FC5" w:rsidP="00D62FC5">
            <w:pPr>
              <w:jc w:val="both"/>
              <w:rPr>
                <w:rFonts w:eastAsia="Times New Roman" w:cstheme="minorHAnsi"/>
                <w:bCs/>
                <w:color w:val="000000"/>
                <w:lang w:val="fr-FR" w:eastAsia="fr-FR"/>
              </w:rPr>
            </w:pPr>
            <w:r w:rsidRPr="004C66C5">
              <w:rPr>
                <w:rFonts w:eastAsia="Times New Roman" w:cstheme="minorHAnsi"/>
                <w:bCs/>
                <w:color w:val="000000"/>
                <w:lang w:val="fr-FR" w:eastAsia="fr-FR"/>
              </w:rPr>
              <w:t>Le</w:t>
            </w:r>
            <w:r w:rsidR="004C66C5" w:rsidRPr="004C66C5">
              <w:rPr>
                <w:rFonts w:eastAsia="Times New Roman" w:cstheme="minorHAnsi"/>
                <w:bCs/>
                <w:color w:val="000000"/>
                <w:lang w:val="fr-FR" w:eastAsia="fr-FR"/>
              </w:rPr>
              <w:t xml:space="preserve"> contexte et la justification de la formulation du programme, l’état des lieux réalisés sur les intervenants, les structures et les processus de la chaîne PPBSE, le diagnostic réalisé, les axes d’intervention du programme, les partenariats à établir, les bénéficiaires, les risques identifiés et les mesures de mitigation </w:t>
            </w:r>
            <w:r w:rsidR="00521367" w:rsidRPr="004C66C5">
              <w:rPr>
                <w:rFonts w:eastAsia="Times New Roman" w:cstheme="minorHAnsi"/>
                <w:bCs/>
                <w:color w:val="000000"/>
                <w:lang w:val="fr-FR" w:eastAsia="fr-FR"/>
              </w:rPr>
              <w:t>proposées, etc</w:t>
            </w:r>
            <w:r w:rsidR="004C66C5" w:rsidRPr="004C66C5">
              <w:rPr>
                <w:rFonts w:eastAsia="Times New Roman" w:cstheme="minorHAnsi"/>
                <w:bCs/>
                <w:color w:val="000000"/>
                <w:lang w:val="fr-FR" w:eastAsia="fr-FR"/>
              </w:rPr>
              <w:t xml:space="preserve">…ainsi que le cadre des résultats, le mécanisme institutionnel de gestion et de suivi du programme. </w:t>
            </w:r>
          </w:p>
        </w:tc>
        <w:tc>
          <w:tcPr>
            <w:tcW w:w="1350" w:type="dxa"/>
          </w:tcPr>
          <w:p w14:paraId="27E756E4" w14:textId="77777777" w:rsidR="004C66C5" w:rsidRPr="004B1588" w:rsidRDefault="004C66C5" w:rsidP="0043047E">
            <w:pPr>
              <w:rPr>
                <w:rFonts w:cstheme="minorHAnsi"/>
              </w:rPr>
            </w:pPr>
            <w:r>
              <w:rPr>
                <w:rFonts w:cstheme="minorHAnsi"/>
              </w:rPr>
              <w:t>20</w:t>
            </w:r>
            <w:r w:rsidRPr="004B1588">
              <w:rPr>
                <w:rFonts w:cstheme="minorHAnsi"/>
                <w:vertAlign w:val="superscript"/>
              </w:rPr>
              <w:t>è</w:t>
            </w:r>
            <w:r w:rsidRPr="004B1588">
              <w:rPr>
                <w:rFonts w:cstheme="minorHAnsi"/>
              </w:rPr>
              <w:t xml:space="preserve"> jour  </w:t>
            </w:r>
          </w:p>
        </w:tc>
        <w:tc>
          <w:tcPr>
            <w:tcW w:w="900" w:type="dxa"/>
          </w:tcPr>
          <w:p w14:paraId="70FD2E95" w14:textId="77777777" w:rsidR="004C66C5" w:rsidRPr="004B1588" w:rsidRDefault="004C66C5" w:rsidP="0043047E">
            <w:pPr>
              <w:rPr>
                <w:rFonts w:cstheme="minorHAnsi"/>
              </w:rPr>
            </w:pPr>
            <w:r>
              <w:rPr>
                <w:rFonts w:cstheme="minorHAnsi"/>
              </w:rPr>
              <w:t>40</w:t>
            </w:r>
            <w:r w:rsidRPr="004B1588">
              <w:rPr>
                <w:rFonts w:cstheme="minorHAnsi"/>
              </w:rPr>
              <w:t xml:space="preserve"> %</w:t>
            </w:r>
          </w:p>
        </w:tc>
      </w:tr>
      <w:tr w:rsidR="004C66C5" w:rsidRPr="004B1588" w14:paraId="04F0C855" w14:textId="77777777" w:rsidTr="00D62FC5">
        <w:trPr>
          <w:trHeight w:val="93"/>
        </w:trPr>
        <w:tc>
          <w:tcPr>
            <w:tcW w:w="630" w:type="dxa"/>
          </w:tcPr>
          <w:p w14:paraId="29C44997"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sidRPr="004B1588">
              <w:rPr>
                <w:rFonts w:eastAsia="Times New Roman" w:cstheme="minorHAnsi"/>
                <w:bCs/>
                <w:color w:val="000000"/>
                <w:lang w:eastAsia="fr-FR"/>
              </w:rPr>
              <w:lastRenderedPageBreak/>
              <w:t>3</w:t>
            </w:r>
          </w:p>
        </w:tc>
        <w:tc>
          <w:tcPr>
            <w:tcW w:w="2430" w:type="dxa"/>
          </w:tcPr>
          <w:p w14:paraId="6A47EA56" w14:textId="77777777" w:rsidR="004C66C5" w:rsidRDefault="004C66C5" w:rsidP="00D62FC5">
            <w:pPr>
              <w:jc w:val="both"/>
              <w:rPr>
                <w:rFonts w:eastAsia="Times New Roman" w:cstheme="minorHAnsi"/>
                <w:bCs/>
                <w:color w:val="000000"/>
                <w:lang w:eastAsia="fr-FR"/>
              </w:rPr>
            </w:pPr>
            <w:r>
              <w:rPr>
                <w:rFonts w:eastAsia="Times New Roman" w:cstheme="minorHAnsi"/>
                <w:bCs/>
                <w:color w:val="000000"/>
                <w:lang w:eastAsia="fr-FR"/>
              </w:rPr>
              <w:t xml:space="preserve">Programme structurant validé techniquement  </w:t>
            </w:r>
          </w:p>
        </w:tc>
        <w:tc>
          <w:tcPr>
            <w:tcW w:w="5040" w:type="dxa"/>
          </w:tcPr>
          <w:p w14:paraId="63F5E631" w14:textId="77777777" w:rsidR="004C66C5" w:rsidRPr="004C66C5" w:rsidRDefault="004C66C5" w:rsidP="00D62FC5">
            <w:pPr>
              <w:jc w:val="both"/>
              <w:rPr>
                <w:rFonts w:eastAsia="Times New Roman" w:cstheme="minorHAnsi"/>
                <w:bCs/>
                <w:color w:val="000000"/>
                <w:lang w:val="fr-FR" w:eastAsia="fr-FR"/>
              </w:rPr>
            </w:pPr>
            <w:r w:rsidRPr="004C66C5">
              <w:rPr>
                <w:rFonts w:eastAsia="Times New Roman" w:cstheme="minorHAnsi"/>
                <w:bCs/>
                <w:color w:val="000000"/>
                <w:lang w:val="fr-FR" w:eastAsia="fr-FR"/>
              </w:rPr>
              <w:t xml:space="preserve">Il s’agit de soumettre à la validation technique de toutes les parties prenantes, aussi bien les ministères sectoriels et les structures nationales concernées que les experts techniques des partenaires techniques et financiers. </w:t>
            </w:r>
          </w:p>
          <w:p w14:paraId="6B8CD6CA" w14:textId="77777777" w:rsidR="004C66C5" w:rsidRPr="004C66C5" w:rsidRDefault="004C66C5" w:rsidP="00D62FC5">
            <w:pPr>
              <w:jc w:val="both"/>
              <w:rPr>
                <w:rFonts w:eastAsia="Times New Roman" w:cstheme="minorHAnsi"/>
                <w:bCs/>
                <w:color w:val="000000"/>
                <w:lang w:val="fr-FR" w:eastAsia="fr-FR"/>
              </w:rPr>
            </w:pPr>
            <w:r w:rsidRPr="004C66C5">
              <w:rPr>
                <w:rFonts w:eastAsia="Times New Roman" w:cstheme="minorHAnsi"/>
                <w:bCs/>
                <w:color w:val="000000"/>
                <w:lang w:val="fr-FR" w:eastAsia="fr-FR"/>
              </w:rPr>
              <w:t>Ce document constituera la deuxième version du Document de Programme proposé intégrant les orientations, avis et enrichissements recueillis auprès des partenaires techniques nationaux et des représentants techniques des bailleurs concernés/intervenant dans la chaîne PPBSE.</w:t>
            </w:r>
          </w:p>
        </w:tc>
        <w:tc>
          <w:tcPr>
            <w:tcW w:w="1350" w:type="dxa"/>
          </w:tcPr>
          <w:p w14:paraId="1519004B" w14:textId="77777777" w:rsidR="004C66C5" w:rsidRDefault="004C66C5" w:rsidP="0043047E">
            <w:pPr>
              <w:rPr>
                <w:rFonts w:cstheme="minorHAnsi"/>
              </w:rPr>
            </w:pPr>
            <w:r>
              <w:rPr>
                <w:rFonts w:cstheme="minorHAnsi"/>
              </w:rPr>
              <w:t>28</w:t>
            </w:r>
            <w:r w:rsidRPr="006A5F68">
              <w:rPr>
                <w:rFonts w:cstheme="minorHAnsi"/>
                <w:vertAlign w:val="superscript"/>
              </w:rPr>
              <w:t>è</w:t>
            </w:r>
            <w:r>
              <w:rPr>
                <w:rFonts w:cstheme="minorHAnsi"/>
              </w:rPr>
              <w:t xml:space="preserve"> jour</w:t>
            </w:r>
          </w:p>
        </w:tc>
        <w:tc>
          <w:tcPr>
            <w:tcW w:w="900" w:type="dxa"/>
          </w:tcPr>
          <w:p w14:paraId="7B2CE8ED" w14:textId="77777777" w:rsidR="004C66C5" w:rsidRDefault="004C66C5" w:rsidP="0043047E">
            <w:pPr>
              <w:rPr>
                <w:rFonts w:cstheme="minorHAnsi"/>
              </w:rPr>
            </w:pPr>
            <w:r>
              <w:rPr>
                <w:rFonts w:cstheme="minorHAnsi"/>
              </w:rPr>
              <w:t>10 %</w:t>
            </w:r>
          </w:p>
        </w:tc>
      </w:tr>
      <w:tr w:rsidR="004C66C5" w:rsidRPr="004B1588" w14:paraId="1A84FF6A" w14:textId="77777777" w:rsidTr="00D62FC5">
        <w:trPr>
          <w:trHeight w:val="93"/>
        </w:trPr>
        <w:tc>
          <w:tcPr>
            <w:tcW w:w="630" w:type="dxa"/>
          </w:tcPr>
          <w:p w14:paraId="24421EA7"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4</w:t>
            </w:r>
          </w:p>
        </w:tc>
        <w:tc>
          <w:tcPr>
            <w:tcW w:w="2430" w:type="dxa"/>
          </w:tcPr>
          <w:p w14:paraId="179EA1DF" w14:textId="77777777" w:rsidR="004C66C5" w:rsidRPr="004B1588" w:rsidRDefault="004C66C5" w:rsidP="00D62FC5">
            <w:pPr>
              <w:autoSpaceDE w:val="0"/>
              <w:autoSpaceDN w:val="0"/>
              <w:adjustRightInd w:val="0"/>
              <w:spacing w:before="120" w:after="120" w:line="240" w:lineRule="auto"/>
              <w:jc w:val="both"/>
              <w:rPr>
                <w:rFonts w:eastAsia="Times New Roman" w:cstheme="minorHAnsi"/>
                <w:bCs/>
                <w:color w:val="000000"/>
                <w:lang w:eastAsia="fr-FR"/>
              </w:rPr>
            </w:pPr>
            <w:r>
              <w:rPr>
                <w:rFonts w:eastAsia="Times New Roman" w:cstheme="minorHAnsi"/>
                <w:bCs/>
                <w:color w:val="000000"/>
                <w:lang w:eastAsia="fr-FR"/>
              </w:rPr>
              <w:t xml:space="preserve">Programme structurant validé politiquement  </w:t>
            </w:r>
          </w:p>
        </w:tc>
        <w:tc>
          <w:tcPr>
            <w:tcW w:w="5040" w:type="dxa"/>
          </w:tcPr>
          <w:p w14:paraId="3BB49A24" w14:textId="77777777"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eastAsia="Times New Roman" w:cstheme="minorHAnsi"/>
                <w:bCs/>
                <w:color w:val="000000"/>
                <w:lang w:val="fr-FR" w:eastAsia="fr-FR"/>
              </w:rPr>
              <w:t>C’est la deuxième version soumise à l’examen et la validation des responsables politiques des principaux ministères directement concernés par la question, sous la coordination du ministre ayant le Plan dans ses attributions. Il s’agit de la VPM, Ministre du Plan, du VPM, Ministre du Budget, du Ministre des Finances et du Ministre de la Coopération Régionale.</w:t>
            </w:r>
          </w:p>
          <w:p w14:paraId="1A8A1E6A" w14:textId="77777777"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eastAsia="Times New Roman" w:cstheme="minorHAnsi"/>
                <w:bCs/>
                <w:color w:val="000000"/>
                <w:lang w:val="fr-FR" w:eastAsia="fr-FR"/>
              </w:rPr>
              <w:t>Ce document qui constituera la 3</w:t>
            </w:r>
            <w:r w:rsidRPr="004C66C5">
              <w:rPr>
                <w:rFonts w:eastAsia="Times New Roman" w:cstheme="minorHAnsi"/>
                <w:bCs/>
                <w:color w:val="000000"/>
                <w:vertAlign w:val="superscript"/>
                <w:lang w:val="fr-FR" w:eastAsia="fr-FR"/>
              </w:rPr>
              <w:t>ème</w:t>
            </w:r>
            <w:r w:rsidRPr="004C66C5">
              <w:rPr>
                <w:rFonts w:eastAsia="Times New Roman" w:cstheme="minorHAnsi"/>
                <w:bCs/>
                <w:color w:val="000000"/>
                <w:lang w:val="fr-FR" w:eastAsia="fr-FR"/>
              </w:rPr>
              <w:t xml:space="preserve"> version Document de Programme validé par les techniciens va intégrer les orientations et avis des responsables politiques, mieux décrits ci-dessus.</w:t>
            </w:r>
          </w:p>
          <w:p w14:paraId="3FBD78FD" w14:textId="77777777"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eastAsia="Times New Roman" w:cstheme="minorHAnsi"/>
                <w:bCs/>
                <w:color w:val="000000"/>
                <w:lang w:val="fr-FR" w:eastAsia="fr-FR"/>
              </w:rPr>
              <w:t xml:space="preserve">Cette version finale sera donc l’endossement du Document de Programme au niveau politique par les principaux responsables des ministères directement concernés par la coordination, la gestion et le suivi de la mise en œuvre de la chaîne PPBSE.  </w:t>
            </w:r>
          </w:p>
        </w:tc>
        <w:tc>
          <w:tcPr>
            <w:tcW w:w="1350" w:type="dxa"/>
          </w:tcPr>
          <w:p w14:paraId="62D74964"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29</w:t>
            </w:r>
            <w:r w:rsidRPr="004B1588">
              <w:rPr>
                <w:rFonts w:eastAsia="Times New Roman" w:cstheme="minorHAnsi"/>
                <w:bCs/>
                <w:color w:val="000000"/>
                <w:vertAlign w:val="superscript"/>
                <w:lang w:eastAsia="fr-FR"/>
              </w:rPr>
              <w:t>è</w:t>
            </w:r>
            <w:r w:rsidRPr="004B1588">
              <w:rPr>
                <w:rFonts w:eastAsia="Times New Roman" w:cstheme="minorHAnsi"/>
                <w:bCs/>
                <w:color w:val="000000"/>
                <w:lang w:eastAsia="fr-FR"/>
              </w:rPr>
              <w:t xml:space="preserve"> jour                                                                                                                                                                                                                                                                                                                                                                                                                    </w:t>
            </w:r>
          </w:p>
        </w:tc>
        <w:tc>
          <w:tcPr>
            <w:tcW w:w="900" w:type="dxa"/>
          </w:tcPr>
          <w:p w14:paraId="7827661B"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sidRPr="004B1588">
              <w:rPr>
                <w:rFonts w:eastAsia="Times New Roman" w:cstheme="minorHAnsi"/>
                <w:bCs/>
                <w:color w:val="000000"/>
                <w:lang w:eastAsia="fr-FR"/>
              </w:rPr>
              <w:t>10 %</w:t>
            </w:r>
          </w:p>
        </w:tc>
      </w:tr>
      <w:tr w:rsidR="004C66C5" w:rsidRPr="004B1588" w14:paraId="10336FE5" w14:textId="77777777" w:rsidTr="00D62FC5">
        <w:trPr>
          <w:trHeight w:val="93"/>
        </w:trPr>
        <w:tc>
          <w:tcPr>
            <w:tcW w:w="630" w:type="dxa"/>
          </w:tcPr>
          <w:p w14:paraId="7B4744AB" w14:textId="77777777" w:rsidR="004C66C5"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5</w:t>
            </w:r>
          </w:p>
        </w:tc>
        <w:tc>
          <w:tcPr>
            <w:tcW w:w="2430" w:type="dxa"/>
          </w:tcPr>
          <w:p w14:paraId="7822590A" w14:textId="77777777" w:rsidR="004C66C5" w:rsidRPr="004C66C5" w:rsidRDefault="004C66C5" w:rsidP="00D62FC5">
            <w:pPr>
              <w:autoSpaceDE w:val="0"/>
              <w:autoSpaceDN w:val="0"/>
              <w:adjustRightInd w:val="0"/>
              <w:spacing w:before="120" w:after="120" w:line="240" w:lineRule="auto"/>
              <w:jc w:val="both"/>
              <w:rPr>
                <w:rFonts w:eastAsia="Times New Roman" w:cstheme="minorHAnsi"/>
                <w:bCs/>
                <w:color w:val="000000"/>
                <w:lang w:val="fr-FR" w:eastAsia="fr-FR"/>
              </w:rPr>
            </w:pPr>
            <w:r w:rsidRPr="004C66C5">
              <w:rPr>
                <w:rFonts w:eastAsia="Times New Roman" w:cstheme="minorHAnsi"/>
                <w:bCs/>
                <w:color w:val="000000"/>
                <w:lang w:val="fr-FR" w:eastAsia="fr-FR"/>
              </w:rPr>
              <w:t>Rapport final de la mission de consultation</w:t>
            </w:r>
          </w:p>
        </w:tc>
        <w:tc>
          <w:tcPr>
            <w:tcW w:w="5040" w:type="dxa"/>
          </w:tcPr>
          <w:p w14:paraId="58BEDDD3" w14:textId="77777777"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eastAsia="Times New Roman" w:cstheme="minorHAnsi"/>
                <w:bCs/>
                <w:color w:val="000000"/>
                <w:lang w:val="fr-FR" w:eastAsia="fr-FR"/>
              </w:rPr>
              <w:t>Rapport synthétique explicitant le déroulement de la mission, les constats faits, les contraintes et difficultés relevées ainsi que les principales recommandations faites aussi bien au commanditaire de la mission, qu’aux différentes parties prenantes directement concernées par la question.</w:t>
            </w:r>
          </w:p>
          <w:p w14:paraId="2D50D7F9" w14:textId="38444B3B" w:rsidR="004C66C5" w:rsidRPr="004C66C5" w:rsidRDefault="004C66C5" w:rsidP="00D62FC5">
            <w:pPr>
              <w:autoSpaceDE w:val="0"/>
              <w:autoSpaceDN w:val="0"/>
              <w:adjustRightInd w:val="0"/>
              <w:spacing w:before="120" w:after="120" w:line="240" w:lineRule="auto"/>
              <w:ind w:left="19"/>
              <w:jc w:val="both"/>
              <w:rPr>
                <w:rFonts w:eastAsia="Times New Roman" w:cstheme="minorHAnsi"/>
                <w:bCs/>
                <w:color w:val="000000"/>
                <w:lang w:val="fr-FR" w:eastAsia="fr-FR"/>
              </w:rPr>
            </w:pPr>
            <w:r w:rsidRPr="004C66C5">
              <w:rPr>
                <w:rFonts w:eastAsia="Times New Roman" w:cstheme="minorHAnsi"/>
                <w:bCs/>
                <w:color w:val="000000"/>
                <w:lang w:val="fr-FR" w:eastAsia="fr-FR"/>
              </w:rPr>
              <w:t xml:space="preserve">Ce rapport qui va sanctionner la fin de la mission devra également </w:t>
            </w:r>
            <w:r w:rsidR="00D62FC5" w:rsidRPr="004C66C5">
              <w:rPr>
                <w:rFonts w:eastAsia="Times New Roman" w:cstheme="minorHAnsi"/>
                <w:bCs/>
                <w:color w:val="000000"/>
                <w:lang w:val="fr-FR" w:eastAsia="fr-FR"/>
              </w:rPr>
              <w:t>intégrer</w:t>
            </w:r>
            <w:r w:rsidRPr="004C66C5">
              <w:rPr>
                <w:rFonts w:eastAsia="Times New Roman" w:cstheme="minorHAnsi"/>
                <w:bCs/>
                <w:color w:val="000000"/>
                <w:lang w:val="fr-FR" w:eastAsia="fr-FR"/>
              </w:rPr>
              <w:t xml:space="preserve"> les leçons apprises lors du déroulement de la mission afin d’éclairer aussi bien les commanditaires que les principaux ministères et structures bénéficiaires de la mission ou intervenant dans la mise en œuvre du programme.</w:t>
            </w:r>
          </w:p>
        </w:tc>
        <w:tc>
          <w:tcPr>
            <w:tcW w:w="1350" w:type="dxa"/>
          </w:tcPr>
          <w:p w14:paraId="117A29A7" w14:textId="77777777" w:rsidR="004C66C5" w:rsidRDefault="004C66C5" w:rsidP="0043047E">
            <w:pPr>
              <w:autoSpaceDE w:val="0"/>
              <w:autoSpaceDN w:val="0"/>
              <w:adjustRightInd w:val="0"/>
              <w:spacing w:before="120" w:after="120" w:line="240" w:lineRule="auto"/>
              <w:rPr>
                <w:rFonts w:eastAsia="Times New Roman" w:cstheme="minorHAnsi"/>
                <w:bCs/>
                <w:color w:val="000000"/>
                <w:lang w:eastAsia="fr-FR"/>
              </w:rPr>
            </w:pPr>
            <w:r w:rsidRPr="004D55AE">
              <w:rPr>
                <w:rFonts w:eastAsia="Times New Roman" w:cstheme="minorHAnsi"/>
                <w:bCs/>
                <w:color w:val="000000"/>
                <w:lang w:eastAsia="fr-FR"/>
              </w:rPr>
              <w:t>3</w:t>
            </w:r>
            <w:r>
              <w:rPr>
                <w:rFonts w:eastAsia="Times New Roman" w:cstheme="minorHAnsi"/>
                <w:bCs/>
                <w:color w:val="000000"/>
                <w:lang w:eastAsia="fr-FR"/>
              </w:rPr>
              <w:t>0</w:t>
            </w:r>
            <w:r w:rsidRPr="007254EC">
              <w:rPr>
                <w:rFonts w:eastAsia="Times New Roman" w:cstheme="minorHAnsi"/>
                <w:bCs/>
                <w:color w:val="000000"/>
                <w:vertAlign w:val="superscript"/>
                <w:lang w:eastAsia="fr-FR"/>
              </w:rPr>
              <w:t>è</w:t>
            </w:r>
            <w:r>
              <w:rPr>
                <w:rFonts w:eastAsia="Times New Roman" w:cstheme="minorHAnsi"/>
                <w:bCs/>
                <w:color w:val="000000"/>
                <w:lang w:eastAsia="fr-FR"/>
              </w:rPr>
              <w:t xml:space="preserve"> jour</w:t>
            </w:r>
          </w:p>
        </w:tc>
        <w:tc>
          <w:tcPr>
            <w:tcW w:w="900" w:type="dxa"/>
          </w:tcPr>
          <w:p w14:paraId="169C9601" w14:textId="77777777" w:rsidR="004C66C5" w:rsidRPr="004B1588" w:rsidRDefault="004C66C5" w:rsidP="0043047E">
            <w:pPr>
              <w:autoSpaceDE w:val="0"/>
              <w:autoSpaceDN w:val="0"/>
              <w:adjustRightInd w:val="0"/>
              <w:spacing w:before="120" w:after="120" w:line="240" w:lineRule="auto"/>
              <w:rPr>
                <w:rFonts w:eastAsia="Times New Roman" w:cstheme="minorHAnsi"/>
                <w:bCs/>
                <w:color w:val="000000"/>
                <w:lang w:eastAsia="fr-FR"/>
              </w:rPr>
            </w:pPr>
            <w:r>
              <w:rPr>
                <w:rFonts w:eastAsia="Times New Roman" w:cstheme="minorHAnsi"/>
                <w:bCs/>
                <w:color w:val="000000"/>
                <w:lang w:eastAsia="fr-FR"/>
              </w:rPr>
              <w:t>15 %</w:t>
            </w:r>
          </w:p>
        </w:tc>
      </w:tr>
    </w:tbl>
    <w:p w14:paraId="30282EDE" w14:textId="109AC821" w:rsidR="004C66C5" w:rsidRDefault="004C66C5" w:rsidP="008B2DF8">
      <w:pPr>
        <w:jc w:val="both"/>
        <w:rPr>
          <w:rFonts w:cstheme="minorHAnsi"/>
          <w:b/>
          <w:color w:val="000000" w:themeColor="text1"/>
          <w:u w:val="single"/>
          <w:lang w:val="fr-FR"/>
        </w:rPr>
      </w:pPr>
    </w:p>
    <w:p w14:paraId="1CFC466C" w14:textId="77777777" w:rsidR="004C66C5" w:rsidRPr="004F20E7" w:rsidRDefault="004C66C5" w:rsidP="008B2DF8">
      <w:pPr>
        <w:jc w:val="both"/>
        <w:rPr>
          <w:rFonts w:eastAsia="Calibri"/>
          <w:b/>
          <w:bCs/>
          <w:color w:val="000000" w:themeColor="text1"/>
          <w:lang w:val="fr-FR"/>
        </w:rPr>
      </w:pPr>
    </w:p>
    <w:p w14:paraId="64DC6381" w14:textId="77777777" w:rsidR="008B2DF8" w:rsidRPr="004F20E7" w:rsidRDefault="008B2DF8" w:rsidP="00916940">
      <w:pPr>
        <w:jc w:val="both"/>
        <w:rPr>
          <w:rFonts w:cstheme="minorHAnsi"/>
          <w:b/>
          <w:color w:val="000000" w:themeColor="text1"/>
          <w:u w:val="single"/>
          <w:lang w:val="fr-FR"/>
        </w:rPr>
      </w:pPr>
    </w:p>
    <w:p w14:paraId="185C6B01" w14:textId="1D20C66C" w:rsidR="00916940" w:rsidRPr="004F20E7" w:rsidRDefault="008B2DF8" w:rsidP="00916940">
      <w:pPr>
        <w:jc w:val="both"/>
        <w:rPr>
          <w:rFonts w:cstheme="minorHAnsi"/>
          <w:b/>
          <w:color w:val="000000" w:themeColor="text1"/>
          <w:u w:val="single"/>
          <w:lang w:val="fr-FR"/>
        </w:rPr>
      </w:pPr>
      <w:r w:rsidRPr="004F20E7">
        <w:rPr>
          <w:rFonts w:cstheme="minorHAnsi"/>
          <w:b/>
          <w:color w:val="000000" w:themeColor="text1"/>
          <w:u w:val="single"/>
          <w:lang w:val="fr-FR"/>
        </w:rPr>
        <w:t>5</w:t>
      </w:r>
      <w:r w:rsidR="00916940" w:rsidRPr="004F20E7">
        <w:rPr>
          <w:rFonts w:cstheme="minorHAnsi"/>
          <w:b/>
          <w:color w:val="000000" w:themeColor="text1"/>
          <w:u w:val="single"/>
          <w:lang w:val="fr-FR"/>
        </w:rPr>
        <w:t xml:space="preserve">. </w:t>
      </w:r>
      <w:r w:rsidR="004B15FA" w:rsidRPr="004F20E7">
        <w:rPr>
          <w:rFonts w:cstheme="minorHAnsi"/>
          <w:b/>
          <w:color w:val="000000" w:themeColor="text1"/>
          <w:u w:val="single"/>
          <w:lang w:val="fr-FR"/>
        </w:rPr>
        <w:t xml:space="preserve">Chronogramme </w:t>
      </w:r>
      <w:r w:rsidR="00916940" w:rsidRPr="004F20E7">
        <w:rPr>
          <w:rFonts w:cstheme="minorHAnsi"/>
          <w:b/>
          <w:color w:val="000000" w:themeColor="text1"/>
          <w:u w:val="single"/>
          <w:lang w:val="fr-FR"/>
        </w:rPr>
        <w:t>Durée de la mission </w:t>
      </w:r>
    </w:p>
    <w:tbl>
      <w:tblPr>
        <w:tblStyle w:val="Grilledutableau"/>
        <w:tblW w:w="9360" w:type="dxa"/>
        <w:tblLook w:val="04A0" w:firstRow="1" w:lastRow="0" w:firstColumn="1" w:lastColumn="0" w:noHBand="0" w:noVBand="1"/>
      </w:tblPr>
      <w:tblGrid>
        <w:gridCol w:w="9360"/>
      </w:tblGrid>
      <w:tr w:rsidR="004F20E7" w:rsidRPr="004A6EEF" w14:paraId="6AEC4A59" w14:textId="77777777" w:rsidTr="00BD6056">
        <w:tc>
          <w:tcPr>
            <w:tcW w:w="9360" w:type="dxa"/>
          </w:tcPr>
          <w:p w14:paraId="0B23792C" w14:textId="04E928BD" w:rsidR="00916940" w:rsidRPr="00B54C2B" w:rsidRDefault="00B54C2B" w:rsidP="00B54C2B">
            <w:pPr>
              <w:spacing w:after="120"/>
              <w:jc w:val="both"/>
              <w:rPr>
                <w:bCs/>
                <w:lang w:val="fr-FR"/>
              </w:rPr>
            </w:pPr>
            <w:r w:rsidRPr="00B54C2B">
              <w:rPr>
                <w:bCs/>
                <w:lang w:val="fr-FR"/>
              </w:rPr>
              <w:t xml:space="preserve">La consultation est prévue pour une durée </w:t>
            </w:r>
            <w:bookmarkStart w:id="13" w:name="_Hlk54087642"/>
            <w:r w:rsidRPr="00B54C2B">
              <w:rPr>
                <w:bCs/>
                <w:lang w:val="fr-FR"/>
              </w:rPr>
              <w:t xml:space="preserve">de </w:t>
            </w:r>
            <w:r w:rsidR="009B1CA0">
              <w:rPr>
                <w:bCs/>
                <w:lang w:val="fr-FR"/>
              </w:rPr>
              <w:t>30</w:t>
            </w:r>
            <w:r w:rsidRPr="00B54C2B">
              <w:rPr>
                <w:bCs/>
                <w:lang w:val="fr-FR"/>
              </w:rPr>
              <w:t>jours ouvrables étendus sur 1 mois et demi</w:t>
            </w:r>
            <w:bookmarkEnd w:id="13"/>
            <w:r w:rsidRPr="00B54C2B">
              <w:rPr>
                <w:bCs/>
                <w:lang w:val="fr-FR"/>
              </w:rPr>
              <w:t>.</w:t>
            </w:r>
          </w:p>
        </w:tc>
      </w:tr>
    </w:tbl>
    <w:p w14:paraId="7742E13D" w14:textId="77777777" w:rsidR="00550CF0" w:rsidRPr="004F20E7" w:rsidRDefault="00550CF0" w:rsidP="00A24134">
      <w:pPr>
        <w:rPr>
          <w:rFonts w:cstheme="minorHAnsi"/>
          <w:b/>
          <w:color w:val="000000" w:themeColor="text1"/>
          <w:lang w:val="fr-FR"/>
        </w:rPr>
      </w:pPr>
    </w:p>
    <w:p w14:paraId="5BC7C869" w14:textId="028B0280"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lang w:val="fr-FR"/>
        </w:rPr>
        <w:t>6</w:t>
      </w:r>
      <w:r w:rsidR="0008283A" w:rsidRPr="004F20E7">
        <w:rPr>
          <w:rFonts w:cstheme="minorHAnsi"/>
          <w:b/>
          <w:color w:val="000000" w:themeColor="text1"/>
          <w:u w:val="single"/>
          <w:lang w:val="fr-FR"/>
        </w:rPr>
        <w:t xml:space="preserve">. </w:t>
      </w:r>
      <w:r w:rsidR="00BF6263" w:rsidRPr="004F20E7">
        <w:rPr>
          <w:rFonts w:cstheme="minorHAnsi"/>
          <w:b/>
          <w:color w:val="000000" w:themeColor="text1"/>
          <w:u w:val="single"/>
          <w:lang w:val="fr-FR"/>
        </w:rPr>
        <w:t xml:space="preserve"> </w:t>
      </w:r>
      <w:r w:rsidR="00550CF0" w:rsidRPr="004F20E7">
        <w:rPr>
          <w:rFonts w:cstheme="minorHAnsi"/>
          <w:b/>
          <w:color w:val="000000" w:themeColor="text1"/>
          <w:u w:val="single"/>
          <w:lang w:val="fr-FR"/>
        </w:rPr>
        <w:t>Qualifications et Expérience requises</w:t>
      </w:r>
    </w:p>
    <w:tbl>
      <w:tblPr>
        <w:tblStyle w:val="Grilledutableau"/>
        <w:tblW w:w="9535" w:type="dxa"/>
        <w:tblLook w:val="04A0" w:firstRow="1" w:lastRow="0" w:firstColumn="1" w:lastColumn="0" w:noHBand="0" w:noVBand="1"/>
      </w:tblPr>
      <w:tblGrid>
        <w:gridCol w:w="9535"/>
      </w:tblGrid>
      <w:tr w:rsidR="004F20E7" w:rsidRPr="004A6EEF" w14:paraId="0C894F8F" w14:textId="77777777" w:rsidTr="00E54571">
        <w:tc>
          <w:tcPr>
            <w:tcW w:w="9535" w:type="dxa"/>
          </w:tcPr>
          <w:p w14:paraId="4D48D12E" w14:textId="77777777" w:rsidR="00EB6C4D" w:rsidRPr="004F20E7" w:rsidRDefault="00A04203" w:rsidP="00A04203">
            <w:pPr>
              <w:spacing w:before="120" w:after="120" w:line="288" w:lineRule="auto"/>
              <w:jc w:val="both"/>
              <w:rPr>
                <w:rFonts w:cstheme="minorHAnsi"/>
                <w:color w:val="000000" w:themeColor="text1"/>
                <w:lang w:val="fr-FR"/>
              </w:rPr>
            </w:pPr>
            <w:r w:rsidRPr="004F20E7">
              <w:rPr>
                <w:rFonts w:cstheme="minorHAnsi"/>
                <w:color w:val="000000" w:themeColor="text1"/>
                <w:u w:val="single"/>
                <w:lang w:val="fr-FR"/>
              </w:rPr>
              <w:t>I. Qualifications académiques :</w:t>
            </w:r>
            <w:r w:rsidR="00A30AAC" w:rsidRPr="004F20E7">
              <w:rPr>
                <w:rFonts w:cstheme="minorHAnsi"/>
                <w:color w:val="000000" w:themeColor="text1"/>
                <w:lang w:val="fr-FR"/>
              </w:rPr>
              <w:t xml:space="preserve"> </w:t>
            </w:r>
          </w:p>
          <w:p w14:paraId="217020A0" w14:textId="220D46B4" w:rsidR="00217109" w:rsidRPr="001F5EC0"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Être titulaire d’un diplôme de niveau Bac+5 en Economie de développement, en Sciences Economiques ou tout autre domaine similaire ;</w:t>
            </w:r>
          </w:p>
          <w:p w14:paraId="60A6391C" w14:textId="5C56C86F" w:rsidR="00A04203"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II. Expérience :</w:t>
            </w:r>
          </w:p>
          <w:p w14:paraId="07F54C35" w14:textId="77777777"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un minimum de </w:t>
            </w:r>
            <w:r>
              <w:rPr>
                <w:rFonts w:cstheme="minorHAnsi"/>
                <w:lang w:val="fr-CD"/>
              </w:rPr>
              <w:t>10</w:t>
            </w:r>
            <w:r w:rsidRPr="001F5EC0">
              <w:rPr>
                <w:rFonts w:cstheme="minorHAnsi"/>
                <w:lang w:val="fr-CD"/>
              </w:rPr>
              <w:t xml:space="preserve"> ans d’expérience</w:t>
            </w:r>
            <w:r>
              <w:rPr>
                <w:rFonts w:cstheme="minorHAnsi"/>
                <w:lang w:val="fr-CD"/>
              </w:rPr>
              <w:t xml:space="preserve">s (aux niveaux international &amp; national) </w:t>
            </w:r>
            <w:r w:rsidRPr="001F5EC0">
              <w:rPr>
                <w:rFonts w:cstheme="minorHAnsi"/>
                <w:lang w:val="fr-CD"/>
              </w:rPr>
              <w:t>dans le domaine de la planification</w:t>
            </w:r>
            <w:r>
              <w:rPr>
                <w:rFonts w:cstheme="minorHAnsi"/>
                <w:lang w:val="fr-CD"/>
              </w:rPr>
              <w:t xml:space="preserve"> stratégique</w:t>
            </w:r>
            <w:r w:rsidRPr="001F5EC0">
              <w:rPr>
                <w:rFonts w:cstheme="minorHAnsi"/>
                <w:lang w:val="fr-CD"/>
              </w:rPr>
              <w:t xml:space="preserve">, </w:t>
            </w:r>
            <w:r>
              <w:rPr>
                <w:rFonts w:cstheme="minorHAnsi"/>
                <w:lang w:val="fr-CD"/>
              </w:rPr>
              <w:t xml:space="preserve">de la </w:t>
            </w:r>
            <w:r w:rsidRPr="001F5EC0">
              <w:rPr>
                <w:rFonts w:cstheme="minorHAnsi"/>
                <w:lang w:val="fr-CD"/>
              </w:rPr>
              <w:t xml:space="preserve">formulation </w:t>
            </w:r>
            <w:r>
              <w:rPr>
                <w:rFonts w:cstheme="minorHAnsi"/>
                <w:lang w:val="fr-CD"/>
              </w:rPr>
              <w:t xml:space="preserve">des </w:t>
            </w:r>
            <w:r w:rsidRPr="001F5EC0">
              <w:rPr>
                <w:rFonts w:cstheme="minorHAnsi"/>
                <w:lang w:val="fr-CD"/>
              </w:rPr>
              <w:t xml:space="preserve">politiques </w:t>
            </w:r>
            <w:r>
              <w:rPr>
                <w:rFonts w:cstheme="minorHAnsi"/>
                <w:lang w:val="fr-CD"/>
              </w:rPr>
              <w:t xml:space="preserve">et programme de développement, de l’élaboration de budget-programme </w:t>
            </w:r>
            <w:r w:rsidRPr="001F5EC0">
              <w:rPr>
                <w:rFonts w:cstheme="minorHAnsi"/>
                <w:lang w:val="fr-CD"/>
              </w:rPr>
              <w:t xml:space="preserve">ainsi que le suivi-évaluation </w:t>
            </w:r>
            <w:r>
              <w:rPr>
                <w:rFonts w:cstheme="minorHAnsi"/>
                <w:lang w:val="fr-CD"/>
              </w:rPr>
              <w:t>des programmes</w:t>
            </w:r>
            <w:r w:rsidRPr="001F5EC0">
              <w:rPr>
                <w:rFonts w:cstheme="minorHAnsi"/>
                <w:lang w:val="fr-CD"/>
              </w:rPr>
              <w:t xml:space="preserve"> ;</w:t>
            </w:r>
          </w:p>
          <w:p w14:paraId="68794A05" w14:textId="77777777"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au moins </w:t>
            </w:r>
            <w:r>
              <w:rPr>
                <w:rFonts w:cstheme="minorHAnsi"/>
                <w:lang w:val="fr-CD"/>
              </w:rPr>
              <w:t>5</w:t>
            </w:r>
            <w:r w:rsidRPr="001F5EC0">
              <w:rPr>
                <w:rFonts w:cstheme="minorHAnsi"/>
                <w:lang w:val="fr-CD"/>
              </w:rPr>
              <w:t xml:space="preserve"> ans d’expérience dans la coordination d’un processus d’élaboration d’un p</w:t>
            </w:r>
            <w:r>
              <w:rPr>
                <w:rFonts w:cstheme="minorHAnsi"/>
                <w:lang w:val="fr-CD"/>
              </w:rPr>
              <w:t xml:space="preserve">rogramme </w:t>
            </w:r>
            <w:r w:rsidRPr="001F5EC0">
              <w:rPr>
                <w:rFonts w:cstheme="minorHAnsi"/>
                <w:lang w:val="fr-CD"/>
              </w:rPr>
              <w:t xml:space="preserve">de développement </w:t>
            </w:r>
            <w:r>
              <w:rPr>
                <w:rFonts w:cstheme="minorHAnsi"/>
                <w:lang w:val="fr-CD"/>
              </w:rPr>
              <w:t xml:space="preserve">ou de renforcement des capacités nationales </w:t>
            </w:r>
            <w:r w:rsidRPr="001F5EC0">
              <w:rPr>
                <w:rFonts w:cstheme="minorHAnsi"/>
                <w:lang w:val="fr-CD"/>
              </w:rPr>
              <w:t>;</w:t>
            </w:r>
          </w:p>
          <w:p w14:paraId="10198793" w14:textId="77777777"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Disposer d’une expérience éprouvée en matière de conduite d</w:t>
            </w:r>
            <w:r>
              <w:rPr>
                <w:rFonts w:cstheme="minorHAnsi"/>
                <w:lang w:val="fr-CD"/>
              </w:rPr>
              <w:t>e coordination, de supervision et de validation d</w:t>
            </w:r>
            <w:r w:rsidRPr="001F5EC0">
              <w:rPr>
                <w:rFonts w:cstheme="minorHAnsi"/>
                <w:lang w:val="fr-CD"/>
              </w:rPr>
              <w:t xml:space="preserve">u processus </w:t>
            </w:r>
            <w:r>
              <w:rPr>
                <w:rFonts w:cstheme="minorHAnsi"/>
                <w:lang w:val="fr-CD"/>
              </w:rPr>
              <w:t>de formulation d’un programme</w:t>
            </w:r>
            <w:r w:rsidRPr="001F5EC0">
              <w:rPr>
                <w:rFonts w:cstheme="minorHAnsi"/>
                <w:lang w:val="fr-CD"/>
              </w:rPr>
              <w:t xml:space="preserve"> ;</w:t>
            </w:r>
          </w:p>
          <w:p w14:paraId="2A40E83C" w14:textId="7CED3B6E" w:rsidR="00EB6C4D" w:rsidRPr="00217109"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Une expérience des missions similaires en RDC ou dans d’autres pays post conflit est un atout</w:t>
            </w:r>
          </w:p>
          <w:p w14:paraId="5CFA9ADF" w14:textId="3A27F724" w:rsidR="00A04203" w:rsidRPr="004F20E7" w:rsidRDefault="00503C1A" w:rsidP="00EB6C4D">
            <w:pPr>
              <w:jc w:val="both"/>
              <w:rPr>
                <w:rFonts w:cstheme="minorHAnsi"/>
                <w:color w:val="000000" w:themeColor="text1"/>
                <w:u w:val="single"/>
                <w:lang w:val="fr-FR"/>
              </w:rPr>
            </w:pPr>
            <w:r w:rsidRPr="004F20E7">
              <w:rPr>
                <w:rFonts w:cstheme="minorHAnsi"/>
                <w:color w:val="000000" w:themeColor="text1"/>
                <w:u w:val="single"/>
                <w:lang w:val="fr-FR"/>
              </w:rPr>
              <w:t xml:space="preserve"> </w:t>
            </w:r>
            <w:r w:rsidR="00A04203" w:rsidRPr="004F20E7">
              <w:rPr>
                <w:rFonts w:cstheme="minorHAnsi"/>
                <w:color w:val="000000" w:themeColor="text1"/>
                <w:u w:val="single"/>
                <w:lang w:val="fr-FR"/>
              </w:rPr>
              <w:t>III. : Langues</w:t>
            </w:r>
          </w:p>
          <w:p w14:paraId="3D2FDC8E" w14:textId="715A7ABE" w:rsidR="007E26CE" w:rsidRPr="00217109"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une bonne capacité de rédaction en français et </w:t>
            </w:r>
            <w:r>
              <w:rPr>
                <w:rFonts w:cstheme="minorHAnsi"/>
                <w:lang w:val="fr-CD"/>
              </w:rPr>
              <w:t xml:space="preserve">une bonne connaissance </w:t>
            </w:r>
            <w:r w:rsidRPr="001F5EC0">
              <w:rPr>
                <w:rFonts w:cstheme="minorHAnsi"/>
                <w:lang w:val="fr-CD"/>
              </w:rPr>
              <w:t>de l’anglais ;</w:t>
            </w:r>
            <w:r w:rsidR="00A30AAC" w:rsidRPr="00217109">
              <w:rPr>
                <w:rFonts w:eastAsia="Times New Roman" w:cstheme="minorHAnsi"/>
                <w:color w:val="000000" w:themeColor="text1"/>
                <w:lang w:val="fr-FR"/>
              </w:rPr>
              <w:t xml:space="preserve"> </w:t>
            </w:r>
            <w:r w:rsidR="00503C1A" w:rsidRPr="00217109">
              <w:rPr>
                <w:rFonts w:eastAsia="Times New Roman" w:cs="Times New Roman"/>
                <w:color w:val="000000" w:themeColor="text1"/>
                <w:lang w:val="fr-FR"/>
              </w:rPr>
              <w:t xml:space="preserve"> </w:t>
            </w:r>
          </w:p>
          <w:p w14:paraId="5E140ED7" w14:textId="48760191" w:rsidR="00A04203" w:rsidRPr="004F20E7" w:rsidRDefault="00A04203" w:rsidP="00A04203">
            <w:pPr>
              <w:spacing w:before="120" w:after="120" w:line="288" w:lineRule="auto"/>
              <w:jc w:val="both"/>
              <w:rPr>
                <w:rFonts w:cstheme="minorHAnsi"/>
                <w:color w:val="000000" w:themeColor="text1"/>
                <w:u w:val="single"/>
                <w:lang w:val="fr-FR"/>
              </w:rPr>
            </w:pPr>
            <w:r w:rsidRPr="004F20E7">
              <w:rPr>
                <w:rFonts w:cstheme="minorHAnsi"/>
                <w:color w:val="000000" w:themeColor="text1"/>
                <w:u w:val="single"/>
                <w:lang w:val="fr-FR"/>
              </w:rPr>
              <w:t>IV. Autres :</w:t>
            </w:r>
          </w:p>
          <w:p w14:paraId="59CA351C" w14:textId="53C7E43E" w:rsidR="004B0834" w:rsidRPr="00217109"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Maîtriser les logiciels Word, Power point et Excel ainsi que l’utilisation d’Internet </w:t>
            </w:r>
            <w:r>
              <w:rPr>
                <w:rFonts w:cstheme="minorHAnsi"/>
                <w:lang w:val="fr-CD"/>
              </w:rPr>
              <w:t xml:space="preserve">et de divers autres moyens de communication à distance </w:t>
            </w:r>
            <w:r w:rsidRPr="001F5EC0">
              <w:rPr>
                <w:rFonts w:cstheme="minorHAnsi"/>
                <w:lang w:val="fr-CD"/>
              </w:rPr>
              <w:t>;</w:t>
            </w:r>
          </w:p>
          <w:p w14:paraId="7226E91F" w14:textId="368C0819" w:rsidR="004B0834" w:rsidRDefault="004B0834" w:rsidP="00A04203">
            <w:pPr>
              <w:spacing w:before="120" w:after="120" w:line="288" w:lineRule="auto"/>
              <w:jc w:val="both"/>
              <w:rPr>
                <w:color w:val="000000" w:themeColor="text1"/>
                <w:u w:val="single"/>
                <w:lang w:val="fr-FR"/>
              </w:rPr>
            </w:pPr>
            <w:r w:rsidRPr="004F20E7">
              <w:rPr>
                <w:color w:val="000000" w:themeColor="text1"/>
                <w:u w:val="single"/>
                <w:lang w:val="fr-FR"/>
              </w:rPr>
              <w:t>V. Compétences :</w:t>
            </w:r>
          </w:p>
          <w:p w14:paraId="143D13F0" w14:textId="5B98291D" w:rsidR="00217109"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une bonne connaissance du fonctionnement des structures ou institutions étatiques au niveau </w:t>
            </w:r>
            <w:r>
              <w:rPr>
                <w:rFonts w:cstheme="minorHAnsi"/>
                <w:lang w:val="fr-CD"/>
              </w:rPr>
              <w:t xml:space="preserve">national </w:t>
            </w:r>
            <w:r w:rsidRPr="001F5EC0">
              <w:rPr>
                <w:rFonts w:cstheme="minorHAnsi"/>
                <w:lang w:val="fr-CD"/>
              </w:rPr>
              <w:t>et provincial ;</w:t>
            </w:r>
          </w:p>
          <w:p w14:paraId="1934756B" w14:textId="6C541542" w:rsidR="00550CF0" w:rsidRPr="00217109" w:rsidRDefault="00217109" w:rsidP="00625E6D">
            <w:pPr>
              <w:pStyle w:val="Paragraphedeliste"/>
              <w:numPr>
                <w:ilvl w:val="0"/>
                <w:numId w:val="13"/>
              </w:numPr>
              <w:spacing w:before="160" w:after="160" w:line="259" w:lineRule="auto"/>
              <w:ind w:left="714" w:hanging="357"/>
              <w:contextualSpacing w:val="0"/>
              <w:jc w:val="both"/>
              <w:rPr>
                <w:rFonts w:cstheme="minorHAnsi"/>
                <w:lang w:val="fr-CD"/>
              </w:rPr>
            </w:pPr>
            <w:r w:rsidRPr="00217109">
              <w:rPr>
                <w:rFonts w:cstheme="minorHAnsi"/>
                <w:lang w:val="fr-CD"/>
              </w:rPr>
              <w:lastRenderedPageBreak/>
              <w:t>Avoir une bonne connaissance de la problématique de la coordination des interventions des partenaires dans le domaine de la planification stratégique, des budget-programmes, du mécanisme de pilotage et de suivi-évaluation du PNSD</w:t>
            </w:r>
            <w:r w:rsidR="00EB6C4D" w:rsidRPr="00217109">
              <w:rPr>
                <w:rFonts w:cstheme="minorHAnsi"/>
                <w:color w:val="000000" w:themeColor="text1"/>
                <w:lang w:val="fr-FR"/>
              </w:rPr>
              <w:t xml:space="preserve"> </w:t>
            </w:r>
          </w:p>
        </w:tc>
      </w:tr>
    </w:tbl>
    <w:p w14:paraId="0E5AA207" w14:textId="77777777" w:rsidR="00916940" w:rsidRPr="004F20E7" w:rsidRDefault="00916940" w:rsidP="00A24134">
      <w:pPr>
        <w:rPr>
          <w:rFonts w:cstheme="minorHAnsi"/>
          <w:b/>
          <w:color w:val="000000" w:themeColor="text1"/>
          <w:lang w:val="fr-FR"/>
        </w:rPr>
      </w:pPr>
    </w:p>
    <w:p w14:paraId="46069EAA" w14:textId="4D7586E2" w:rsidR="002223E0" w:rsidRPr="004F20E7" w:rsidRDefault="008B2DF8" w:rsidP="00A24134">
      <w:pPr>
        <w:rPr>
          <w:rFonts w:cstheme="minorHAnsi"/>
          <w:b/>
          <w:color w:val="000000" w:themeColor="text1"/>
          <w:u w:val="single"/>
          <w:lang w:val="fr-FR"/>
        </w:rPr>
      </w:pPr>
      <w:r w:rsidRPr="004F20E7">
        <w:rPr>
          <w:rFonts w:cstheme="minorHAnsi"/>
          <w:b/>
          <w:color w:val="000000" w:themeColor="text1"/>
          <w:u w:val="single"/>
        </w:rPr>
        <w:t>7</w:t>
      </w:r>
      <w:r w:rsidR="00D20044" w:rsidRPr="004F20E7">
        <w:rPr>
          <w:rFonts w:cstheme="minorHAnsi"/>
          <w:b/>
          <w:color w:val="000000" w:themeColor="text1"/>
          <w:u w:val="single"/>
        </w:rPr>
        <w:t>.</w:t>
      </w:r>
      <w:r w:rsidR="006C491D" w:rsidRPr="004F20E7">
        <w:rPr>
          <w:rFonts w:cstheme="minorHAnsi"/>
          <w:b/>
          <w:color w:val="000000" w:themeColor="text1"/>
          <w:u w:val="single"/>
        </w:rPr>
        <w:t xml:space="preserve"> </w:t>
      </w:r>
      <w:r w:rsidR="000440EC" w:rsidRPr="004F20E7">
        <w:rPr>
          <w:rFonts w:eastAsia="Calibri" w:cstheme="minorHAnsi"/>
          <w:b/>
          <w:color w:val="000000" w:themeColor="text1"/>
          <w:u w:val="single"/>
          <w:lang w:val="fr-FR"/>
        </w:rPr>
        <w:t>Documents constitutifs de l’offre</w:t>
      </w:r>
      <w:r w:rsidR="000440EC" w:rsidRPr="004F20E7" w:rsidDel="000440EC">
        <w:rPr>
          <w:rFonts w:cstheme="minorHAnsi"/>
          <w:b/>
          <w:color w:val="000000" w:themeColor="text1"/>
          <w:u w:val="single"/>
          <w:lang w:val="fr-FR"/>
        </w:rPr>
        <w:t xml:space="preserve"> </w:t>
      </w:r>
    </w:p>
    <w:tbl>
      <w:tblPr>
        <w:tblStyle w:val="Grilledutableau"/>
        <w:tblW w:w="0" w:type="auto"/>
        <w:tblLook w:val="04A0" w:firstRow="1" w:lastRow="0" w:firstColumn="1" w:lastColumn="0" w:noHBand="0" w:noVBand="1"/>
      </w:tblPr>
      <w:tblGrid>
        <w:gridCol w:w="9350"/>
      </w:tblGrid>
      <w:tr w:rsidR="004F20E7" w:rsidRPr="004A6EEF" w14:paraId="601EE1B1" w14:textId="77777777" w:rsidTr="007E3539">
        <w:trPr>
          <w:trHeight w:val="755"/>
        </w:trPr>
        <w:tc>
          <w:tcPr>
            <w:tcW w:w="9576" w:type="dxa"/>
          </w:tcPr>
          <w:p w14:paraId="0701BB79" w14:textId="77777777" w:rsidR="00DB13D3" w:rsidRPr="004F20E7" w:rsidRDefault="00845D5B" w:rsidP="0065710B">
            <w:pPr>
              <w:rPr>
                <w:rFonts w:cstheme="minorHAnsi"/>
                <w:color w:val="000000" w:themeColor="text1"/>
                <w:lang w:val="fr-FR"/>
              </w:rPr>
            </w:pPr>
            <w:r w:rsidRPr="004F20E7">
              <w:rPr>
                <w:rFonts w:cstheme="minorHAnsi"/>
                <w:color w:val="000000" w:themeColor="text1"/>
                <w:lang w:val="fr-FR"/>
              </w:rPr>
              <w:t>Les consultants intéressés doivent inclure dans leurs offres les documents/informations ci-dessous :</w:t>
            </w:r>
          </w:p>
          <w:p w14:paraId="6881D105" w14:textId="77777777" w:rsidR="00845D5B" w:rsidRPr="004F20E7" w:rsidRDefault="00845D5B" w:rsidP="0065710B">
            <w:pPr>
              <w:rPr>
                <w:rFonts w:cstheme="minorHAnsi"/>
                <w:color w:val="000000" w:themeColor="text1"/>
                <w:lang w:val="fr-FR"/>
              </w:rPr>
            </w:pPr>
            <w:r w:rsidRPr="004F20E7">
              <w:rPr>
                <w:rFonts w:cstheme="minorHAnsi"/>
                <w:color w:val="000000" w:themeColor="text1"/>
                <w:lang w:val="fr-FR"/>
              </w:rPr>
              <w:t xml:space="preserve"> </w:t>
            </w:r>
          </w:p>
          <w:p w14:paraId="573C9245" w14:textId="77777777" w:rsidR="0065710B" w:rsidRPr="004F20E7" w:rsidRDefault="000B254C" w:rsidP="0065710B">
            <w:pPr>
              <w:rPr>
                <w:rFonts w:cstheme="minorHAnsi"/>
                <w:b/>
                <w:color w:val="000000" w:themeColor="text1"/>
                <w:lang w:val="fr-FR"/>
              </w:rPr>
            </w:pPr>
            <w:r w:rsidRPr="004F20E7">
              <w:rPr>
                <w:rFonts w:cstheme="minorHAnsi"/>
                <w:b/>
                <w:color w:val="000000" w:themeColor="text1"/>
                <w:lang w:val="fr-FR"/>
              </w:rPr>
              <w:t xml:space="preserve">1. Proposition </w:t>
            </w:r>
            <w:r w:rsidR="00845D5B" w:rsidRPr="004F20E7">
              <w:rPr>
                <w:rFonts w:cstheme="minorHAnsi"/>
                <w:b/>
                <w:color w:val="000000" w:themeColor="text1"/>
                <w:lang w:val="fr-FR"/>
              </w:rPr>
              <w:t>technique :</w:t>
            </w:r>
          </w:p>
          <w:p w14:paraId="49C438A8" w14:textId="77777777" w:rsidR="00200AA0" w:rsidRPr="004F20E7" w:rsidRDefault="00200AA0" w:rsidP="0065710B">
            <w:pPr>
              <w:rPr>
                <w:rFonts w:cstheme="minorHAnsi"/>
                <w:color w:val="000000" w:themeColor="text1"/>
                <w:lang w:val="fr-FR"/>
              </w:rPr>
            </w:pPr>
          </w:p>
          <w:p w14:paraId="07BE6BD6" w14:textId="77777777" w:rsidR="00550CF0" w:rsidRPr="004F20E7" w:rsidRDefault="00550CF0" w:rsidP="00625E6D">
            <w:pPr>
              <w:pStyle w:val="Paragraphedeliste"/>
              <w:numPr>
                <w:ilvl w:val="0"/>
                <w:numId w:val="2"/>
              </w:numPr>
              <w:rPr>
                <w:rFonts w:cstheme="minorHAnsi"/>
                <w:color w:val="000000" w:themeColor="text1"/>
                <w:lang w:val="fr-FR"/>
              </w:rPr>
            </w:pPr>
            <w:r w:rsidRPr="004F20E7">
              <w:rPr>
                <w:rFonts w:cstheme="minorHAnsi"/>
                <w:color w:val="000000" w:themeColor="text1"/>
                <w:lang w:val="fr-FR"/>
              </w:rPr>
              <w:t>Une note explicative sur la compréhension des termes de référence et les raisons de la candidature ;</w:t>
            </w:r>
          </w:p>
          <w:p w14:paraId="2F3BAC50" w14:textId="77777777" w:rsidR="00550CF0" w:rsidRPr="004F20E7" w:rsidRDefault="00550CF0" w:rsidP="00625E6D">
            <w:pPr>
              <w:pStyle w:val="Paragraphedeliste"/>
              <w:numPr>
                <w:ilvl w:val="0"/>
                <w:numId w:val="2"/>
              </w:numPr>
              <w:rPr>
                <w:rFonts w:cstheme="minorHAnsi"/>
                <w:color w:val="000000" w:themeColor="text1"/>
                <w:lang w:val="fr-FR"/>
              </w:rPr>
            </w:pPr>
            <w:r w:rsidRPr="004F20E7">
              <w:rPr>
                <w:rFonts w:cstheme="minorHAnsi"/>
                <w:color w:val="000000" w:themeColor="text1"/>
                <w:lang w:val="fr-FR"/>
              </w:rPr>
              <w:t>Une brève présentation de l’approche méthodologique et de l’organisation envisagée de la mission</w:t>
            </w:r>
            <w:r w:rsidR="000247EB" w:rsidRPr="004F20E7">
              <w:rPr>
                <w:rFonts w:cstheme="minorHAnsi"/>
                <w:color w:val="000000" w:themeColor="text1"/>
                <w:lang w:val="fr-FR"/>
              </w:rPr>
              <w:t xml:space="preserve"> (chronogramme et plan de travail)</w:t>
            </w:r>
            <w:r w:rsidRPr="004F20E7">
              <w:rPr>
                <w:rFonts w:cstheme="minorHAnsi"/>
                <w:color w:val="000000" w:themeColor="text1"/>
                <w:lang w:val="fr-FR"/>
              </w:rPr>
              <w:t xml:space="preserve"> ; </w:t>
            </w:r>
          </w:p>
          <w:p w14:paraId="1F4E3C0D" w14:textId="1E04874F" w:rsidR="00FC096F" w:rsidRPr="004F20E7" w:rsidRDefault="00550CF0" w:rsidP="00625E6D">
            <w:pPr>
              <w:pStyle w:val="Paragraphedeliste"/>
              <w:numPr>
                <w:ilvl w:val="0"/>
                <w:numId w:val="2"/>
              </w:numPr>
              <w:rPr>
                <w:rFonts w:cstheme="minorHAnsi"/>
                <w:color w:val="000000" w:themeColor="text1"/>
                <w:lang w:val="fr-FR"/>
              </w:rPr>
            </w:pPr>
            <w:r w:rsidRPr="004F20E7">
              <w:rPr>
                <w:rFonts w:cstheme="minorHAnsi"/>
                <w:color w:val="000000" w:themeColor="text1"/>
                <w:lang w:val="fr-FR"/>
              </w:rPr>
              <w:t>CV</w:t>
            </w:r>
            <w:r w:rsidR="009D4722" w:rsidRPr="004F20E7">
              <w:rPr>
                <w:rFonts w:cstheme="minorHAnsi"/>
                <w:color w:val="000000" w:themeColor="text1"/>
                <w:lang w:val="fr-FR"/>
              </w:rPr>
              <w:t xml:space="preserve"> détaillé</w:t>
            </w:r>
            <w:r w:rsidRPr="004F20E7">
              <w:rPr>
                <w:rFonts w:cstheme="minorHAnsi"/>
                <w:color w:val="000000" w:themeColor="text1"/>
                <w:lang w:val="fr-FR"/>
              </w:rPr>
              <w:t xml:space="preserve"> incluant notamment les expériences acquises dans les projets, domaines similaires ou connexes et 3 références. </w:t>
            </w:r>
          </w:p>
          <w:p w14:paraId="17628109" w14:textId="77777777" w:rsidR="00550CF0" w:rsidRPr="004F20E7" w:rsidRDefault="00550CF0" w:rsidP="00550CF0">
            <w:pPr>
              <w:pStyle w:val="Paragraphedeliste"/>
              <w:rPr>
                <w:rFonts w:cstheme="minorHAnsi"/>
                <w:color w:val="000000" w:themeColor="text1"/>
                <w:lang w:val="fr-FR"/>
              </w:rPr>
            </w:pPr>
          </w:p>
          <w:p w14:paraId="4CE5E16C" w14:textId="77777777" w:rsidR="003A7D2F" w:rsidRPr="004F20E7" w:rsidRDefault="003A7D2F" w:rsidP="003A7D2F">
            <w:pPr>
              <w:rPr>
                <w:rFonts w:cstheme="minorHAnsi"/>
                <w:b/>
                <w:color w:val="000000" w:themeColor="text1"/>
                <w:lang w:val="fr-FR"/>
              </w:rPr>
            </w:pPr>
            <w:r w:rsidRPr="004F20E7">
              <w:rPr>
                <w:rFonts w:cstheme="minorHAnsi"/>
                <w:b/>
                <w:color w:val="000000" w:themeColor="text1"/>
                <w:lang w:val="fr-FR"/>
              </w:rPr>
              <w:t xml:space="preserve">2. Lettre d´offre avec une proposition financière – </w:t>
            </w:r>
            <w:r w:rsidRPr="004F20E7">
              <w:rPr>
                <w:rFonts w:cstheme="minorHAnsi"/>
                <w:b/>
                <w:i/>
                <w:color w:val="000000" w:themeColor="text1"/>
                <w:lang w:val="fr-FR"/>
              </w:rPr>
              <w:t>Lettre de soumission au PNUD confirmant l´intérêt et la disponibilité du prestataire individuel (IC) pour la mission</w:t>
            </w:r>
            <w:r w:rsidRPr="004F20E7">
              <w:rPr>
                <w:rFonts w:cstheme="minorHAnsi"/>
                <w:b/>
                <w:color w:val="000000" w:themeColor="text1"/>
                <w:lang w:val="fr-FR"/>
              </w:rPr>
              <w:t xml:space="preserve"> – Annexe 2</w:t>
            </w:r>
          </w:p>
          <w:p w14:paraId="2A05CDA5" w14:textId="77777777" w:rsidR="003A7D2F" w:rsidRPr="004F20E7" w:rsidRDefault="003A7D2F" w:rsidP="003A7D2F">
            <w:pPr>
              <w:rPr>
                <w:rFonts w:cstheme="minorHAnsi"/>
                <w:color w:val="000000" w:themeColor="text1"/>
                <w:lang w:val="fr-FR"/>
              </w:rPr>
            </w:pPr>
          </w:p>
          <w:p w14:paraId="3BAEEB83" w14:textId="77777777" w:rsidR="003A7D2F" w:rsidRPr="004F20E7" w:rsidRDefault="003A7D2F" w:rsidP="00625E6D">
            <w:pPr>
              <w:pStyle w:val="Paragraphedeliste"/>
              <w:numPr>
                <w:ilvl w:val="0"/>
                <w:numId w:val="3"/>
              </w:numPr>
              <w:rPr>
                <w:rFonts w:cstheme="minorHAnsi"/>
                <w:color w:val="000000" w:themeColor="text1"/>
                <w:lang w:val="fr-FR"/>
              </w:rPr>
            </w:pPr>
            <w:r w:rsidRPr="004F20E7">
              <w:rPr>
                <w:rFonts w:cstheme="minorHAnsi"/>
                <w:color w:val="000000" w:themeColor="text1"/>
                <w:lang w:val="fr-FR"/>
              </w:rPr>
              <w:t>Le/la Consultant(e) doit</w:t>
            </w:r>
            <w:r w:rsidRPr="004F20E7">
              <w:rPr>
                <w:color w:val="000000" w:themeColor="text1"/>
                <w:lang w:val="fr-FR"/>
              </w:rPr>
              <w:t xml:space="preserve"> remplir et signer la </w:t>
            </w:r>
            <w:r w:rsidRPr="004F20E7">
              <w:rPr>
                <w:rFonts w:cstheme="minorHAnsi"/>
                <w:i/>
                <w:color w:val="000000" w:themeColor="text1"/>
                <w:lang w:val="fr-FR"/>
              </w:rPr>
              <w:t xml:space="preserve">Lettre de soumission au PNUD confirmant l´intérêt et la disponibilité du prestataire individuel (IC) pour la mission </w:t>
            </w:r>
            <w:r w:rsidRPr="004F20E7">
              <w:rPr>
                <w:rFonts w:cstheme="minorHAnsi"/>
                <w:color w:val="000000" w:themeColor="text1"/>
                <w:lang w:val="fr-FR"/>
              </w:rPr>
              <w:t>– Annexe 2.</w:t>
            </w:r>
          </w:p>
          <w:p w14:paraId="408DDFC0" w14:textId="77777777" w:rsidR="003A7D2F" w:rsidRPr="004F20E7" w:rsidRDefault="003A7D2F" w:rsidP="00625E6D">
            <w:pPr>
              <w:pStyle w:val="Paragraphedeliste"/>
              <w:numPr>
                <w:ilvl w:val="0"/>
                <w:numId w:val="3"/>
              </w:numPr>
              <w:rPr>
                <w:rFonts w:cstheme="minorHAnsi"/>
                <w:color w:val="000000" w:themeColor="text1"/>
                <w:lang w:val="fr-FR"/>
              </w:rPr>
            </w:pPr>
            <w:r w:rsidRPr="004F20E7">
              <w:rPr>
                <w:rFonts w:cstheme="minorHAnsi"/>
                <w:color w:val="000000" w:themeColor="text1"/>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4F20E7" w:rsidRDefault="00200AA0" w:rsidP="00A24134">
            <w:pPr>
              <w:rPr>
                <w:rFonts w:cstheme="minorHAnsi"/>
                <w:color w:val="000000" w:themeColor="text1"/>
                <w:lang w:val="fr-FR"/>
              </w:rPr>
            </w:pPr>
          </w:p>
        </w:tc>
      </w:tr>
    </w:tbl>
    <w:p w14:paraId="1BC53DD0" w14:textId="77777777" w:rsidR="004F4F1B" w:rsidRPr="004F20E7" w:rsidRDefault="004F4F1B" w:rsidP="00A24134">
      <w:pPr>
        <w:rPr>
          <w:rFonts w:cstheme="minorHAnsi"/>
          <w:b/>
          <w:color w:val="000000" w:themeColor="text1"/>
          <w:lang w:val="fr-FR"/>
        </w:rPr>
      </w:pPr>
    </w:p>
    <w:p w14:paraId="78E1075C" w14:textId="3F30D6A3" w:rsidR="00E94857" w:rsidRPr="004F20E7" w:rsidRDefault="00D52632" w:rsidP="00A24134">
      <w:pPr>
        <w:rPr>
          <w:rFonts w:cstheme="minorHAnsi"/>
          <w:b/>
          <w:color w:val="000000" w:themeColor="text1"/>
          <w:lang w:val="fr-FR"/>
        </w:rPr>
      </w:pPr>
      <w:r w:rsidRPr="004F20E7">
        <w:rPr>
          <w:rFonts w:cstheme="minorHAnsi"/>
          <w:b/>
          <w:color w:val="000000" w:themeColor="text1"/>
          <w:lang w:val="fr-FR"/>
        </w:rPr>
        <w:t>8</w:t>
      </w:r>
      <w:r w:rsidR="00E94857" w:rsidRPr="004F20E7">
        <w:rPr>
          <w:rFonts w:cstheme="minorHAnsi"/>
          <w:b/>
          <w:color w:val="000000" w:themeColor="text1"/>
          <w:lang w:val="fr-FR"/>
        </w:rPr>
        <w:t xml:space="preserve">. </w:t>
      </w:r>
      <w:r w:rsidR="00F64848" w:rsidRPr="004F20E7">
        <w:rPr>
          <w:rFonts w:cstheme="minorHAnsi"/>
          <w:b/>
          <w:color w:val="000000" w:themeColor="text1"/>
          <w:lang w:val="fr-FR"/>
        </w:rPr>
        <w:t xml:space="preserve">Evaluation </w:t>
      </w:r>
    </w:p>
    <w:tbl>
      <w:tblPr>
        <w:tblStyle w:val="Grilledutableau"/>
        <w:tblW w:w="0" w:type="auto"/>
        <w:tblLook w:val="04A0" w:firstRow="1" w:lastRow="0" w:firstColumn="1" w:lastColumn="0" w:noHBand="0" w:noVBand="1"/>
      </w:tblPr>
      <w:tblGrid>
        <w:gridCol w:w="9350"/>
      </w:tblGrid>
      <w:tr w:rsidR="004F20E7" w:rsidRPr="004A6EEF" w14:paraId="2CB0FE8E" w14:textId="77777777" w:rsidTr="00443E94">
        <w:tc>
          <w:tcPr>
            <w:tcW w:w="9576" w:type="dxa"/>
          </w:tcPr>
          <w:p w14:paraId="18C7FE3F" w14:textId="77777777" w:rsidR="003A195C" w:rsidRPr="004F20E7" w:rsidRDefault="003A195C" w:rsidP="00E1301D">
            <w:pPr>
              <w:rPr>
                <w:color w:val="000000" w:themeColor="text1"/>
                <w:lang w:val="fr-FR"/>
              </w:rPr>
            </w:pPr>
          </w:p>
          <w:p w14:paraId="4EC5EBF8" w14:textId="146C460C" w:rsidR="00E1301D" w:rsidRPr="004F20E7" w:rsidRDefault="00E1301D" w:rsidP="00E1301D">
            <w:pPr>
              <w:rPr>
                <w:color w:val="000000" w:themeColor="text1"/>
                <w:lang w:val="fr-FR"/>
              </w:rPr>
            </w:pPr>
            <w:r w:rsidRPr="004F20E7">
              <w:rPr>
                <w:color w:val="000000" w:themeColor="text1"/>
                <w:lang w:val="fr-FR"/>
              </w:rPr>
              <w:t>Le/la consultant/e individuel(le)sera évalué(e) sur la base de la méthodologie de Notation combinée. Lorsque cette méthode d’évaluation est utilisée, le contrat est attribué au consultant individuel dont l’offre a été évaluée et jugée :</w:t>
            </w:r>
          </w:p>
          <w:p w14:paraId="19FA567F" w14:textId="77777777" w:rsidR="00E1301D" w:rsidRPr="004F20E7" w:rsidRDefault="00E1301D" w:rsidP="00E1301D">
            <w:pPr>
              <w:rPr>
                <w:color w:val="000000" w:themeColor="text1"/>
                <w:lang w:val="fr-FR"/>
              </w:rPr>
            </w:pPr>
          </w:p>
          <w:p w14:paraId="33D511F7" w14:textId="4F0FEDE4" w:rsidR="00E1301D" w:rsidRPr="004F20E7" w:rsidRDefault="00E1301D" w:rsidP="00625E6D">
            <w:pPr>
              <w:pStyle w:val="Paragraphedeliste"/>
              <w:numPr>
                <w:ilvl w:val="0"/>
                <w:numId w:val="4"/>
              </w:numPr>
              <w:rPr>
                <w:color w:val="000000" w:themeColor="text1"/>
                <w:lang w:val="fr-FR"/>
              </w:rPr>
            </w:pPr>
            <w:r w:rsidRPr="004F20E7">
              <w:rPr>
                <w:color w:val="000000" w:themeColor="text1"/>
                <w:lang w:val="fr-FR"/>
              </w:rPr>
              <w:t>Répondante/conforme/ acceptable et,</w:t>
            </w:r>
          </w:p>
          <w:p w14:paraId="101F03AE" w14:textId="1A8F48A6" w:rsidR="00E1301D" w:rsidRPr="004F20E7" w:rsidRDefault="00E1301D" w:rsidP="00625E6D">
            <w:pPr>
              <w:pStyle w:val="Paragraphedeliste"/>
              <w:numPr>
                <w:ilvl w:val="0"/>
                <w:numId w:val="4"/>
              </w:numPr>
              <w:rPr>
                <w:color w:val="000000" w:themeColor="text1"/>
                <w:lang w:val="fr-FR"/>
              </w:rPr>
            </w:pPr>
            <w:r w:rsidRPr="004F20E7">
              <w:rPr>
                <w:color w:val="000000" w:themeColor="text1"/>
                <w:lang w:val="fr-FR"/>
              </w:rPr>
              <w:t>Ayant reçue la note globale pondérée la plus élevée sur la base des critères technique et financier spécifiés</w:t>
            </w:r>
          </w:p>
          <w:p w14:paraId="05E2C8BF" w14:textId="77777777" w:rsidR="00637F68" w:rsidRPr="004F20E7" w:rsidRDefault="00637F68" w:rsidP="00637F68">
            <w:pPr>
              <w:rPr>
                <w:color w:val="000000" w:themeColor="text1"/>
                <w:lang w:val="fr-FR"/>
              </w:rPr>
            </w:pPr>
          </w:p>
          <w:p w14:paraId="73142882" w14:textId="624375B5" w:rsidR="00637F68" w:rsidRPr="004F20E7" w:rsidRDefault="00637F68" w:rsidP="00625E6D">
            <w:pPr>
              <w:pStyle w:val="Paragraphedeliste"/>
              <w:numPr>
                <w:ilvl w:val="0"/>
                <w:numId w:val="7"/>
              </w:numPr>
              <w:rPr>
                <w:i/>
                <w:color w:val="000000" w:themeColor="text1"/>
                <w:lang w:val="fr-FR"/>
              </w:rPr>
            </w:pPr>
            <w:r w:rsidRPr="004F20E7">
              <w:rPr>
                <w:color w:val="000000" w:themeColor="text1"/>
                <w:u w:val="single"/>
                <w:lang w:val="fr-FR"/>
              </w:rPr>
              <w:t xml:space="preserve">Pondération de l’évaluation technique : 70 % </w:t>
            </w:r>
          </w:p>
          <w:p w14:paraId="614A33FD" w14:textId="6E388C30" w:rsidR="00637F68" w:rsidRPr="004F20E7" w:rsidRDefault="00637F68" w:rsidP="00625E6D">
            <w:pPr>
              <w:pStyle w:val="Paragraphedeliste"/>
              <w:numPr>
                <w:ilvl w:val="0"/>
                <w:numId w:val="7"/>
              </w:numPr>
              <w:rPr>
                <w:color w:val="000000" w:themeColor="text1"/>
                <w:u w:val="single"/>
                <w:lang w:val="fr-FR"/>
              </w:rPr>
            </w:pPr>
            <w:r w:rsidRPr="004F20E7">
              <w:rPr>
                <w:color w:val="000000" w:themeColor="text1"/>
                <w:u w:val="single"/>
                <w:lang w:val="fr-FR"/>
              </w:rPr>
              <w:t>Pondération de l’évaluation financière : 30 %</w:t>
            </w:r>
          </w:p>
          <w:p w14:paraId="305F47F2" w14:textId="77777777" w:rsidR="00E1301D" w:rsidRPr="004F20E7" w:rsidRDefault="00E1301D" w:rsidP="00E1301D">
            <w:pPr>
              <w:rPr>
                <w:color w:val="000000" w:themeColor="text1"/>
                <w:lang w:val="fr-FR"/>
              </w:rPr>
            </w:pPr>
          </w:p>
          <w:p w14:paraId="6363AABA" w14:textId="77777777"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lastRenderedPageBreak/>
              <w:t>L’évaluation des offres se déroule en deux temps. L’évaluation des propositions techniques est achevée avant l’ouverture et la comparaison des propositions financières.</w:t>
            </w:r>
          </w:p>
          <w:p w14:paraId="01999A6F" w14:textId="77777777" w:rsidR="00503C1A" w:rsidRPr="004F20E7" w:rsidRDefault="00503C1A" w:rsidP="00503C1A">
            <w:pPr>
              <w:jc w:val="both"/>
              <w:rPr>
                <w:rFonts w:eastAsia="Times New Roman"/>
                <w:bCs/>
                <w:color w:val="000000" w:themeColor="text1"/>
                <w:lang w:val="fr-FR" w:eastAsia="rw-RW"/>
              </w:rPr>
            </w:pPr>
            <w:r w:rsidRPr="004F20E7">
              <w:rPr>
                <w:rFonts w:eastAsia="Times New Roman"/>
                <w:bCs/>
                <w:color w:val="000000" w:themeColor="text1"/>
                <w:lang w:val="fr-FR" w:eastAsia="rw-RW"/>
              </w:rPr>
              <w:t>Le marché sera attribué au/à la Consultant(e) ayant présenté le meilleur score combiné (rapport qualité/prix, évaluation cumulative).</w:t>
            </w:r>
          </w:p>
          <w:p w14:paraId="7CC64746" w14:textId="77777777" w:rsidR="00503C1A" w:rsidRPr="004F20E7" w:rsidRDefault="00503C1A" w:rsidP="00503C1A">
            <w:pPr>
              <w:jc w:val="both"/>
              <w:rPr>
                <w:rFonts w:eastAsia="Times New Roman"/>
                <w:bCs/>
                <w:color w:val="000000" w:themeColor="text1"/>
                <w:lang w:val="fr-FR" w:eastAsia="rw-RW"/>
              </w:rPr>
            </w:pPr>
          </w:p>
          <w:p w14:paraId="5DA9360D" w14:textId="77777777" w:rsidR="00503C1A" w:rsidRPr="004F20E7" w:rsidRDefault="00503C1A" w:rsidP="00503C1A">
            <w:pPr>
              <w:numPr>
                <w:ilvl w:val="0"/>
                <w:numId w:val="1"/>
              </w:numPr>
              <w:jc w:val="both"/>
              <w:rPr>
                <w:rFonts w:eastAsia="Times New Roman"/>
                <w:bCs/>
                <w:i/>
                <w:color w:val="000000" w:themeColor="text1"/>
                <w:u w:val="single"/>
                <w:lang w:eastAsia="rw-RW"/>
              </w:rPr>
            </w:pPr>
            <w:r w:rsidRPr="004F20E7">
              <w:rPr>
                <w:rFonts w:eastAsia="Times New Roman"/>
                <w:bCs/>
                <w:i/>
                <w:color w:val="000000" w:themeColor="text1"/>
                <w:u w:val="single"/>
                <w:lang w:eastAsia="rw-RW"/>
              </w:rPr>
              <w:t>Les propositions techniques</w:t>
            </w:r>
          </w:p>
          <w:p w14:paraId="3F8B6C36" w14:textId="77777777" w:rsidR="00503C1A" w:rsidRPr="004F20E7" w:rsidRDefault="00503C1A" w:rsidP="00503C1A">
            <w:pPr>
              <w:ind w:left="720"/>
              <w:jc w:val="both"/>
              <w:rPr>
                <w:rFonts w:eastAsia="Times New Roman"/>
                <w:bCs/>
                <w:i/>
                <w:color w:val="000000" w:themeColor="text1"/>
                <w:u w:val="single"/>
                <w:lang w:eastAsia="rw-RW"/>
              </w:rPr>
            </w:pPr>
          </w:p>
          <w:p w14:paraId="6833D7EE" w14:textId="77777777" w:rsidR="00503C1A" w:rsidRPr="004F20E7" w:rsidRDefault="00503C1A" w:rsidP="00503C1A">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w:t>
            </w:r>
          </w:p>
          <w:p w14:paraId="3256F543" w14:textId="77777777" w:rsidR="00503C1A" w:rsidRPr="004F20E7" w:rsidRDefault="00503C1A" w:rsidP="00503C1A">
            <w:pPr>
              <w:rPr>
                <w:b/>
                <w:bCs/>
                <w:i/>
                <w:color w:val="000000" w:themeColor="text1"/>
                <w:u w:val="single"/>
                <w:lang w:val="fr-FR"/>
              </w:rPr>
            </w:pPr>
          </w:p>
          <w:p w14:paraId="7C55B24C" w14:textId="27EFB747" w:rsidR="00E1301D" w:rsidRPr="004F20E7" w:rsidRDefault="00E1301D" w:rsidP="00503C1A">
            <w:pPr>
              <w:rPr>
                <w:rFonts w:eastAsia="Times New Roman" w:cstheme="minorHAnsi"/>
                <w:b/>
                <w:bCs/>
                <w:i/>
                <w:color w:val="000000" w:themeColor="text1"/>
                <w:u w:val="single"/>
                <w:lang w:val="fr-FR" w:eastAsia="rw-RW"/>
              </w:rPr>
            </w:pPr>
            <w:r w:rsidRPr="004F20E7">
              <w:rPr>
                <w:rFonts w:eastAsia="Times New Roman" w:cstheme="minorHAnsi"/>
                <w:b/>
                <w:bCs/>
                <w:i/>
                <w:color w:val="000000" w:themeColor="text1"/>
                <w:u w:val="single"/>
                <w:lang w:val="fr-FR" w:eastAsia="rw-RW"/>
              </w:rPr>
              <w:t>Les propositions techniques</w:t>
            </w:r>
          </w:p>
          <w:p w14:paraId="7EA61A06" w14:textId="77777777" w:rsidR="00E1301D" w:rsidRPr="004F20E7" w:rsidRDefault="00E1301D" w:rsidP="00E1301D">
            <w:pPr>
              <w:rPr>
                <w:color w:val="000000" w:themeColor="text1"/>
                <w:lang w:val="fr-FR"/>
              </w:rPr>
            </w:pPr>
          </w:p>
          <w:p w14:paraId="4541414E" w14:textId="77777777" w:rsidR="00E1301D" w:rsidRPr="004F20E7" w:rsidRDefault="00E1301D" w:rsidP="00E1301D">
            <w:pPr>
              <w:rPr>
                <w:color w:val="000000" w:themeColor="text1"/>
                <w:lang w:val="fr-FR"/>
              </w:rPr>
            </w:pPr>
            <w:r w:rsidRPr="004F20E7">
              <w:rPr>
                <w:color w:val="000000" w:themeColor="text1"/>
                <w:lang w:val="fr-FR"/>
              </w:rPr>
              <w:t xml:space="preserve">Les propositions techniques seront évaluées sur leur degré de réponse par rapport aux termes de référence et sur la base des critères suivants : </w:t>
            </w:r>
          </w:p>
          <w:p w14:paraId="2226B609" w14:textId="77777777" w:rsidR="00200AA0" w:rsidRPr="004F20E7" w:rsidRDefault="00200AA0" w:rsidP="00EA697D">
            <w:pPr>
              <w:spacing w:line="360" w:lineRule="auto"/>
              <w:rPr>
                <w:rFonts w:cstheme="minorHAnsi"/>
                <w:i/>
                <w:color w:val="000000" w:themeColor="text1"/>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4F20E7" w:rsidRPr="004F20E7" w14:paraId="5FFCE592" w14:textId="77777777" w:rsidTr="00AD3AE3">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4F20E7" w:rsidRDefault="00200AA0" w:rsidP="00200AA0">
                  <w:pPr>
                    <w:jc w:val="both"/>
                    <w:rPr>
                      <w:rFonts w:cstheme="minorHAnsi"/>
                      <w:b/>
                      <w:bCs/>
                      <w:snapToGrid w:val="0"/>
                      <w:color w:val="000000" w:themeColor="text1"/>
                      <w:lang w:eastAsia="fr-FR"/>
                    </w:rPr>
                  </w:pPr>
                  <w:r w:rsidRPr="004F20E7">
                    <w:rPr>
                      <w:rFonts w:cstheme="minorHAnsi"/>
                      <w:b/>
                      <w:bCs/>
                      <w:snapToGrid w:val="0"/>
                      <w:color w:val="000000" w:themeColor="text1"/>
                    </w:rPr>
                    <w:t xml:space="preserve">Critères </w:t>
                  </w:r>
                  <w:r w:rsidR="007B467A" w:rsidRPr="004F20E7">
                    <w:rPr>
                      <w:rFonts w:cstheme="minorHAnsi"/>
                      <w:b/>
                      <w:bCs/>
                      <w:snapToGrid w:val="0"/>
                      <w:color w:val="000000" w:themeColor="text1"/>
                    </w:rPr>
                    <w:t>d´</w:t>
                  </w:r>
                  <w:r w:rsidR="00003CF1" w:rsidRPr="004F20E7">
                    <w:rPr>
                      <w:rFonts w:cstheme="minorHAnsi"/>
                      <w:b/>
                      <w:bCs/>
                      <w:snapToGrid w:val="0"/>
                      <w:color w:val="000000" w:themeColor="text1"/>
                    </w:rPr>
                    <w:t>é</w:t>
                  </w:r>
                  <w:r w:rsidR="007B467A" w:rsidRPr="004F20E7">
                    <w:rPr>
                      <w:rFonts w:cstheme="minorHAnsi"/>
                      <w:b/>
                      <w:bCs/>
                      <w:snapToGrid w:val="0"/>
                      <w:color w:val="000000" w:themeColor="text1"/>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4F20E7" w:rsidRDefault="00200AA0" w:rsidP="00E54A8B">
                  <w:pPr>
                    <w:spacing w:line="240" w:lineRule="auto"/>
                    <w:jc w:val="both"/>
                    <w:rPr>
                      <w:rFonts w:cstheme="minorHAnsi"/>
                      <w:b/>
                      <w:bCs/>
                      <w:color w:val="000000" w:themeColor="text1"/>
                    </w:rPr>
                  </w:pPr>
                  <w:r w:rsidRPr="004F20E7">
                    <w:rPr>
                      <w:rFonts w:cstheme="minorHAnsi"/>
                      <w:b/>
                      <w:bCs/>
                      <w:color w:val="000000" w:themeColor="text1"/>
                    </w:rPr>
                    <w:t>Points</w:t>
                  </w:r>
                  <w:r w:rsidR="00F30D52" w:rsidRPr="004F20E7">
                    <w:rPr>
                      <w:rFonts w:cstheme="minorHAnsi"/>
                      <w:b/>
                      <w:bCs/>
                      <w:color w:val="000000" w:themeColor="text1"/>
                    </w:rPr>
                    <w:t xml:space="preserve"> maximum</w:t>
                  </w:r>
                </w:p>
              </w:tc>
            </w:tr>
            <w:tr w:rsidR="004F20E7" w:rsidRPr="004F20E7" w14:paraId="3703451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6B798951" w:rsidR="00200AA0" w:rsidRPr="004F20E7" w:rsidRDefault="00200AA0" w:rsidP="00A30AAC">
                  <w:pPr>
                    <w:spacing w:before="120" w:after="120" w:line="288" w:lineRule="auto"/>
                    <w:jc w:val="both"/>
                    <w:rPr>
                      <w:rFonts w:cstheme="minorHAnsi"/>
                      <w:color w:val="000000" w:themeColor="text1"/>
                      <w:u w:val="single"/>
                      <w:lang w:val="fr-FR"/>
                    </w:rPr>
                  </w:pPr>
                  <w:r w:rsidRPr="004F20E7">
                    <w:rPr>
                      <w:rFonts w:cstheme="minorHAnsi"/>
                      <w:snapToGrid w:val="0"/>
                      <w:color w:val="000000" w:themeColor="text1"/>
                      <w:lang w:val="fr-FR"/>
                    </w:rPr>
                    <w:t>Le/la soumissionnaire a-t-il/elle</w:t>
                  </w:r>
                  <w:r w:rsidR="00EB7E6B">
                    <w:rPr>
                      <w:rFonts w:cstheme="minorHAnsi"/>
                      <w:snapToGrid w:val="0"/>
                      <w:color w:val="000000" w:themeColor="text1"/>
                      <w:lang w:val="fr-FR"/>
                    </w:rPr>
                    <w:t xml:space="preserve"> </w:t>
                  </w:r>
                  <w:r w:rsidR="00EB7E6B" w:rsidRPr="001F5EC0">
                    <w:rPr>
                      <w:rFonts w:cstheme="minorHAnsi"/>
                      <w:lang w:val="fr-CD"/>
                    </w:rPr>
                    <w:t>un diplôme de niveau Bac+5 en Economie de développement, en Sciences Economiques ou tout autre domaine</w:t>
                  </w:r>
                  <w:r w:rsidR="00EB7E6B"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5F0BF45C" w:rsidR="00200AA0" w:rsidRPr="004F20E7" w:rsidRDefault="0053418B" w:rsidP="00E54A8B">
                  <w:pPr>
                    <w:spacing w:line="240" w:lineRule="auto"/>
                    <w:jc w:val="both"/>
                    <w:rPr>
                      <w:rFonts w:cstheme="minorHAnsi"/>
                      <w:color w:val="000000" w:themeColor="text1"/>
                    </w:rPr>
                  </w:pPr>
                  <w:r>
                    <w:rPr>
                      <w:rFonts w:cstheme="minorHAnsi"/>
                      <w:color w:val="000000" w:themeColor="text1"/>
                    </w:rPr>
                    <w:t>15</w:t>
                  </w:r>
                </w:p>
              </w:tc>
            </w:tr>
            <w:tr w:rsidR="004F20E7" w:rsidRPr="004F20E7" w14:paraId="2601FBCA" w14:textId="77777777" w:rsidTr="00AD3AE3">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359896" w14:textId="0925348C" w:rsidR="00373BEB" w:rsidRDefault="00916940" w:rsidP="00EB6C4D">
                  <w:pPr>
                    <w:jc w:val="both"/>
                    <w:rPr>
                      <w:rFonts w:eastAsia="Times New Roman" w:cs="Arial"/>
                      <w:color w:val="000000" w:themeColor="text1"/>
                      <w:lang w:val="fr-FR" w:eastAsia="fr-CD"/>
                    </w:rPr>
                  </w:pPr>
                  <w:r w:rsidRPr="004F20E7">
                    <w:rPr>
                      <w:snapToGrid w:val="0"/>
                      <w:color w:val="000000" w:themeColor="text1"/>
                      <w:lang w:val="fr-FR"/>
                    </w:rPr>
                    <w:t xml:space="preserve">Le/la soumissionnaire a-t-il/elle </w:t>
                  </w:r>
                  <w:r w:rsidR="00373BEB" w:rsidRPr="004F20E7">
                    <w:rPr>
                      <w:snapToGrid w:val="0"/>
                      <w:color w:val="000000" w:themeColor="text1"/>
                      <w:lang w:val="fr-FR"/>
                    </w:rPr>
                    <w:t>une :</w:t>
                  </w:r>
                  <w:r w:rsidR="00E90434" w:rsidRPr="004F20E7">
                    <w:rPr>
                      <w:rFonts w:eastAsia="Times New Roman" w:cs="Arial"/>
                      <w:color w:val="000000" w:themeColor="text1"/>
                      <w:lang w:val="fr-FR" w:eastAsia="fr-CD"/>
                    </w:rPr>
                    <w:t xml:space="preserve"> </w:t>
                  </w:r>
                </w:p>
                <w:p w14:paraId="18C8F90D" w14:textId="68AA5199"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Pr>
                      <w:rFonts w:cstheme="minorHAnsi"/>
                      <w:lang w:val="fr-CD"/>
                    </w:rPr>
                    <w:t>Expérience d’au moins 10</w:t>
                  </w:r>
                  <w:r w:rsidRPr="001F5EC0">
                    <w:rPr>
                      <w:rFonts w:cstheme="minorHAnsi"/>
                      <w:lang w:val="fr-CD"/>
                    </w:rPr>
                    <w:t xml:space="preserve"> ans d’expérience</w:t>
                  </w:r>
                  <w:r>
                    <w:rPr>
                      <w:rFonts w:cstheme="minorHAnsi"/>
                      <w:lang w:val="fr-CD"/>
                    </w:rPr>
                    <w:t xml:space="preserve">s (aux niveaux international &amp; national) </w:t>
                  </w:r>
                  <w:r w:rsidRPr="001F5EC0">
                    <w:rPr>
                      <w:rFonts w:cstheme="minorHAnsi"/>
                      <w:lang w:val="fr-CD"/>
                    </w:rPr>
                    <w:t>dans le domaine de la planification</w:t>
                  </w:r>
                  <w:r>
                    <w:rPr>
                      <w:rFonts w:cstheme="minorHAnsi"/>
                      <w:lang w:val="fr-CD"/>
                    </w:rPr>
                    <w:t xml:space="preserve"> stratégique</w:t>
                  </w:r>
                  <w:r w:rsidRPr="001F5EC0">
                    <w:rPr>
                      <w:rFonts w:cstheme="minorHAnsi"/>
                      <w:lang w:val="fr-CD"/>
                    </w:rPr>
                    <w:t xml:space="preserve">, </w:t>
                  </w:r>
                  <w:r>
                    <w:rPr>
                      <w:rFonts w:cstheme="minorHAnsi"/>
                      <w:lang w:val="fr-CD"/>
                    </w:rPr>
                    <w:t xml:space="preserve">de la </w:t>
                  </w:r>
                  <w:r w:rsidRPr="001F5EC0">
                    <w:rPr>
                      <w:rFonts w:cstheme="minorHAnsi"/>
                      <w:lang w:val="fr-CD"/>
                    </w:rPr>
                    <w:t xml:space="preserve">formulation </w:t>
                  </w:r>
                  <w:r>
                    <w:rPr>
                      <w:rFonts w:cstheme="minorHAnsi"/>
                      <w:lang w:val="fr-CD"/>
                    </w:rPr>
                    <w:t xml:space="preserve">des </w:t>
                  </w:r>
                  <w:r w:rsidRPr="001F5EC0">
                    <w:rPr>
                      <w:rFonts w:cstheme="minorHAnsi"/>
                      <w:lang w:val="fr-CD"/>
                    </w:rPr>
                    <w:t xml:space="preserve">politiques </w:t>
                  </w:r>
                  <w:r>
                    <w:rPr>
                      <w:rFonts w:cstheme="minorHAnsi"/>
                      <w:lang w:val="fr-CD"/>
                    </w:rPr>
                    <w:t xml:space="preserve">et programme de développement, de l’élaboration de budget-programme </w:t>
                  </w:r>
                  <w:r w:rsidRPr="001F5EC0">
                    <w:rPr>
                      <w:rFonts w:cstheme="minorHAnsi"/>
                      <w:lang w:val="fr-CD"/>
                    </w:rPr>
                    <w:t xml:space="preserve">ainsi que le suivi-évaluation </w:t>
                  </w:r>
                  <w:r>
                    <w:rPr>
                      <w:rFonts w:cstheme="minorHAnsi"/>
                      <w:lang w:val="fr-CD"/>
                    </w:rPr>
                    <w:t xml:space="preserve">des programmes ? </w:t>
                  </w:r>
                  <w:r w:rsidR="0053418B">
                    <w:rPr>
                      <w:rFonts w:cstheme="minorHAnsi"/>
                      <w:lang w:val="fr-CD"/>
                    </w:rPr>
                    <w:t>15pts</w:t>
                  </w:r>
                </w:p>
                <w:p w14:paraId="71071739" w14:textId="6BA895C9"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au moins </w:t>
                  </w:r>
                  <w:r>
                    <w:rPr>
                      <w:rFonts w:cstheme="minorHAnsi"/>
                      <w:lang w:val="fr-CD"/>
                    </w:rPr>
                    <w:t>5</w:t>
                  </w:r>
                  <w:r w:rsidRPr="001F5EC0">
                    <w:rPr>
                      <w:rFonts w:cstheme="minorHAnsi"/>
                      <w:lang w:val="fr-CD"/>
                    </w:rPr>
                    <w:t xml:space="preserve"> ans d’expérience dans la coordination d’un processus d’élaboration d’un p</w:t>
                  </w:r>
                  <w:r>
                    <w:rPr>
                      <w:rFonts w:cstheme="minorHAnsi"/>
                      <w:lang w:val="fr-CD"/>
                    </w:rPr>
                    <w:t xml:space="preserve">rogramme </w:t>
                  </w:r>
                  <w:r w:rsidRPr="001F5EC0">
                    <w:rPr>
                      <w:rFonts w:cstheme="minorHAnsi"/>
                      <w:lang w:val="fr-CD"/>
                    </w:rPr>
                    <w:t xml:space="preserve">de développement </w:t>
                  </w:r>
                  <w:r>
                    <w:rPr>
                      <w:rFonts w:cstheme="minorHAnsi"/>
                      <w:lang w:val="fr-CD"/>
                    </w:rPr>
                    <w:t xml:space="preserve">ou de renforcement des capacités nationales </w:t>
                  </w:r>
                  <w:r w:rsidRPr="001F5EC0">
                    <w:rPr>
                      <w:rFonts w:cstheme="minorHAnsi"/>
                      <w:lang w:val="fr-CD"/>
                    </w:rPr>
                    <w:t>;</w:t>
                  </w:r>
                  <w:r w:rsidR="0053418B">
                    <w:rPr>
                      <w:rFonts w:cstheme="minorHAnsi"/>
                      <w:lang w:val="fr-CD"/>
                    </w:rPr>
                    <w:t xml:space="preserve"> 10pts</w:t>
                  </w:r>
                </w:p>
                <w:p w14:paraId="3812EC0E" w14:textId="72A0FDA9" w:rsidR="009B1CA0"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p>
                <w:p w14:paraId="16646125" w14:textId="7842250D" w:rsidR="00EB7E6B" w:rsidRPr="001F5EC0" w:rsidRDefault="009B1CA0" w:rsidP="009B1CA0">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 xml:space="preserve">Avoir une bonne connaissance du fonctionnement des structures ou institutions étatiques au niveau </w:t>
                  </w:r>
                  <w:r>
                    <w:rPr>
                      <w:rFonts w:cstheme="minorHAnsi"/>
                      <w:lang w:val="fr-CD"/>
                    </w:rPr>
                    <w:t xml:space="preserve">national </w:t>
                  </w:r>
                  <w:r w:rsidRPr="001F5EC0">
                    <w:rPr>
                      <w:rFonts w:cstheme="minorHAnsi"/>
                      <w:lang w:val="fr-CD"/>
                    </w:rPr>
                    <w:t>et provincial</w:t>
                  </w:r>
                  <w:r w:rsidR="00F96DBB">
                    <w:rPr>
                      <w:rFonts w:cstheme="minorHAnsi"/>
                      <w:lang w:val="fr-CD"/>
                    </w:rPr>
                    <w:t> ?5pts</w:t>
                  </w:r>
                </w:p>
                <w:p w14:paraId="137E1AF6" w14:textId="0D93555F" w:rsidR="00373BEB" w:rsidRPr="00EB7E6B" w:rsidRDefault="00EB7E6B" w:rsidP="00625E6D">
                  <w:pPr>
                    <w:pStyle w:val="Paragraphedeliste"/>
                    <w:numPr>
                      <w:ilvl w:val="0"/>
                      <w:numId w:val="13"/>
                    </w:numPr>
                    <w:spacing w:before="160" w:after="160" w:line="259" w:lineRule="auto"/>
                    <w:ind w:left="714" w:hanging="357"/>
                    <w:contextualSpacing w:val="0"/>
                    <w:jc w:val="both"/>
                    <w:rPr>
                      <w:rFonts w:cstheme="minorHAnsi"/>
                      <w:lang w:val="fr-CD"/>
                    </w:rPr>
                  </w:pPr>
                  <w:r w:rsidRPr="001F5EC0">
                    <w:rPr>
                      <w:rFonts w:cstheme="minorHAnsi"/>
                      <w:lang w:val="fr-CD"/>
                    </w:rPr>
                    <w:t>Une expérience des missions similaires en RDC ou dans d’autres pays post conflit est un atout</w:t>
                  </w:r>
                  <w:r>
                    <w:rPr>
                      <w:rFonts w:cstheme="minorHAnsi"/>
                      <w:lang w:val="fr-CD"/>
                    </w:rPr>
                    <w:t> ?5pt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25302D77" w:rsidR="00C95583" w:rsidRPr="004F20E7" w:rsidRDefault="0053418B" w:rsidP="00E54A8B">
                  <w:pPr>
                    <w:spacing w:line="240" w:lineRule="auto"/>
                    <w:jc w:val="both"/>
                    <w:rPr>
                      <w:rFonts w:cstheme="minorHAnsi"/>
                      <w:color w:val="000000" w:themeColor="text1"/>
                      <w:lang w:val="fr-FR"/>
                    </w:rPr>
                  </w:pPr>
                  <w:r>
                    <w:rPr>
                      <w:rFonts w:cstheme="minorHAnsi"/>
                      <w:color w:val="000000" w:themeColor="text1"/>
                      <w:lang w:val="fr-FR"/>
                    </w:rPr>
                    <w:t>35</w:t>
                  </w:r>
                </w:p>
              </w:tc>
            </w:tr>
            <w:tr w:rsidR="004F20E7" w:rsidRPr="004F20E7" w14:paraId="6EEAFB25"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6DD1F9" w14:textId="371F0037" w:rsidR="00200AA0" w:rsidRPr="004F20E7" w:rsidRDefault="00200AA0" w:rsidP="00E54A8B">
                  <w:pPr>
                    <w:spacing w:line="240" w:lineRule="auto"/>
                    <w:jc w:val="both"/>
                    <w:rPr>
                      <w:rFonts w:cstheme="minorHAnsi"/>
                      <w:snapToGrid w:val="0"/>
                      <w:color w:val="000000" w:themeColor="text1"/>
                      <w:lang w:val="fr-FR"/>
                    </w:rPr>
                  </w:pPr>
                  <w:r w:rsidRPr="004F20E7">
                    <w:rPr>
                      <w:rFonts w:cstheme="minorHAnsi"/>
                      <w:snapToGrid w:val="0"/>
                      <w:color w:val="000000" w:themeColor="text1"/>
                      <w:lang w:val="fr-FR"/>
                    </w:rPr>
                    <w:t>L</w:t>
                  </w:r>
                  <w:r w:rsidR="00976D3C" w:rsidRPr="004F20E7">
                    <w:rPr>
                      <w:rFonts w:cstheme="minorHAnsi"/>
                      <w:snapToGrid w:val="0"/>
                      <w:color w:val="000000" w:themeColor="text1"/>
                      <w:lang w:val="fr-FR"/>
                    </w:rPr>
                    <w:t xml:space="preserve">´approche </w:t>
                  </w:r>
                  <w:r w:rsidRPr="004F20E7">
                    <w:rPr>
                      <w:rFonts w:cstheme="minorHAnsi"/>
                      <w:snapToGrid w:val="0"/>
                      <w:color w:val="000000" w:themeColor="text1"/>
                      <w:lang w:val="fr-FR"/>
                    </w:rPr>
                    <w:t>méthodologi</w:t>
                  </w:r>
                  <w:r w:rsidR="00976D3C" w:rsidRPr="004F20E7">
                    <w:rPr>
                      <w:rFonts w:cstheme="minorHAnsi"/>
                      <w:snapToGrid w:val="0"/>
                      <w:color w:val="000000" w:themeColor="text1"/>
                      <w:lang w:val="fr-FR"/>
                    </w:rPr>
                    <w:t>que</w:t>
                  </w:r>
                  <w:r w:rsidRPr="004F20E7">
                    <w:rPr>
                      <w:rFonts w:cstheme="minorHAnsi"/>
                      <w:snapToGrid w:val="0"/>
                      <w:color w:val="000000" w:themeColor="text1"/>
                      <w:lang w:val="fr-FR"/>
                    </w:rPr>
                    <w:t xml:space="preserve"> </w:t>
                  </w:r>
                  <w:r w:rsidR="00AB3424" w:rsidRPr="004F20E7">
                    <w:rPr>
                      <w:rFonts w:cstheme="minorHAnsi"/>
                      <w:snapToGrid w:val="0"/>
                      <w:color w:val="000000" w:themeColor="text1"/>
                      <w:lang w:val="fr-FR"/>
                    </w:rPr>
                    <w:t>proposé est-elle claire et appropriée</w:t>
                  </w:r>
                  <w:r w:rsidRPr="004F20E7">
                    <w:rPr>
                      <w:rFonts w:cstheme="minorHAnsi"/>
                      <w:snapToGrid w:val="0"/>
                      <w:color w:val="000000" w:themeColor="text1"/>
                      <w:lang w:val="fr-FR"/>
                    </w:rPr>
                    <w:t xml:space="preserve"> aux produits décrits/attendus dans les </w:t>
                  </w:r>
                  <w:r w:rsidR="007C60BB" w:rsidRPr="004F20E7">
                    <w:rPr>
                      <w:rFonts w:cstheme="minorHAnsi"/>
                      <w:snapToGrid w:val="0"/>
                      <w:color w:val="000000" w:themeColor="text1"/>
                      <w:lang w:val="fr-FR"/>
                    </w:rPr>
                    <w:t>termes de référence ?</w:t>
                  </w:r>
                  <w:r w:rsidRPr="004F20E7">
                    <w:rPr>
                      <w:rFonts w:cstheme="minorHAnsi"/>
                      <w:snapToGrid w:val="0"/>
                      <w:color w:val="000000" w:themeColor="text1"/>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1D2395" w14:textId="444CE574" w:rsidR="00200AA0" w:rsidRPr="004F20E7" w:rsidRDefault="0053418B" w:rsidP="00E54A8B">
                  <w:pPr>
                    <w:spacing w:line="240" w:lineRule="auto"/>
                    <w:jc w:val="both"/>
                    <w:rPr>
                      <w:rFonts w:cstheme="minorHAnsi"/>
                      <w:color w:val="000000" w:themeColor="text1"/>
                    </w:rPr>
                  </w:pPr>
                  <w:r>
                    <w:rPr>
                      <w:rFonts w:cstheme="minorHAnsi"/>
                      <w:color w:val="000000" w:themeColor="text1"/>
                    </w:rPr>
                    <w:t>35</w:t>
                  </w:r>
                </w:p>
              </w:tc>
            </w:tr>
            <w:tr w:rsidR="004F20E7" w:rsidRPr="004A6EEF" w14:paraId="1A937A3A" w14:textId="77777777" w:rsidTr="00AD3AE3">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7B1A98F" w14:textId="77777777" w:rsidR="0018325D" w:rsidRPr="004F20E7" w:rsidRDefault="0018325D" w:rsidP="00E54A8B">
                  <w:pPr>
                    <w:spacing w:line="240" w:lineRule="auto"/>
                    <w:jc w:val="both"/>
                    <w:rPr>
                      <w:snapToGrid w:val="0"/>
                      <w:color w:val="000000" w:themeColor="text1"/>
                      <w:lang w:val="fr-FR"/>
                    </w:rPr>
                  </w:pPr>
                  <w:r w:rsidRPr="004F20E7">
                    <w:rPr>
                      <w:snapToGrid w:val="0"/>
                      <w:color w:val="000000" w:themeColor="text1"/>
                      <w:lang w:val="fr-FR"/>
                    </w:rPr>
                    <w:lastRenderedPageBreak/>
                    <w:t>Le chronogramme</w:t>
                  </w:r>
                  <w:r w:rsidR="000247EB" w:rsidRPr="004F20E7">
                    <w:rPr>
                      <w:snapToGrid w:val="0"/>
                      <w:color w:val="000000" w:themeColor="text1"/>
                      <w:lang w:val="fr-FR"/>
                    </w:rPr>
                    <w:t xml:space="preserve">/plan de travail </w:t>
                  </w:r>
                  <w:r w:rsidRPr="004F20E7">
                    <w:rPr>
                      <w:snapToGrid w:val="0"/>
                      <w:color w:val="000000" w:themeColor="text1"/>
                      <w:lang w:val="fr-FR"/>
                    </w:rPr>
                    <w:t>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C2BB2E" w14:textId="550B67F5" w:rsidR="0018325D" w:rsidRPr="004F20E7" w:rsidRDefault="0053418B" w:rsidP="00E54A8B">
                  <w:pPr>
                    <w:spacing w:line="240" w:lineRule="auto"/>
                    <w:jc w:val="both"/>
                    <w:rPr>
                      <w:rFonts w:cstheme="minorHAnsi"/>
                      <w:color w:val="000000" w:themeColor="text1"/>
                      <w:lang w:val="fr-FR"/>
                    </w:rPr>
                  </w:pPr>
                  <w:r>
                    <w:rPr>
                      <w:rFonts w:cstheme="minorHAnsi"/>
                      <w:color w:val="000000" w:themeColor="text1"/>
                      <w:lang w:val="fr-FR"/>
                    </w:rPr>
                    <w:t>15</w:t>
                  </w:r>
                </w:p>
              </w:tc>
            </w:tr>
            <w:tr w:rsidR="004F20E7" w:rsidRPr="004A6EEF" w14:paraId="0EAA2C76" w14:textId="77777777" w:rsidTr="00AD3AE3">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4F20E7" w:rsidRDefault="0018325D" w:rsidP="00E54A8B">
                  <w:pPr>
                    <w:spacing w:line="240" w:lineRule="auto"/>
                    <w:jc w:val="both"/>
                    <w:rPr>
                      <w:rFonts w:cstheme="minorHAnsi"/>
                      <w:b/>
                      <w:bCs/>
                      <w:snapToGrid w:val="0"/>
                      <w:color w:val="000000" w:themeColor="text1"/>
                      <w:lang w:val="fr-FR"/>
                    </w:rPr>
                  </w:pPr>
                  <w:r w:rsidRPr="004F20E7">
                    <w:rPr>
                      <w:rFonts w:cstheme="minorHAnsi"/>
                      <w:b/>
                      <w:bCs/>
                      <w:snapToGrid w:val="0"/>
                      <w:color w:val="000000" w:themeColor="text1"/>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4F20E7" w:rsidRDefault="0018325D" w:rsidP="00E54A8B">
                  <w:pPr>
                    <w:spacing w:line="240" w:lineRule="auto"/>
                    <w:jc w:val="both"/>
                    <w:rPr>
                      <w:rFonts w:cstheme="minorHAnsi"/>
                      <w:b/>
                      <w:bCs/>
                      <w:color w:val="000000" w:themeColor="text1"/>
                      <w:lang w:val="fr-FR"/>
                    </w:rPr>
                  </w:pPr>
                  <w:r w:rsidRPr="004F20E7">
                    <w:rPr>
                      <w:rFonts w:cstheme="minorHAnsi"/>
                      <w:b/>
                      <w:bCs/>
                      <w:color w:val="000000" w:themeColor="text1"/>
                      <w:lang w:val="fr-FR"/>
                    </w:rPr>
                    <w:t>100</w:t>
                  </w:r>
                </w:p>
              </w:tc>
            </w:tr>
          </w:tbl>
          <w:p w14:paraId="3178720D" w14:textId="77777777" w:rsidR="003230F4" w:rsidRPr="004F20E7" w:rsidRDefault="003230F4" w:rsidP="003230F4">
            <w:pPr>
              <w:jc w:val="both"/>
              <w:rPr>
                <w:rFonts w:eastAsia="Times New Roman" w:cstheme="minorHAnsi"/>
                <w:bCs/>
                <w:color w:val="000000" w:themeColor="text1"/>
                <w:lang w:val="fr-FR" w:eastAsia="rw-RW"/>
              </w:rPr>
            </w:pPr>
          </w:p>
          <w:p w14:paraId="74BC25A0" w14:textId="11AB4404" w:rsidR="00E41813" w:rsidRPr="004F20E7" w:rsidRDefault="00E41813" w:rsidP="00E41813">
            <w:pPr>
              <w:jc w:val="both"/>
              <w:rPr>
                <w:rFonts w:cstheme="minorHAnsi"/>
                <w:bCs/>
                <w:color w:val="000000" w:themeColor="text1"/>
                <w:lang w:val="fr-FR"/>
              </w:rPr>
            </w:pPr>
            <w:r w:rsidRPr="004F20E7">
              <w:rPr>
                <w:rFonts w:cstheme="minorHAnsi"/>
                <w:bCs/>
                <w:color w:val="000000" w:themeColor="text1"/>
                <w:lang w:val="fr-FR"/>
              </w:rPr>
              <w:t>Seront jugées qualifiées, les propositions techniques qui obtiendront 70% de la note maximale de 100 points</w:t>
            </w:r>
            <w:r w:rsidR="00F30D52" w:rsidRPr="004F20E7">
              <w:rPr>
                <w:rFonts w:cstheme="minorHAnsi"/>
                <w:bCs/>
                <w:color w:val="000000" w:themeColor="text1"/>
                <w:lang w:val="fr-FR"/>
              </w:rPr>
              <w:t xml:space="preserve">, </w:t>
            </w:r>
            <w:r w:rsidRPr="004F20E7">
              <w:rPr>
                <w:rFonts w:cstheme="minorHAnsi"/>
                <w:bCs/>
                <w:color w:val="000000" w:themeColor="text1"/>
                <w:lang w:val="fr-FR"/>
              </w:rPr>
              <w:t>cette note technique sera pondérée a 70%.</w:t>
            </w:r>
          </w:p>
          <w:p w14:paraId="70FC6136" w14:textId="77777777" w:rsidR="00E41813" w:rsidRPr="004F20E7" w:rsidRDefault="00E41813" w:rsidP="00E41813">
            <w:pPr>
              <w:jc w:val="both"/>
              <w:rPr>
                <w:rFonts w:cstheme="minorHAnsi"/>
                <w:b/>
                <w:color w:val="000000" w:themeColor="text1"/>
                <w:lang w:val="fr-FR"/>
              </w:rPr>
            </w:pPr>
          </w:p>
          <w:p w14:paraId="3CA1AC6A" w14:textId="77777777" w:rsidR="003A195C" w:rsidRPr="004F20E7" w:rsidRDefault="003A195C" w:rsidP="00625E6D">
            <w:pPr>
              <w:pStyle w:val="Paragraphedeliste"/>
              <w:numPr>
                <w:ilvl w:val="0"/>
                <w:numId w:val="5"/>
              </w:numPr>
              <w:jc w:val="both"/>
              <w:rPr>
                <w:rFonts w:eastAsia="Times New Roman" w:cstheme="minorHAnsi"/>
                <w:b/>
                <w:bCs/>
                <w:i/>
                <w:color w:val="000000" w:themeColor="text1"/>
                <w:u w:val="single"/>
                <w:lang w:eastAsia="rw-RW"/>
              </w:rPr>
            </w:pPr>
            <w:r w:rsidRPr="004F20E7">
              <w:rPr>
                <w:rFonts w:eastAsia="Times New Roman" w:cstheme="minorHAnsi"/>
                <w:b/>
                <w:bCs/>
                <w:i/>
                <w:color w:val="000000" w:themeColor="text1"/>
                <w:u w:val="single"/>
                <w:lang w:eastAsia="rw-RW"/>
              </w:rPr>
              <w:t>Les propositions financières</w:t>
            </w:r>
          </w:p>
          <w:p w14:paraId="216041A4" w14:textId="77777777" w:rsidR="003A195C" w:rsidRPr="004F20E7" w:rsidRDefault="003A195C" w:rsidP="003A195C">
            <w:pPr>
              <w:jc w:val="both"/>
              <w:rPr>
                <w:rFonts w:eastAsia="Times New Roman" w:cstheme="minorHAnsi"/>
                <w:bCs/>
                <w:color w:val="000000" w:themeColor="text1"/>
                <w:lang w:eastAsia="rw-RW"/>
              </w:rPr>
            </w:pPr>
          </w:p>
          <w:p w14:paraId="04C2EFF9" w14:textId="725CF7C9" w:rsidR="003A195C" w:rsidRPr="004F20E7" w:rsidRDefault="003A195C" w:rsidP="003A195C">
            <w:pPr>
              <w:jc w:val="both"/>
              <w:rPr>
                <w:rFonts w:eastAsia="Times New Roman" w:cstheme="minorHAnsi"/>
                <w:color w:val="000000" w:themeColor="text1"/>
                <w:lang w:val="fr-FR" w:eastAsia="rw-RW"/>
              </w:rPr>
            </w:pPr>
            <w:r w:rsidRPr="004F20E7">
              <w:rPr>
                <w:rFonts w:eastAsia="Times New Roman" w:cstheme="minorHAnsi"/>
                <w:color w:val="000000" w:themeColor="text1"/>
                <w:lang w:val="fr-FR" w:eastAsia="rw-RW"/>
              </w:rPr>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4F20E7" w:rsidRDefault="00F30D52" w:rsidP="003A195C">
            <w:pPr>
              <w:jc w:val="both"/>
              <w:rPr>
                <w:rFonts w:eastAsia="Times New Roman" w:cstheme="minorHAnsi"/>
                <w:color w:val="000000" w:themeColor="text1"/>
                <w:lang w:val="fr-FR" w:eastAsia="rw-RW"/>
              </w:rPr>
            </w:pPr>
          </w:p>
          <w:p w14:paraId="457CCA32" w14:textId="1493C0E7" w:rsidR="003A195C" w:rsidRPr="004F20E7" w:rsidRDefault="003A195C" w:rsidP="00625E6D">
            <w:pPr>
              <w:pStyle w:val="Paragraphedeliste"/>
              <w:numPr>
                <w:ilvl w:val="0"/>
                <w:numId w:val="6"/>
              </w:numPr>
              <w:jc w:val="both"/>
              <w:rPr>
                <w:rFonts w:eastAsia="Times New Roman" w:cstheme="minorHAnsi"/>
                <w:b/>
                <w:i/>
                <w:color w:val="000000" w:themeColor="text1"/>
                <w:lang w:val="fr-FR" w:eastAsia="rw-RW"/>
              </w:rPr>
            </w:pPr>
            <w:r w:rsidRPr="004F20E7">
              <w:rPr>
                <w:rFonts w:eastAsia="Times New Roman" w:cstheme="minorHAnsi"/>
                <w:b/>
                <w:i/>
                <w:color w:val="000000" w:themeColor="text1"/>
                <w:lang w:val="fr-FR" w:eastAsia="rw-RW"/>
              </w:rPr>
              <w:t>Note financière A = [(Offre financière la moins disante) /Offre financière de A] x 30</w:t>
            </w:r>
          </w:p>
          <w:p w14:paraId="035C269A" w14:textId="77777777" w:rsidR="003A195C" w:rsidRPr="004F20E7" w:rsidRDefault="003A195C" w:rsidP="003A195C">
            <w:pPr>
              <w:pStyle w:val="Paragraphedeliste"/>
              <w:jc w:val="both"/>
              <w:rPr>
                <w:rFonts w:eastAsia="Times New Roman" w:cstheme="minorHAnsi"/>
                <w:b/>
                <w:i/>
                <w:color w:val="000000" w:themeColor="text1"/>
                <w:lang w:val="fr-FR" w:eastAsia="rw-RW"/>
              </w:rPr>
            </w:pPr>
          </w:p>
          <w:p w14:paraId="5F65B67B" w14:textId="77777777" w:rsidR="003A195C" w:rsidRPr="004F20E7" w:rsidRDefault="003A195C" w:rsidP="003A195C">
            <w:pPr>
              <w:jc w:val="both"/>
              <w:rPr>
                <w:rFonts w:eastAsia="Times New Roman" w:cstheme="minorHAnsi"/>
                <w:b/>
                <w:color w:val="000000" w:themeColor="text1"/>
                <w:lang w:val="fr-FR" w:eastAsia="rw-RW"/>
              </w:rPr>
            </w:pPr>
            <w:r w:rsidRPr="004F20E7">
              <w:rPr>
                <w:rFonts w:eastAsia="Times New Roman" w:cstheme="minorHAnsi"/>
                <w:b/>
                <w:color w:val="000000" w:themeColor="text1"/>
                <w:lang w:val="fr-FR" w:eastAsia="rw-RW"/>
              </w:rPr>
              <w:t>Le/la Consultant (e) avec le cumul de notes (Technique + Financière) le plus élevé sera retenu pour le contrat.</w:t>
            </w:r>
          </w:p>
          <w:p w14:paraId="5C16701D" w14:textId="77777777" w:rsidR="003A195C" w:rsidRPr="004F20E7" w:rsidRDefault="003A195C" w:rsidP="003A195C">
            <w:pPr>
              <w:jc w:val="both"/>
              <w:rPr>
                <w:rFonts w:cstheme="minorHAnsi"/>
                <w:b/>
                <w:i/>
                <w:color w:val="000000" w:themeColor="text1"/>
                <w:lang w:val="fr-FR"/>
              </w:rPr>
            </w:pPr>
          </w:p>
          <w:p w14:paraId="63D7E3CC" w14:textId="77777777"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14:paraId="6C4AEC16" w14:textId="77777777" w:rsidR="003A195C" w:rsidRPr="004F20E7" w:rsidRDefault="003A195C" w:rsidP="003A195C">
            <w:pPr>
              <w:jc w:val="both"/>
              <w:rPr>
                <w:rFonts w:eastAsia="Times New Roman"/>
                <w:bCs/>
                <w:color w:val="000000" w:themeColor="text1"/>
                <w:lang w:val="fr-FR" w:eastAsia="rw-RW"/>
              </w:rPr>
            </w:pPr>
          </w:p>
          <w:p w14:paraId="5C981D38" w14:textId="34F90911" w:rsidR="00EF31F4"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 xml:space="preserve">Le/la consultant/e devra inclure tous les frais lui permettant d’exécuter la mission suivant la durée prévue. </w:t>
            </w:r>
          </w:p>
          <w:p w14:paraId="40C25A9D" w14:textId="77777777" w:rsidR="00EF31F4" w:rsidRPr="004F20E7" w:rsidRDefault="00EF31F4" w:rsidP="003A195C">
            <w:pPr>
              <w:jc w:val="both"/>
              <w:rPr>
                <w:rFonts w:eastAsia="Times New Roman"/>
                <w:bCs/>
                <w:color w:val="000000" w:themeColor="text1"/>
                <w:lang w:val="fr-FR" w:eastAsia="rw-RW"/>
              </w:rPr>
            </w:pPr>
          </w:p>
          <w:p w14:paraId="1150062D" w14:textId="52A5E155" w:rsidR="003A195C" w:rsidRPr="004F20E7" w:rsidRDefault="003A195C" w:rsidP="003A195C">
            <w:pPr>
              <w:jc w:val="both"/>
              <w:rPr>
                <w:rFonts w:eastAsia="Times New Roman"/>
                <w:bCs/>
                <w:color w:val="000000" w:themeColor="text1"/>
                <w:lang w:val="fr-FR" w:eastAsia="rw-RW"/>
              </w:rPr>
            </w:pPr>
            <w:r w:rsidRPr="004F20E7">
              <w:rPr>
                <w:rFonts w:eastAsia="Times New Roman"/>
                <w:bCs/>
                <w:color w:val="000000" w:themeColor="text1"/>
                <w:lang w:val="fr-FR" w:eastAsia="rw-RW"/>
              </w:rPr>
              <w:t>Les paiements seront effectués sur la base de la production des livrables tels que mentionné dans la Section 3 – Livrables et Tranches de Paiement.</w:t>
            </w:r>
          </w:p>
          <w:p w14:paraId="46099B54" w14:textId="77777777" w:rsidR="003A195C" w:rsidRPr="004F20E7" w:rsidRDefault="003A195C" w:rsidP="003A195C">
            <w:pPr>
              <w:jc w:val="both"/>
              <w:rPr>
                <w:rFonts w:cstheme="minorHAnsi"/>
                <w:b/>
                <w:i/>
                <w:color w:val="000000" w:themeColor="text1"/>
                <w:lang w:val="fr-FR"/>
              </w:rPr>
            </w:pPr>
          </w:p>
          <w:p w14:paraId="67F13CA9" w14:textId="7998BB15" w:rsidR="00443E94" w:rsidRPr="004F20E7" w:rsidRDefault="003A195C" w:rsidP="003A195C">
            <w:pPr>
              <w:jc w:val="both"/>
              <w:rPr>
                <w:rFonts w:cstheme="minorHAnsi"/>
                <w:b/>
                <w:i/>
                <w:color w:val="000000" w:themeColor="text1"/>
                <w:lang w:val="fr-FR"/>
              </w:rPr>
            </w:pPr>
            <w:r w:rsidRPr="004F20E7">
              <w:rPr>
                <w:rFonts w:cstheme="minorHAnsi"/>
                <w:b/>
                <w:i/>
                <w:color w:val="000000" w:themeColor="text1"/>
                <w:lang w:val="fr-FR"/>
              </w:rPr>
              <w:t>Seulement les candidats ayant obtenu la note minimale combinée de 70/100 à l´évaluation technique seront considérés pour l’évaluation financière.</w:t>
            </w:r>
          </w:p>
        </w:tc>
      </w:tr>
    </w:tbl>
    <w:p w14:paraId="0C2C23F6" w14:textId="148D8715" w:rsidR="003A195C" w:rsidRPr="004F20E7" w:rsidRDefault="003A195C" w:rsidP="00C3053C">
      <w:pPr>
        <w:rPr>
          <w:rFonts w:cstheme="minorHAnsi"/>
          <w:b/>
          <w:color w:val="000000" w:themeColor="text1"/>
          <w:lang w:val="fr-FR"/>
        </w:rPr>
      </w:pPr>
    </w:p>
    <w:p w14:paraId="4A14E738" w14:textId="56964EF4" w:rsidR="00C3053C" w:rsidRPr="004F20E7" w:rsidRDefault="00D52632" w:rsidP="00C3053C">
      <w:pPr>
        <w:rPr>
          <w:rFonts w:cstheme="minorHAnsi"/>
          <w:b/>
          <w:color w:val="000000" w:themeColor="text1"/>
          <w:lang w:val="fr-FR"/>
        </w:rPr>
      </w:pPr>
      <w:r w:rsidRPr="004F20E7">
        <w:rPr>
          <w:rFonts w:cstheme="minorHAnsi"/>
          <w:b/>
          <w:color w:val="000000" w:themeColor="text1"/>
        </w:rPr>
        <w:t>9</w:t>
      </w:r>
      <w:r w:rsidR="00C3053C" w:rsidRPr="004F20E7">
        <w:rPr>
          <w:rFonts w:cstheme="minorHAnsi"/>
          <w:b/>
          <w:color w:val="000000" w:themeColor="text1"/>
        </w:rPr>
        <w:t xml:space="preserve">. </w:t>
      </w:r>
      <w:r w:rsidR="00C3053C" w:rsidRPr="004F20E7">
        <w:rPr>
          <w:rFonts w:eastAsia="Calibri" w:cstheme="minorHAnsi"/>
          <w:b/>
          <w:color w:val="000000" w:themeColor="text1"/>
          <w:lang w:val="fr-FR"/>
        </w:rPr>
        <w:t>Autres informations pertinentes</w:t>
      </w:r>
    </w:p>
    <w:tbl>
      <w:tblPr>
        <w:tblStyle w:val="Grilledutableau"/>
        <w:tblW w:w="0" w:type="auto"/>
        <w:tblLook w:val="04A0" w:firstRow="1" w:lastRow="0" w:firstColumn="1" w:lastColumn="0" w:noHBand="0" w:noVBand="1"/>
      </w:tblPr>
      <w:tblGrid>
        <w:gridCol w:w="9350"/>
      </w:tblGrid>
      <w:tr w:rsidR="004F20E7" w:rsidRPr="004A6EEF" w14:paraId="42896A12" w14:textId="77777777" w:rsidTr="003A195C">
        <w:trPr>
          <w:trHeight w:val="2006"/>
        </w:trPr>
        <w:tc>
          <w:tcPr>
            <w:tcW w:w="9576" w:type="dxa"/>
          </w:tcPr>
          <w:p w14:paraId="1EF7382C" w14:textId="77777777" w:rsidR="00C3053C" w:rsidRPr="004F20E7" w:rsidRDefault="00C3053C" w:rsidP="00C3053C">
            <w:pPr>
              <w:rPr>
                <w:rFonts w:cstheme="minorHAnsi"/>
                <w:color w:val="000000" w:themeColor="text1"/>
                <w:lang w:val="fr-FR"/>
              </w:rPr>
            </w:pPr>
            <w:r w:rsidRPr="004F20E7">
              <w:rPr>
                <w:rFonts w:cstheme="minorHAnsi"/>
                <w:color w:val="000000" w:themeColor="text1"/>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4F20E7" w:rsidRDefault="00C3053C" w:rsidP="00C3053C">
            <w:pPr>
              <w:rPr>
                <w:rFonts w:cstheme="minorHAnsi"/>
                <w:color w:val="000000" w:themeColor="text1"/>
                <w:lang w:val="fr-FR"/>
              </w:rPr>
            </w:pPr>
          </w:p>
          <w:p w14:paraId="6B5F4FE8" w14:textId="77777777" w:rsidR="00C3053C" w:rsidRPr="004F20E7" w:rsidRDefault="00C3053C" w:rsidP="00DC6C23">
            <w:pPr>
              <w:rPr>
                <w:rFonts w:cstheme="minorHAnsi"/>
                <w:color w:val="000000" w:themeColor="text1"/>
                <w:lang w:val="fr-FR"/>
              </w:rPr>
            </w:pPr>
            <w:r w:rsidRPr="004F20E7">
              <w:rPr>
                <w:rFonts w:cstheme="minorHAnsi"/>
                <w:color w:val="000000" w:themeColor="text1"/>
                <w:lang w:val="fr-FR"/>
              </w:rPr>
              <w:t xml:space="preserve">Le consultant retenu devra prendre toutes les dispositions nécessaires pour faire les </w:t>
            </w:r>
            <w:r w:rsidRPr="004F20E7">
              <w:rPr>
                <w:rFonts w:cstheme="minorHAnsi"/>
                <w:b/>
                <w:color w:val="000000" w:themeColor="text1"/>
                <w:lang w:val="fr-FR"/>
              </w:rPr>
              <w:t xml:space="preserve">formations sécuritaires requises </w:t>
            </w:r>
            <w:r w:rsidRPr="004F20E7">
              <w:rPr>
                <w:rFonts w:cstheme="minorHAnsi"/>
                <w:color w:val="000000" w:themeColor="text1"/>
                <w:lang w:val="fr-FR"/>
              </w:rPr>
              <w:t>avant tout démarrage de mission (ces certificats sont obtenus en ligne, le PNUD fournira tous les détails au consultant retenu au moment de l´attribution du contrat).</w:t>
            </w:r>
          </w:p>
        </w:tc>
      </w:tr>
    </w:tbl>
    <w:p w14:paraId="050D5CBB" w14:textId="77777777" w:rsidR="0018325D" w:rsidRPr="004F20E7" w:rsidRDefault="0018325D" w:rsidP="00A24134">
      <w:pPr>
        <w:rPr>
          <w:rFonts w:cstheme="minorHAnsi"/>
          <w:b/>
          <w:color w:val="000000" w:themeColor="text1"/>
          <w:u w:val="single"/>
          <w:lang w:val="fr-FR"/>
        </w:rPr>
      </w:pPr>
    </w:p>
    <w:p w14:paraId="6CAB27E1" w14:textId="77777777" w:rsidR="00EA50D0" w:rsidRPr="004F20E7" w:rsidRDefault="002A1486" w:rsidP="00A24134">
      <w:pPr>
        <w:rPr>
          <w:rFonts w:cstheme="minorHAnsi"/>
          <w:b/>
          <w:color w:val="000000" w:themeColor="text1"/>
          <w:u w:val="single"/>
          <w:lang w:val="fr-FR"/>
        </w:rPr>
      </w:pPr>
      <w:r w:rsidRPr="004F20E7">
        <w:rPr>
          <w:rFonts w:cstheme="minorHAnsi"/>
          <w:b/>
          <w:color w:val="000000" w:themeColor="text1"/>
          <w:u w:val="single"/>
          <w:lang w:val="fr-FR"/>
        </w:rPr>
        <w:lastRenderedPageBreak/>
        <w:t>ANNEX</w:t>
      </w:r>
      <w:r w:rsidR="00852471" w:rsidRPr="004F20E7">
        <w:rPr>
          <w:rFonts w:cstheme="minorHAnsi"/>
          <w:b/>
          <w:color w:val="000000" w:themeColor="text1"/>
          <w:u w:val="single"/>
          <w:lang w:val="fr-FR"/>
        </w:rPr>
        <w:t>ES</w:t>
      </w:r>
    </w:p>
    <w:p w14:paraId="7D25DA8C" w14:textId="627D4DC1" w:rsidR="00103276" w:rsidRPr="004F20E7" w:rsidRDefault="0082245E" w:rsidP="00A24134">
      <w:pPr>
        <w:rPr>
          <w:rFonts w:cstheme="minorHAnsi"/>
          <w:b/>
          <w:color w:val="000000" w:themeColor="text1"/>
          <w:lang w:val="fr-FR"/>
        </w:rPr>
      </w:pPr>
      <w:r w:rsidRPr="004F20E7">
        <w:rPr>
          <w:rFonts w:cstheme="minorHAnsi"/>
          <w:b/>
          <w:color w:val="000000" w:themeColor="text1"/>
          <w:lang w:val="fr-FR"/>
        </w:rPr>
        <w:t>ANNEX</w:t>
      </w:r>
      <w:r w:rsidR="003A195C" w:rsidRPr="004F20E7">
        <w:rPr>
          <w:rFonts w:cstheme="minorHAnsi"/>
          <w:b/>
          <w:color w:val="000000" w:themeColor="text1"/>
          <w:lang w:val="fr-FR"/>
        </w:rPr>
        <w:t>E</w:t>
      </w:r>
      <w:r w:rsidRPr="004F20E7">
        <w:rPr>
          <w:rFonts w:cstheme="minorHAnsi"/>
          <w:b/>
          <w:color w:val="000000" w:themeColor="text1"/>
          <w:lang w:val="fr-FR"/>
        </w:rPr>
        <w:t xml:space="preserve"> 1</w:t>
      </w:r>
      <w:r w:rsidR="00167362" w:rsidRPr="004F20E7">
        <w:rPr>
          <w:rFonts w:cstheme="minorHAnsi"/>
          <w:b/>
          <w:color w:val="000000" w:themeColor="text1"/>
          <w:lang w:val="fr-FR"/>
        </w:rPr>
        <w:t xml:space="preserve"> – Termes et Conditions des contrats IC (Individual Contracts)</w:t>
      </w:r>
    </w:p>
    <w:bookmarkStart w:id="14" w:name="_MON_1440321617"/>
    <w:bookmarkEnd w:id="14"/>
    <w:p w14:paraId="303E17C9" w14:textId="77777777" w:rsidR="004B1614" w:rsidRPr="004F20E7" w:rsidRDefault="00A24A6D" w:rsidP="00A24134">
      <w:pPr>
        <w:rPr>
          <w:rFonts w:cstheme="minorHAnsi"/>
          <w:b/>
          <w:color w:val="000000" w:themeColor="text1"/>
          <w:lang w:val="fr-FR"/>
        </w:rPr>
      </w:pPr>
      <w:r w:rsidRPr="004F20E7">
        <w:rPr>
          <w:rFonts w:eastAsia="Times New Roman" w:cstheme="minorHAnsi"/>
          <w:b/>
          <w:noProof/>
          <w:color w:val="000000" w:themeColor="text1"/>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49.5pt;mso-width-percent:0;mso-height-percent:0;mso-width-percent:0;mso-height-percent:0" o:ole="">
            <v:imagedata r:id="rId14" o:title=""/>
          </v:shape>
          <o:OLEObject Type="Embed" ProgID="Word.Document.12" ShapeID="_x0000_i1025" DrawAspect="Icon" ObjectID="_1664779225" r:id="rId15">
            <o:FieldCodes>\s</o:FieldCodes>
          </o:OLEObject>
        </w:object>
      </w:r>
    </w:p>
    <w:p w14:paraId="0EF7A4FD" w14:textId="0AE0906C" w:rsidR="003A195C" w:rsidRPr="004F20E7" w:rsidRDefault="003A195C" w:rsidP="003A195C">
      <w:pPr>
        <w:rPr>
          <w:rFonts w:eastAsia="Times New Roman" w:cstheme="minorHAnsi"/>
          <w:b/>
          <w:noProof/>
          <w:color w:val="000000" w:themeColor="text1"/>
          <w:lang w:val="fr-FR" w:eastAsia="rw-RW"/>
        </w:rPr>
      </w:pPr>
      <w:r w:rsidRPr="004F20E7">
        <w:rPr>
          <w:rFonts w:cstheme="minorHAnsi"/>
          <w:b/>
          <w:color w:val="000000" w:themeColor="text1"/>
          <w:lang w:val="fr-FR"/>
        </w:rPr>
        <w:t>ANNEXE 2 – Lettre de soumission au PNUD confirmant l´intérêt et la disponibilité du prestataire individuel (IC) pour la mission (y compris le tableau des couts)</w:t>
      </w:r>
    </w:p>
    <w:bookmarkStart w:id="15" w:name="_MON_1642487187"/>
    <w:bookmarkEnd w:id="15"/>
    <w:p w14:paraId="4D81453E" w14:textId="77777777" w:rsidR="003A195C" w:rsidRPr="004F20E7" w:rsidRDefault="003A195C" w:rsidP="003A195C">
      <w:pPr>
        <w:rPr>
          <w:rFonts w:cstheme="minorHAnsi"/>
          <w:b/>
          <w:noProof/>
          <w:color w:val="000000" w:themeColor="text1"/>
          <w:lang w:val="fr-FR"/>
        </w:rPr>
      </w:pPr>
      <w:r w:rsidRPr="004F20E7">
        <w:rPr>
          <w:rFonts w:cstheme="minorHAnsi"/>
          <w:b/>
          <w:noProof/>
          <w:color w:val="000000" w:themeColor="text1"/>
          <w:lang w:val="fr-FR"/>
        </w:rPr>
        <w:object w:dxaOrig="1478" w:dyaOrig="973" w14:anchorId="0ADE588C">
          <v:shape id="_x0000_i1026" type="#_x0000_t75" style="width:1in;height:50.25pt" o:ole="">
            <v:imagedata r:id="rId16" o:title=""/>
          </v:shape>
          <o:OLEObject Type="Embed" ProgID="Word.Document.12" ShapeID="_x0000_i1026" DrawAspect="Icon" ObjectID="_1664779226" r:id="rId17">
            <o:FieldCodes>\s</o:FieldCodes>
          </o:OLEObject>
        </w:object>
      </w:r>
    </w:p>
    <w:p w14:paraId="36C0255C" w14:textId="0750AD13" w:rsidR="00240981" w:rsidRPr="004F20E7" w:rsidRDefault="00240981" w:rsidP="00C3053C">
      <w:pPr>
        <w:rPr>
          <w:rFonts w:cstheme="minorHAnsi"/>
          <w:b/>
          <w:color w:val="000000" w:themeColor="text1"/>
          <w:lang w:val="fr-FR"/>
        </w:rPr>
      </w:pPr>
    </w:p>
    <w:p w14:paraId="3D0C6CDF" w14:textId="20B97EFB" w:rsidR="00EB6C4D" w:rsidRPr="004F20E7" w:rsidRDefault="00EB6C4D" w:rsidP="00EB6C4D">
      <w:pPr>
        <w:rPr>
          <w:rFonts w:cstheme="minorHAnsi"/>
          <w:color w:val="000000" w:themeColor="text1"/>
          <w:lang w:val="fr-FR"/>
        </w:rPr>
      </w:pPr>
    </w:p>
    <w:p w14:paraId="0749201B" w14:textId="1B6152C6" w:rsidR="00EB6C4D" w:rsidRPr="004F20E7" w:rsidRDefault="00EB6C4D" w:rsidP="00EB6C4D">
      <w:pPr>
        <w:rPr>
          <w:rFonts w:cstheme="minorHAnsi"/>
          <w:color w:val="000000" w:themeColor="text1"/>
          <w:lang w:val="fr-FR"/>
        </w:rPr>
      </w:pPr>
    </w:p>
    <w:p w14:paraId="7FB13AC9" w14:textId="4D292E73" w:rsidR="00EB6C4D" w:rsidRPr="004F20E7" w:rsidRDefault="00EB6C4D" w:rsidP="00EB6C4D">
      <w:pPr>
        <w:tabs>
          <w:tab w:val="left" w:pos="3210"/>
        </w:tabs>
        <w:rPr>
          <w:rFonts w:cstheme="minorHAnsi"/>
          <w:color w:val="000000" w:themeColor="text1"/>
          <w:lang w:val="fr-FR"/>
        </w:rPr>
      </w:pPr>
      <w:r w:rsidRPr="004F20E7">
        <w:rPr>
          <w:rFonts w:cstheme="minorHAnsi"/>
          <w:color w:val="000000" w:themeColor="text1"/>
          <w:lang w:val="fr-FR"/>
        </w:rPr>
        <w:tab/>
      </w:r>
    </w:p>
    <w:sectPr w:rsidR="00EB6C4D" w:rsidRPr="004F20E7"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2C3FB" w14:textId="77777777" w:rsidR="001B3E3C" w:rsidRDefault="001B3E3C" w:rsidP="00A24134">
      <w:pPr>
        <w:spacing w:after="0" w:line="240" w:lineRule="auto"/>
      </w:pPr>
      <w:r>
        <w:separator/>
      </w:r>
    </w:p>
  </w:endnote>
  <w:endnote w:type="continuationSeparator" w:id="0">
    <w:p w14:paraId="794DB7EB" w14:textId="77777777" w:rsidR="001B3E3C" w:rsidRDefault="001B3E3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076B" w14:textId="2501F3CA" w:rsidR="00A064CF" w:rsidRPr="002E54A1" w:rsidRDefault="00A064CF" w:rsidP="00A064CF">
    <w:pPr>
      <w:spacing w:after="0" w:line="240" w:lineRule="auto"/>
      <w:rPr>
        <w:rFonts w:eastAsia="Times New Roman"/>
        <w:b/>
        <w:lang w:val="fr-FR" w:eastAsia="rw-RW"/>
      </w:rPr>
    </w:pPr>
    <w:r w:rsidRPr="002E54A1">
      <w:rPr>
        <w:rFonts w:eastAsia="Times New Roman"/>
        <w:b/>
        <w:lang w:val="fr-FR" w:eastAsia="rw-RW"/>
      </w:rPr>
      <w:t>Référence du dossier :</w:t>
    </w:r>
    <w:r w:rsidR="00CA75FC" w:rsidRPr="00CA75FC">
      <w:rPr>
        <w:rFonts w:eastAsia="Times New Roman"/>
        <w:b/>
        <w:lang w:val="fr-FR" w:eastAsia="rw-RW"/>
      </w:rPr>
      <w:t xml:space="preserve"> </w:t>
    </w:r>
    <w:r w:rsidR="00551AE9" w:rsidRPr="004F20E7">
      <w:rPr>
        <w:rFonts w:eastAsia="Times New Roman"/>
        <w:b/>
        <w:color w:val="000000" w:themeColor="text1"/>
        <w:lang w:val="fr-FR" w:eastAsia="rw-RW"/>
      </w:rPr>
      <w:t>0</w:t>
    </w:r>
    <w:r w:rsidR="00551AE9">
      <w:rPr>
        <w:rFonts w:eastAsia="Times New Roman"/>
        <w:b/>
        <w:color w:val="000000" w:themeColor="text1"/>
        <w:lang w:val="fr-FR" w:eastAsia="rw-RW"/>
      </w:rPr>
      <w:t>6</w:t>
    </w:r>
    <w:r w:rsidR="005843FB">
      <w:rPr>
        <w:rFonts w:eastAsia="Times New Roman"/>
        <w:b/>
        <w:color w:val="000000" w:themeColor="text1"/>
        <w:lang w:val="fr-FR" w:eastAsia="rw-RW"/>
      </w:rPr>
      <w:t>5</w:t>
    </w:r>
    <w:r w:rsidR="00551AE9" w:rsidRPr="004F20E7">
      <w:rPr>
        <w:rFonts w:eastAsia="Times New Roman"/>
        <w:b/>
        <w:color w:val="000000" w:themeColor="text1"/>
        <w:lang w:val="fr-FR" w:eastAsia="rw-RW"/>
      </w:rPr>
      <w:t>/IC-NAT/</w:t>
    </w:r>
    <w:r w:rsidR="00551AE9">
      <w:rPr>
        <w:rFonts w:eastAsia="Times New Roman"/>
        <w:b/>
        <w:color w:val="000000" w:themeColor="text1"/>
        <w:lang w:val="fr-FR" w:eastAsia="rw-RW"/>
      </w:rPr>
      <w:t>PPBSE</w:t>
    </w:r>
    <w:r w:rsidR="00551AE9" w:rsidRPr="004F20E7">
      <w:rPr>
        <w:rFonts w:eastAsia="Times New Roman"/>
        <w:b/>
        <w:color w:val="000000" w:themeColor="text1"/>
        <w:lang w:val="fr-FR" w:eastAsia="rw-RW"/>
      </w:rPr>
      <w:t>/2020</w:t>
    </w:r>
  </w:p>
  <w:p w14:paraId="065DB8CA" w14:textId="0981C62B" w:rsidR="003343CB" w:rsidRPr="00A064CF" w:rsidRDefault="003343CB" w:rsidP="003F640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9213F" w14:textId="77777777" w:rsidR="001B3E3C" w:rsidRDefault="001B3E3C" w:rsidP="00A24134">
      <w:pPr>
        <w:spacing w:after="0" w:line="240" w:lineRule="auto"/>
      </w:pPr>
      <w:r>
        <w:separator/>
      </w:r>
    </w:p>
  </w:footnote>
  <w:footnote w:type="continuationSeparator" w:id="0">
    <w:p w14:paraId="454303F2" w14:textId="77777777" w:rsidR="001B3E3C" w:rsidRDefault="001B3E3C" w:rsidP="00A24134">
      <w:pPr>
        <w:spacing w:after="0" w:line="240" w:lineRule="auto"/>
      </w:pPr>
      <w:r>
        <w:continuationSeparator/>
      </w:r>
    </w:p>
  </w:footnote>
  <w:footnote w:id="1">
    <w:p w14:paraId="673F3E7A" w14:textId="77777777" w:rsidR="00ED387C" w:rsidRPr="00DE430C" w:rsidRDefault="00ED387C" w:rsidP="00ED387C">
      <w:pPr>
        <w:pStyle w:val="Notedebasdepage"/>
      </w:pPr>
      <w:r>
        <w:rPr>
          <w:rStyle w:val="Appelnotedebasdep"/>
        </w:rPr>
        <w:footnoteRef/>
      </w:r>
      <w:r>
        <w:t xml:space="preserve"> </w:t>
      </w:r>
      <w:r w:rsidRPr="00DE430C">
        <w:t>Gestion des Finances Publiques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69C7"/>
    <w:multiLevelType w:val="hybridMultilevel"/>
    <w:tmpl w:val="956CDB3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9502D"/>
    <w:multiLevelType w:val="hybridMultilevel"/>
    <w:tmpl w:val="7026F8F2"/>
    <w:lvl w:ilvl="0" w:tplc="240C0005">
      <w:start w:val="1"/>
      <w:numFmt w:val="bullet"/>
      <w:lvlText w:val=""/>
      <w:lvlJc w:val="left"/>
      <w:pPr>
        <w:ind w:left="768" w:hanging="360"/>
      </w:pPr>
      <w:rPr>
        <w:rFonts w:ascii="Wingdings" w:hAnsi="Wingdings" w:hint="default"/>
      </w:rPr>
    </w:lvl>
    <w:lvl w:ilvl="1" w:tplc="240C0003" w:tentative="1">
      <w:start w:val="1"/>
      <w:numFmt w:val="bullet"/>
      <w:lvlText w:val="o"/>
      <w:lvlJc w:val="left"/>
      <w:pPr>
        <w:ind w:left="1488" w:hanging="360"/>
      </w:pPr>
      <w:rPr>
        <w:rFonts w:ascii="Courier New" w:hAnsi="Courier New" w:cs="Courier New" w:hint="default"/>
      </w:rPr>
    </w:lvl>
    <w:lvl w:ilvl="2" w:tplc="240C0005" w:tentative="1">
      <w:start w:val="1"/>
      <w:numFmt w:val="bullet"/>
      <w:lvlText w:val=""/>
      <w:lvlJc w:val="left"/>
      <w:pPr>
        <w:ind w:left="2208" w:hanging="360"/>
      </w:pPr>
      <w:rPr>
        <w:rFonts w:ascii="Wingdings" w:hAnsi="Wingdings" w:hint="default"/>
      </w:rPr>
    </w:lvl>
    <w:lvl w:ilvl="3" w:tplc="240C0001" w:tentative="1">
      <w:start w:val="1"/>
      <w:numFmt w:val="bullet"/>
      <w:lvlText w:val=""/>
      <w:lvlJc w:val="left"/>
      <w:pPr>
        <w:ind w:left="2928" w:hanging="360"/>
      </w:pPr>
      <w:rPr>
        <w:rFonts w:ascii="Symbol" w:hAnsi="Symbol" w:hint="default"/>
      </w:rPr>
    </w:lvl>
    <w:lvl w:ilvl="4" w:tplc="240C0003" w:tentative="1">
      <w:start w:val="1"/>
      <w:numFmt w:val="bullet"/>
      <w:lvlText w:val="o"/>
      <w:lvlJc w:val="left"/>
      <w:pPr>
        <w:ind w:left="3648" w:hanging="360"/>
      </w:pPr>
      <w:rPr>
        <w:rFonts w:ascii="Courier New" w:hAnsi="Courier New" w:cs="Courier New" w:hint="default"/>
      </w:rPr>
    </w:lvl>
    <w:lvl w:ilvl="5" w:tplc="240C0005" w:tentative="1">
      <w:start w:val="1"/>
      <w:numFmt w:val="bullet"/>
      <w:lvlText w:val=""/>
      <w:lvlJc w:val="left"/>
      <w:pPr>
        <w:ind w:left="4368" w:hanging="360"/>
      </w:pPr>
      <w:rPr>
        <w:rFonts w:ascii="Wingdings" w:hAnsi="Wingdings" w:hint="default"/>
      </w:rPr>
    </w:lvl>
    <w:lvl w:ilvl="6" w:tplc="240C0001" w:tentative="1">
      <w:start w:val="1"/>
      <w:numFmt w:val="bullet"/>
      <w:lvlText w:val=""/>
      <w:lvlJc w:val="left"/>
      <w:pPr>
        <w:ind w:left="5088" w:hanging="360"/>
      </w:pPr>
      <w:rPr>
        <w:rFonts w:ascii="Symbol" w:hAnsi="Symbol" w:hint="default"/>
      </w:rPr>
    </w:lvl>
    <w:lvl w:ilvl="7" w:tplc="240C0003" w:tentative="1">
      <w:start w:val="1"/>
      <w:numFmt w:val="bullet"/>
      <w:lvlText w:val="o"/>
      <w:lvlJc w:val="left"/>
      <w:pPr>
        <w:ind w:left="5808" w:hanging="360"/>
      </w:pPr>
      <w:rPr>
        <w:rFonts w:ascii="Courier New" w:hAnsi="Courier New" w:cs="Courier New" w:hint="default"/>
      </w:rPr>
    </w:lvl>
    <w:lvl w:ilvl="8" w:tplc="240C0005" w:tentative="1">
      <w:start w:val="1"/>
      <w:numFmt w:val="bullet"/>
      <w:lvlText w:val=""/>
      <w:lvlJc w:val="left"/>
      <w:pPr>
        <w:ind w:left="6528" w:hanging="360"/>
      </w:pPr>
      <w:rPr>
        <w:rFonts w:ascii="Wingdings" w:hAnsi="Wingdings" w:hint="default"/>
      </w:rPr>
    </w:lvl>
  </w:abstractNum>
  <w:abstractNum w:abstractNumId="2" w15:restartNumberingAfterBreak="0">
    <w:nsid w:val="199637E5"/>
    <w:multiLevelType w:val="hybridMultilevel"/>
    <w:tmpl w:val="1AD4858C"/>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207F6BAE"/>
    <w:multiLevelType w:val="multilevel"/>
    <w:tmpl w:val="32DEB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66D55"/>
    <w:multiLevelType w:val="hybridMultilevel"/>
    <w:tmpl w:val="1CFAFEB8"/>
    <w:lvl w:ilvl="0" w:tplc="240C000B">
      <w:start w:val="1"/>
      <w:numFmt w:val="bullet"/>
      <w:lvlText w:val=""/>
      <w:lvlJc w:val="left"/>
      <w:pPr>
        <w:ind w:left="720" w:hanging="360"/>
      </w:pPr>
      <w:rPr>
        <w:rFonts w:ascii="Wingdings" w:hAnsi="Wingdings" w:hint="default"/>
      </w:rPr>
    </w:lvl>
    <w:lvl w:ilvl="1" w:tplc="5DB6A61C">
      <w:numFmt w:val="bullet"/>
      <w:lvlText w:val="·"/>
      <w:lvlJc w:val="left"/>
      <w:pPr>
        <w:ind w:left="1440" w:hanging="360"/>
      </w:pPr>
      <w:rPr>
        <w:rFonts w:ascii="Calibri" w:eastAsiaTheme="minorHAnsi" w:hAnsi="Calibri" w:cs="Calibri"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5" w15:restartNumberingAfterBreak="0">
    <w:nsid w:val="29EB5320"/>
    <w:multiLevelType w:val="hybridMultilevel"/>
    <w:tmpl w:val="8E98D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393B"/>
    <w:multiLevelType w:val="hybridMultilevel"/>
    <w:tmpl w:val="9EE8A3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15:restartNumberingAfterBreak="0">
    <w:nsid w:val="79614D39"/>
    <w:multiLevelType w:val="hybridMultilevel"/>
    <w:tmpl w:val="214A7E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12"/>
  </w:num>
  <w:num w:numId="6">
    <w:abstractNumId w:val="7"/>
  </w:num>
  <w:num w:numId="7">
    <w:abstractNumId w:val="0"/>
  </w:num>
  <w:num w:numId="8">
    <w:abstractNumId w:val="3"/>
  </w:num>
  <w:num w:numId="9">
    <w:abstractNumId w:val="13"/>
  </w:num>
  <w:num w:numId="10">
    <w:abstractNumId w:val="1"/>
  </w:num>
  <w:num w:numId="11">
    <w:abstractNumId w:val="5"/>
  </w:num>
  <w:num w:numId="12">
    <w:abstractNumId w:val="8"/>
  </w:num>
  <w:num w:numId="13">
    <w:abstractNumId w:val="4"/>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284B"/>
    <w:rsid w:val="00023420"/>
    <w:rsid w:val="000247EB"/>
    <w:rsid w:val="00033771"/>
    <w:rsid w:val="000440EC"/>
    <w:rsid w:val="00057DA8"/>
    <w:rsid w:val="00074EFA"/>
    <w:rsid w:val="00076BC5"/>
    <w:rsid w:val="0008283A"/>
    <w:rsid w:val="000853CD"/>
    <w:rsid w:val="00086485"/>
    <w:rsid w:val="00092DBB"/>
    <w:rsid w:val="000964DE"/>
    <w:rsid w:val="00097CE8"/>
    <w:rsid w:val="000A6107"/>
    <w:rsid w:val="000A6993"/>
    <w:rsid w:val="000B254C"/>
    <w:rsid w:val="000D2201"/>
    <w:rsid w:val="000D7BD3"/>
    <w:rsid w:val="000E1EB5"/>
    <w:rsid w:val="000E2C6B"/>
    <w:rsid w:val="000E45E5"/>
    <w:rsid w:val="000E6FDF"/>
    <w:rsid w:val="00103276"/>
    <w:rsid w:val="0010664C"/>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0E8C"/>
    <w:rsid w:val="00173BB8"/>
    <w:rsid w:val="00174B83"/>
    <w:rsid w:val="00180DF8"/>
    <w:rsid w:val="0018325D"/>
    <w:rsid w:val="00191323"/>
    <w:rsid w:val="001922DD"/>
    <w:rsid w:val="001922FE"/>
    <w:rsid w:val="001A0DCE"/>
    <w:rsid w:val="001A7B70"/>
    <w:rsid w:val="001B3E3C"/>
    <w:rsid w:val="001C10E0"/>
    <w:rsid w:val="001C2F5F"/>
    <w:rsid w:val="001C3587"/>
    <w:rsid w:val="001C7567"/>
    <w:rsid w:val="001D3BD5"/>
    <w:rsid w:val="001D4432"/>
    <w:rsid w:val="001D5105"/>
    <w:rsid w:val="001D68F2"/>
    <w:rsid w:val="001D6CD5"/>
    <w:rsid w:val="001E0176"/>
    <w:rsid w:val="001E22BC"/>
    <w:rsid w:val="001E30BA"/>
    <w:rsid w:val="00200AA0"/>
    <w:rsid w:val="00210248"/>
    <w:rsid w:val="0021101E"/>
    <w:rsid w:val="00211905"/>
    <w:rsid w:val="00213A46"/>
    <w:rsid w:val="00213D4A"/>
    <w:rsid w:val="00215236"/>
    <w:rsid w:val="00217109"/>
    <w:rsid w:val="00221BAA"/>
    <w:rsid w:val="002223E0"/>
    <w:rsid w:val="00225556"/>
    <w:rsid w:val="00240981"/>
    <w:rsid w:val="002526AF"/>
    <w:rsid w:val="002574C3"/>
    <w:rsid w:val="00270AEA"/>
    <w:rsid w:val="002778D9"/>
    <w:rsid w:val="00277E8A"/>
    <w:rsid w:val="00287F49"/>
    <w:rsid w:val="002A0E25"/>
    <w:rsid w:val="002A1486"/>
    <w:rsid w:val="002A3FDC"/>
    <w:rsid w:val="002A40BE"/>
    <w:rsid w:val="002A57CC"/>
    <w:rsid w:val="002A5E51"/>
    <w:rsid w:val="002A6182"/>
    <w:rsid w:val="002A64C5"/>
    <w:rsid w:val="002A7413"/>
    <w:rsid w:val="002B0A5E"/>
    <w:rsid w:val="002B15F7"/>
    <w:rsid w:val="002B197A"/>
    <w:rsid w:val="002B3E24"/>
    <w:rsid w:val="002C2C8E"/>
    <w:rsid w:val="002C745A"/>
    <w:rsid w:val="002D4965"/>
    <w:rsid w:val="002E057C"/>
    <w:rsid w:val="002E54A1"/>
    <w:rsid w:val="002E583E"/>
    <w:rsid w:val="002E6AFF"/>
    <w:rsid w:val="002F1A11"/>
    <w:rsid w:val="002F6BC3"/>
    <w:rsid w:val="002F799A"/>
    <w:rsid w:val="002F7B77"/>
    <w:rsid w:val="00314F51"/>
    <w:rsid w:val="003230F4"/>
    <w:rsid w:val="003231AD"/>
    <w:rsid w:val="00325928"/>
    <w:rsid w:val="0033218C"/>
    <w:rsid w:val="003322B0"/>
    <w:rsid w:val="00332354"/>
    <w:rsid w:val="0033411B"/>
    <w:rsid w:val="003342A2"/>
    <w:rsid w:val="003343CB"/>
    <w:rsid w:val="00336E59"/>
    <w:rsid w:val="00336EF8"/>
    <w:rsid w:val="00343717"/>
    <w:rsid w:val="00343852"/>
    <w:rsid w:val="00343A62"/>
    <w:rsid w:val="0034697D"/>
    <w:rsid w:val="00354655"/>
    <w:rsid w:val="0035741E"/>
    <w:rsid w:val="00373BEB"/>
    <w:rsid w:val="00374D57"/>
    <w:rsid w:val="003754C3"/>
    <w:rsid w:val="00377996"/>
    <w:rsid w:val="0038031A"/>
    <w:rsid w:val="003812A9"/>
    <w:rsid w:val="003836C0"/>
    <w:rsid w:val="00391FFF"/>
    <w:rsid w:val="00393024"/>
    <w:rsid w:val="00394B99"/>
    <w:rsid w:val="003A195C"/>
    <w:rsid w:val="003A22D4"/>
    <w:rsid w:val="003A7D2F"/>
    <w:rsid w:val="003B0C3C"/>
    <w:rsid w:val="003B189C"/>
    <w:rsid w:val="003F0258"/>
    <w:rsid w:val="003F640F"/>
    <w:rsid w:val="00422872"/>
    <w:rsid w:val="00431ED4"/>
    <w:rsid w:val="00432027"/>
    <w:rsid w:val="0043355E"/>
    <w:rsid w:val="00436656"/>
    <w:rsid w:val="00440ECE"/>
    <w:rsid w:val="00443E94"/>
    <w:rsid w:val="00445903"/>
    <w:rsid w:val="004459C6"/>
    <w:rsid w:val="004640B5"/>
    <w:rsid w:val="00464661"/>
    <w:rsid w:val="00473B49"/>
    <w:rsid w:val="004758AA"/>
    <w:rsid w:val="004762C8"/>
    <w:rsid w:val="0048306B"/>
    <w:rsid w:val="004830B9"/>
    <w:rsid w:val="00487BDB"/>
    <w:rsid w:val="00497F1C"/>
    <w:rsid w:val="004A1263"/>
    <w:rsid w:val="004A2B79"/>
    <w:rsid w:val="004A6EEF"/>
    <w:rsid w:val="004B0834"/>
    <w:rsid w:val="004B15FA"/>
    <w:rsid w:val="004B1614"/>
    <w:rsid w:val="004C66C5"/>
    <w:rsid w:val="004D3F24"/>
    <w:rsid w:val="004E1860"/>
    <w:rsid w:val="004E6556"/>
    <w:rsid w:val="004F20E7"/>
    <w:rsid w:val="004F4F1B"/>
    <w:rsid w:val="004F50EA"/>
    <w:rsid w:val="00503C1A"/>
    <w:rsid w:val="00504B1D"/>
    <w:rsid w:val="005063F9"/>
    <w:rsid w:val="005131C5"/>
    <w:rsid w:val="00521367"/>
    <w:rsid w:val="00526069"/>
    <w:rsid w:val="0053418B"/>
    <w:rsid w:val="005342F9"/>
    <w:rsid w:val="00540BD0"/>
    <w:rsid w:val="0054271A"/>
    <w:rsid w:val="00550CF0"/>
    <w:rsid w:val="00551AE9"/>
    <w:rsid w:val="0055219C"/>
    <w:rsid w:val="00552801"/>
    <w:rsid w:val="00557FCC"/>
    <w:rsid w:val="0056423A"/>
    <w:rsid w:val="005671B7"/>
    <w:rsid w:val="005747F3"/>
    <w:rsid w:val="005843FB"/>
    <w:rsid w:val="00590689"/>
    <w:rsid w:val="0059285A"/>
    <w:rsid w:val="005B00D9"/>
    <w:rsid w:val="005B038A"/>
    <w:rsid w:val="005B06EA"/>
    <w:rsid w:val="005B24BB"/>
    <w:rsid w:val="005C5B19"/>
    <w:rsid w:val="005E0BC5"/>
    <w:rsid w:val="005E36BC"/>
    <w:rsid w:val="005E7853"/>
    <w:rsid w:val="005F1B65"/>
    <w:rsid w:val="005F1C17"/>
    <w:rsid w:val="005F5DD8"/>
    <w:rsid w:val="005F64C1"/>
    <w:rsid w:val="00605B7A"/>
    <w:rsid w:val="006060A5"/>
    <w:rsid w:val="00611464"/>
    <w:rsid w:val="00615AC6"/>
    <w:rsid w:val="00615FB7"/>
    <w:rsid w:val="0061692B"/>
    <w:rsid w:val="00621D7A"/>
    <w:rsid w:val="00625E6D"/>
    <w:rsid w:val="00627043"/>
    <w:rsid w:val="0063524A"/>
    <w:rsid w:val="00637859"/>
    <w:rsid w:val="00637F68"/>
    <w:rsid w:val="00642CC7"/>
    <w:rsid w:val="00650FEE"/>
    <w:rsid w:val="00653D95"/>
    <w:rsid w:val="0065681E"/>
    <w:rsid w:val="0065710B"/>
    <w:rsid w:val="0066198E"/>
    <w:rsid w:val="00662312"/>
    <w:rsid w:val="00666EED"/>
    <w:rsid w:val="00671528"/>
    <w:rsid w:val="00676AD5"/>
    <w:rsid w:val="006822FB"/>
    <w:rsid w:val="00684307"/>
    <w:rsid w:val="006A6303"/>
    <w:rsid w:val="006B5946"/>
    <w:rsid w:val="006C012B"/>
    <w:rsid w:val="006C2880"/>
    <w:rsid w:val="006C491D"/>
    <w:rsid w:val="006C5D0B"/>
    <w:rsid w:val="006E1090"/>
    <w:rsid w:val="006E4092"/>
    <w:rsid w:val="006E4DAC"/>
    <w:rsid w:val="006F32E7"/>
    <w:rsid w:val="006F4513"/>
    <w:rsid w:val="006F536B"/>
    <w:rsid w:val="00701CFA"/>
    <w:rsid w:val="0070241B"/>
    <w:rsid w:val="00711A47"/>
    <w:rsid w:val="00711F0F"/>
    <w:rsid w:val="00714D65"/>
    <w:rsid w:val="00715DF6"/>
    <w:rsid w:val="00717476"/>
    <w:rsid w:val="007222BB"/>
    <w:rsid w:val="00724CB4"/>
    <w:rsid w:val="007260D6"/>
    <w:rsid w:val="00726A53"/>
    <w:rsid w:val="00733BAA"/>
    <w:rsid w:val="00733DDF"/>
    <w:rsid w:val="007354EA"/>
    <w:rsid w:val="00741FDD"/>
    <w:rsid w:val="0074230B"/>
    <w:rsid w:val="00743936"/>
    <w:rsid w:val="00752F33"/>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3C42"/>
    <w:rsid w:val="00834D1A"/>
    <w:rsid w:val="0083711D"/>
    <w:rsid w:val="00837F09"/>
    <w:rsid w:val="008429D1"/>
    <w:rsid w:val="00845D5B"/>
    <w:rsid w:val="00852471"/>
    <w:rsid w:val="008567E4"/>
    <w:rsid w:val="00875DF3"/>
    <w:rsid w:val="008800F4"/>
    <w:rsid w:val="00881645"/>
    <w:rsid w:val="00882780"/>
    <w:rsid w:val="00885D39"/>
    <w:rsid w:val="0088741C"/>
    <w:rsid w:val="008951AA"/>
    <w:rsid w:val="00896000"/>
    <w:rsid w:val="008A0260"/>
    <w:rsid w:val="008A277A"/>
    <w:rsid w:val="008A4E69"/>
    <w:rsid w:val="008A6F73"/>
    <w:rsid w:val="008B2DF8"/>
    <w:rsid w:val="008B33D2"/>
    <w:rsid w:val="008B4DB7"/>
    <w:rsid w:val="008B6321"/>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57EBD"/>
    <w:rsid w:val="0096237A"/>
    <w:rsid w:val="009630B9"/>
    <w:rsid w:val="009723CE"/>
    <w:rsid w:val="00976D3C"/>
    <w:rsid w:val="00977742"/>
    <w:rsid w:val="00982BAD"/>
    <w:rsid w:val="00983F96"/>
    <w:rsid w:val="009912B9"/>
    <w:rsid w:val="00991F1B"/>
    <w:rsid w:val="00993E07"/>
    <w:rsid w:val="0099678D"/>
    <w:rsid w:val="009A4FA9"/>
    <w:rsid w:val="009A55BF"/>
    <w:rsid w:val="009B1B67"/>
    <w:rsid w:val="009B1CA0"/>
    <w:rsid w:val="009B45BD"/>
    <w:rsid w:val="009B61EA"/>
    <w:rsid w:val="009C7263"/>
    <w:rsid w:val="009C7D23"/>
    <w:rsid w:val="009D4722"/>
    <w:rsid w:val="009D7A82"/>
    <w:rsid w:val="009E2B22"/>
    <w:rsid w:val="009E74E7"/>
    <w:rsid w:val="00A030A0"/>
    <w:rsid w:val="00A04203"/>
    <w:rsid w:val="00A04F9B"/>
    <w:rsid w:val="00A064CF"/>
    <w:rsid w:val="00A0735A"/>
    <w:rsid w:val="00A10267"/>
    <w:rsid w:val="00A20ADD"/>
    <w:rsid w:val="00A24134"/>
    <w:rsid w:val="00A24A6D"/>
    <w:rsid w:val="00A30AAC"/>
    <w:rsid w:val="00A35C84"/>
    <w:rsid w:val="00A4217E"/>
    <w:rsid w:val="00A538B9"/>
    <w:rsid w:val="00A5450E"/>
    <w:rsid w:val="00A62FDC"/>
    <w:rsid w:val="00A6756E"/>
    <w:rsid w:val="00A7215E"/>
    <w:rsid w:val="00A766AD"/>
    <w:rsid w:val="00A83454"/>
    <w:rsid w:val="00A84AEE"/>
    <w:rsid w:val="00A90D06"/>
    <w:rsid w:val="00A9194C"/>
    <w:rsid w:val="00A91D81"/>
    <w:rsid w:val="00A932C0"/>
    <w:rsid w:val="00A9494D"/>
    <w:rsid w:val="00A97E38"/>
    <w:rsid w:val="00AA449A"/>
    <w:rsid w:val="00AA4872"/>
    <w:rsid w:val="00AA5BAE"/>
    <w:rsid w:val="00AA76B6"/>
    <w:rsid w:val="00AB07A8"/>
    <w:rsid w:val="00AB24DE"/>
    <w:rsid w:val="00AB3424"/>
    <w:rsid w:val="00AB3D7E"/>
    <w:rsid w:val="00AB6727"/>
    <w:rsid w:val="00AC6EA2"/>
    <w:rsid w:val="00AC6F4C"/>
    <w:rsid w:val="00AD129C"/>
    <w:rsid w:val="00AD3AE3"/>
    <w:rsid w:val="00AD5158"/>
    <w:rsid w:val="00AE7270"/>
    <w:rsid w:val="00AF1B68"/>
    <w:rsid w:val="00AF28E5"/>
    <w:rsid w:val="00AF3C0C"/>
    <w:rsid w:val="00AF6929"/>
    <w:rsid w:val="00B00EF2"/>
    <w:rsid w:val="00B043A7"/>
    <w:rsid w:val="00B138A9"/>
    <w:rsid w:val="00B2445F"/>
    <w:rsid w:val="00B24D48"/>
    <w:rsid w:val="00B26159"/>
    <w:rsid w:val="00B27830"/>
    <w:rsid w:val="00B3038B"/>
    <w:rsid w:val="00B31E98"/>
    <w:rsid w:val="00B33B7F"/>
    <w:rsid w:val="00B376C7"/>
    <w:rsid w:val="00B42DD4"/>
    <w:rsid w:val="00B438A3"/>
    <w:rsid w:val="00B43A67"/>
    <w:rsid w:val="00B4412E"/>
    <w:rsid w:val="00B460B2"/>
    <w:rsid w:val="00B47D9C"/>
    <w:rsid w:val="00B5352D"/>
    <w:rsid w:val="00B53585"/>
    <w:rsid w:val="00B54C2B"/>
    <w:rsid w:val="00B60FD8"/>
    <w:rsid w:val="00B703AD"/>
    <w:rsid w:val="00B7066E"/>
    <w:rsid w:val="00B85129"/>
    <w:rsid w:val="00B871A7"/>
    <w:rsid w:val="00B879BD"/>
    <w:rsid w:val="00BA25FF"/>
    <w:rsid w:val="00BB372E"/>
    <w:rsid w:val="00BC623E"/>
    <w:rsid w:val="00BC73BD"/>
    <w:rsid w:val="00BD09E0"/>
    <w:rsid w:val="00BD1F4C"/>
    <w:rsid w:val="00BD7CD8"/>
    <w:rsid w:val="00BE6FC2"/>
    <w:rsid w:val="00BF32D9"/>
    <w:rsid w:val="00BF3F19"/>
    <w:rsid w:val="00BF6263"/>
    <w:rsid w:val="00C025E0"/>
    <w:rsid w:val="00C03793"/>
    <w:rsid w:val="00C05F12"/>
    <w:rsid w:val="00C13782"/>
    <w:rsid w:val="00C14E79"/>
    <w:rsid w:val="00C22E07"/>
    <w:rsid w:val="00C3053C"/>
    <w:rsid w:val="00C371B2"/>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A75FC"/>
    <w:rsid w:val="00CB0DEA"/>
    <w:rsid w:val="00CB68B7"/>
    <w:rsid w:val="00CC1E8E"/>
    <w:rsid w:val="00CD14E5"/>
    <w:rsid w:val="00CD2E74"/>
    <w:rsid w:val="00CD41C8"/>
    <w:rsid w:val="00CF2E06"/>
    <w:rsid w:val="00CF522C"/>
    <w:rsid w:val="00D0095F"/>
    <w:rsid w:val="00D02344"/>
    <w:rsid w:val="00D1513C"/>
    <w:rsid w:val="00D17475"/>
    <w:rsid w:val="00D20044"/>
    <w:rsid w:val="00D2659A"/>
    <w:rsid w:val="00D4402B"/>
    <w:rsid w:val="00D50C2F"/>
    <w:rsid w:val="00D52632"/>
    <w:rsid w:val="00D54A05"/>
    <w:rsid w:val="00D56C11"/>
    <w:rsid w:val="00D56C66"/>
    <w:rsid w:val="00D61DFC"/>
    <w:rsid w:val="00D62FC5"/>
    <w:rsid w:val="00D63242"/>
    <w:rsid w:val="00D72CA7"/>
    <w:rsid w:val="00D758FB"/>
    <w:rsid w:val="00D92FCE"/>
    <w:rsid w:val="00DA646F"/>
    <w:rsid w:val="00DA6EEB"/>
    <w:rsid w:val="00DB0EB6"/>
    <w:rsid w:val="00DB13D3"/>
    <w:rsid w:val="00DB4E3B"/>
    <w:rsid w:val="00DB77DD"/>
    <w:rsid w:val="00DB7F57"/>
    <w:rsid w:val="00DC0A8B"/>
    <w:rsid w:val="00DC2CB2"/>
    <w:rsid w:val="00DD14A6"/>
    <w:rsid w:val="00DD3BA3"/>
    <w:rsid w:val="00DE1432"/>
    <w:rsid w:val="00DE3AD8"/>
    <w:rsid w:val="00DF1DC4"/>
    <w:rsid w:val="00DF61A0"/>
    <w:rsid w:val="00DF7FCF"/>
    <w:rsid w:val="00E1301D"/>
    <w:rsid w:val="00E1553B"/>
    <w:rsid w:val="00E26507"/>
    <w:rsid w:val="00E31EF3"/>
    <w:rsid w:val="00E33760"/>
    <w:rsid w:val="00E35467"/>
    <w:rsid w:val="00E41813"/>
    <w:rsid w:val="00E430E5"/>
    <w:rsid w:val="00E43E7F"/>
    <w:rsid w:val="00E44214"/>
    <w:rsid w:val="00E533DA"/>
    <w:rsid w:val="00E53AB2"/>
    <w:rsid w:val="00E54571"/>
    <w:rsid w:val="00E54A8B"/>
    <w:rsid w:val="00E55437"/>
    <w:rsid w:val="00E56341"/>
    <w:rsid w:val="00E57459"/>
    <w:rsid w:val="00E67628"/>
    <w:rsid w:val="00E73D68"/>
    <w:rsid w:val="00E75675"/>
    <w:rsid w:val="00E75BBA"/>
    <w:rsid w:val="00E76CD1"/>
    <w:rsid w:val="00E8310E"/>
    <w:rsid w:val="00E849D6"/>
    <w:rsid w:val="00E84CA5"/>
    <w:rsid w:val="00E90323"/>
    <w:rsid w:val="00E90434"/>
    <w:rsid w:val="00E94857"/>
    <w:rsid w:val="00E94CCB"/>
    <w:rsid w:val="00EA50D0"/>
    <w:rsid w:val="00EA697D"/>
    <w:rsid w:val="00EB1B71"/>
    <w:rsid w:val="00EB217C"/>
    <w:rsid w:val="00EB6C4D"/>
    <w:rsid w:val="00EB7E6B"/>
    <w:rsid w:val="00EC2E68"/>
    <w:rsid w:val="00ED319C"/>
    <w:rsid w:val="00ED387C"/>
    <w:rsid w:val="00ED41F9"/>
    <w:rsid w:val="00ED649B"/>
    <w:rsid w:val="00ED7C12"/>
    <w:rsid w:val="00EE2470"/>
    <w:rsid w:val="00EF31F4"/>
    <w:rsid w:val="00F06319"/>
    <w:rsid w:val="00F130EA"/>
    <w:rsid w:val="00F22E57"/>
    <w:rsid w:val="00F2411C"/>
    <w:rsid w:val="00F30D52"/>
    <w:rsid w:val="00F35A73"/>
    <w:rsid w:val="00F40EEB"/>
    <w:rsid w:val="00F57204"/>
    <w:rsid w:val="00F64848"/>
    <w:rsid w:val="00F65F9E"/>
    <w:rsid w:val="00F66064"/>
    <w:rsid w:val="00F662A3"/>
    <w:rsid w:val="00F75DB1"/>
    <w:rsid w:val="00F7753E"/>
    <w:rsid w:val="00F80ED3"/>
    <w:rsid w:val="00F824B4"/>
    <w:rsid w:val="00F84875"/>
    <w:rsid w:val="00F9130D"/>
    <w:rsid w:val="00F918E6"/>
    <w:rsid w:val="00F92DEC"/>
    <w:rsid w:val="00F96DBB"/>
    <w:rsid w:val="00FA6913"/>
    <w:rsid w:val="00FB0472"/>
    <w:rsid w:val="00FB2748"/>
    <w:rsid w:val="00FC096F"/>
    <w:rsid w:val="00FC2EB1"/>
    <w:rsid w:val="00FC38CC"/>
    <w:rsid w:val="00FC5CF1"/>
    <w:rsid w:val="00FD5024"/>
    <w:rsid w:val="00FD63F5"/>
    <w:rsid w:val="00FE0AD6"/>
    <w:rsid w:val="00FE0BB1"/>
    <w:rsid w:val="00FE54A5"/>
    <w:rsid w:val="00FE7440"/>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25416617-CF54-48CB-99CD-DD67EDD6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4030</Words>
  <Characters>22168</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Dorcas Kapinga</cp:lastModifiedBy>
  <cp:revision>3</cp:revision>
  <cp:lastPrinted>2011-03-24T14:16:00Z</cp:lastPrinted>
  <dcterms:created xsi:type="dcterms:W3CDTF">2020-10-20T12:32:00Z</dcterms:created>
  <dcterms:modified xsi:type="dcterms:W3CDTF">2020-10-21T07:54:00Z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