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762F2" w14:textId="77777777" w:rsidR="00D56C11" w:rsidRPr="007260D6" w:rsidRDefault="00D56C11" w:rsidP="007260D6">
      <w:pPr>
        <w:tabs>
          <w:tab w:val="left" w:pos="1410"/>
        </w:tabs>
        <w:spacing w:after="0" w:line="240" w:lineRule="auto"/>
        <w:jc w:val="center"/>
        <w:rPr>
          <w:rFonts w:cstheme="minorHAnsi"/>
          <w:b/>
          <w:lang w:val="fr-FR"/>
        </w:rPr>
      </w:pPr>
      <w:bookmarkStart w:id="0" w:name="_GoBack"/>
      <w:bookmarkEnd w:id="0"/>
      <w:r w:rsidRPr="007260D6">
        <w:rPr>
          <w:rFonts w:cstheme="minorHAnsi"/>
          <w:b/>
          <w:lang w:val="fr-FR"/>
        </w:rPr>
        <w:t>NOTICE DE SELECTION</w:t>
      </w:r>
    </w:p>
    <w:p w14:paraId="782BB281" w14:textId="77777777" w:rsidR="007A00F5" w:rsidRPr="007260D6" w:rsidRDefault="007A00F5" w:rsidP="00E94CCB">
      <w:pPr>
        <w:tabs>
          <w:tab w:val="left" w:pos="1410"/>
        </w:tabs>
        <w:spacing w:after="0" w:line="240" w:lineRule="auto"/>
        <w:jc w:val="center"/>
        <w:rPr>
          <w:rFonts w:cstheme="minorHAnsi"/>
          <w:b/>
          <w:lang w:val="fr-FR"/>
        </w:rPr>
      </w:pPr>
    </w:p>
    <w:p w14:paraId="6CFDA8E9" w14:textId="41AFBCCD" w:rsidR="00301ADA" w:rsidRDefault="00B9034E" w:rsidP="00301ADA">
      <w:pPr>
        <w:spacing w:after="0" w:line="240" w:lineRule="auto"/>
        <w:jc w:val="center"/>
        <w:rPr>
          <w:rFonts w:eastAsia="Times New Roman" w:cstheme="minorHAnsi"/>
          <w:b/>
          <w:bCs/>
          <w:lang w:val="fr-FR"/>
        </w:rPr>
      </w:pPr>
      <w:bookmarkStart w:id="1" w:name="_Hlk48737704"/>
      <w:bookmarkStart w:id="2" w:name="_Hlk39055636"/>
      <w:r w:rsidRPr="00B9034E">
        <w:rPr>
          <w:rFonts w:eastAsia="Times New Roman" w:cstheme="minorHAnsi"/>
          <w:b/>
          <w:bCs/>
          <w:lang w:val="fr-FR"/>
        </w:rPr>
        <w:t>Recrutement d’un(e) consultant(e)</w:t>
      </w:r>
      <w:r w:rsidR="000B57AC" w:rsidRPr="00EC386A">
        <w:rPr>
          <w:lang w:val="fr-FR"/>
        </w:rPr>
        <w:t xml:space="preserve"> </w:t>
      </w:r>
      <w:bookmarkStart w:id="3" w:name="_Hlk54878926"/>
      <w:r w:rsidR="000B57AC" w:rsidRPr="000B57AC">
        <w:rPr>
          <w:rFonts w:eastAsia="Times New Roman" w:cstheme="minorHAnsi"/>
          <w:b/>
          <w:bCs/>
          <w:lang w:val="fr-FR"/>
        </w:rPr>
        <w:t>Senior Spécialiste</w:t>
      </w:r>
      <w:r w:rsidR="00557E0A">
        <w:rPr>
          <w:rFonts w:eastAsia="Times New Roman" w:cstheme="minorHAnsi"/>
          <w:b/>
          <w:bCs/>
          <w:lang w:val="fr-FR"/>
        </w:rPr>
        <w:t>,</w:t>
      </w:r>
      <w:r w:rsidR="000B57AC" w:rsidRPr="000B57AC">
        <w:rPr>
          <w:rFonts w:eastAsia="Times New Roman" w:cstheme="minorHAnsi"/>
          <w:b/>
          <w:bCs/>
          <w:lang w:val="fr-FR"/>
        </w:rPr>
        <w:t xml:space="preserve"> d’expertise internationale</w:t>
      </w:r>
      <w:r w:rsidRPr="00B9034E">
        <w:rPr>
          <w:rFonts w:eastAsia="Times New Roman" w:cstheme="minorHAnsi"/>
          <w:b/>
          <w:bCs/>
          <w:lang w:val="fr-FR"/>
        </w:rPr>
        <w:t xml:space="preserve"> </w:t>
      </w:r>
      <w:bookmarkEnd w:id="3"/>
      <w:r w:rsidRPr="00B9034E">
        <w:rPr>
          <w:rFonts w:eastAsia="Times New Roman" w:cstheme="minorHAnsi"/>
          <w:b/>
          <w:bCs/>
          <w:lang w:val="fr-FR"/>
        </w:rPr>
        <w:t>pour la formulation d’un document de programme structurant d’appui aux chaines des valeurs porteuses en Agro-business pour la période 2020-2024</w:t>
      </w:r>
      <w:bookmarkStart w:id="4" w:name="_Hlk54864884"/>
      <w:bookmarkStart w:id="5" w:name="_Hlk51231269"/>
    </w:p>
    <w:bookmarkEnd w:id="1"/>
    <w:bookmarkEnd w:id="2"/>
    <w:bookmarkEnd w:id="4"/>
    <w:bookmarkEnd w:id="5"/>
    <w:p w14:paraId="624CE298" w14:textId="77777777" w:rsidR="003505F2" w:rsidRDefault="003505F2" w:rsidP="00293DAE">
      <w:pPr>
        <w:spacing w:after="0" w:line="240" w:lineRule="auto"/>
        <w:rPr>
          <w:rFonts w:eastAsia="Times New Roman" w:cstheme="minorHAnsi"/>
          <w:b/>
          <w:bCs/>
          <w:lang w:val="fr-FR"/>
        </w:rPr>
      </w:pPr>
    </w:p>
    <w:p w14:paraId="6FCBAC2C" w14:textId="68071B80" w:rsidR="00D56C11" w:rsidRPr="007260D6" w:rsidRDefault="00D56C11" w:rsidP="00D56C11">
      <w:pPr>
        <w:spacing w:after="0" w:line="240" w:lineRule="auto"/>
        <w:jc w:val="center"/>
        <w:rPr>
          <w:rFonts w:eastAsia="Times New Roman" w:cstheme="minorHAnsi"/>
          <w:b/>
          <w:lang w:val="fr-FR" w:eastAsia="fr-FR"/>
        </w:rPr>
      </w:pPr>
      <w:r w:rsidRPr="007260D6">
        <w:rPr>
          <w:rFonts w:eastAsia="Times New Roman" w:cstheme="minorHAnsi"/>
          <w:b/>
          <w:lang w:val="fr-FR" w:eastAsia="rw-RW"/>
        </w:rPr>
        <w:t xml:space="preserve">Référence du dossier : </w:t>
      </w:r>
      <w:bookmarkStart w:id="6" w:name="_Hlk39055610"/>
      <w:r w:rsidR="00301ADA">
        <w:rPr>
          <w:rFonts w:eastAsia="Times New Roman" w:cstheme="minorHAnsi"/>
          <w:b/>
          <w:lang w:val="fr-FR" w:eastAsia="rw-RW"/>
        </w:rPr>
        <w:t>23</w:t>
      </w:r>
      <w:r w:rsidR="00B9034E">
        <w:rPr>
          <w:rFonts w:eastAsia="Times New Roman" w:cstheme="minorHAnsi"/>
          <w:b/>
          <w:lang w:val="fr-FR" w:eastAsia="rw-RW"/>
        </w:rPr>
        <w:t>6</w:t>
      </w:r>
      <w:r w:rsidR="005E5645" w:rsidRPr="005E5645">
        <w:rPr>
          <w:rFonts w:eastAsia="Times New Roman" w:cstheme="minorHAnsi"/>
          <w:b/>
          <w:lang w:val="fr-FR" w:eastAsia="rw-RW"/>
        </w:rPr>
        <w:t>/IC/CIDD_</w:t>
      </w:r>
      <w:r w:rsidR="00301ADA">
        <w:rPr>
          <w:rFonts w:eastAsia="Times New Roman" w:cstheme="minorHAnsi"/>
          <w:b/>
          <w:lang w:val="fr-FR" w:eastAsia="rw-RW"/>
        </w:rPr>
        <w:t>MED</w:t>
      </w:r>
      <w:r w:rsidR="005E5645" w:rsidRPr="005E5645">
        <w:rPr>
          <w:rFonts w:eastAsia="Times New Roman" w:cstheme="minorHAnsi"/>
          <w:b/>
          <w:lang w:val="fr-FR" w:eastAsia="rw-RW"/>
        </w:rPr>
        <w:t>/2020</w:t>
      </w:r>
      <w:bookmarkEnd w:id="6"/>
      <w:r w:rsidR="005A1999">
        <w:rPr>
          <w:rFonts w:eastAsia="Times New Roman" w:cstheme="minorHAnsi"/>
          <w:b/>
          <w:lang w:val="fr-FR" w:eastAsia="rw-RW"/>
        </w:rPr>
        <w:t>-B</w:t>
      </w:r>
    </w:p>
    <w:p w14:paraId="7399166F" w14:textId="77777777" w:rsidR="00167362" w:rsidRPr="007260D6" w:rsidRDefault="00167362" w:rsidP="00D56C11">
      <w:pPr>
        <w:spacing w:after="0" w:line="240" w:lineRule="auto"/>
        <w:jc w:val="center"/>
        <w:rPr>
          <w:rFonts w:eastAsia="Times New Roman" w:cstheme="minorHAnsi"/>
          <w:b/>
          <w:lang w:val="fr-FR" w:eastAsia="fr-FR"/>
        </w:rPr>
      </w:pPr>
    </w:p>
    <w:p w14:paraId="52FE834E" w14:textId="0E66F2D2" w:rsidR="003F640F" w:rsidRPr="007260D6" w:rsidRDefault="00D56C11" w:rsidP="003F640F">
      <w:pPr>
        <w:spacing w:after="0" w:line="240" w:lineRule="auto"/>
        <w:jc w:val="right"/>
        <w:rPr>
          <w:rFonts w:eastAsia="Times New Roman" w:cstheme="minorHAnsi"/>
          <w:lang w:val="fr-FR" w:eastAsia="rw-RW"/>
        </w:rPr>
      </w:pPr>
      <w:r w:rsidRPr="007260D6">
        <w:rPr>
          <w:rFonts w:eastAsia="Times New Roman" w:cstheme="minorHAnsi"/>
          <w:lang w:val="fr-FR" w:eastAsia="rw-RW"/>
        </w:rPr>
        <w:t xml:space="preserve">Date : </w:t>
      </w:r>
      <w:r w:rsidR="005A1999">
        <w:rPr>
          <w:rFonts w:eastAsia="Times New Roman" w:cstheme="minorHAnsi"/>
          <w:lang w:val="fr-FR" w:eastAsia="rw-RW"/>
        </w:rPr>
        <w:t>17</w:t>
      </w:r>
      <w:r w:rsidRPr="007260D6">
        <w:rPr>
          <w:rFonts w:eastAsia="Times New Roman" w:cstheme="minorHAnsi"/>
          <w:lang w:val="fr-FR" w:eastAsia="rw-RW"/>
        </w:rPr>
        <w:t>/</w:t>
      </w:r>
      <w:r w:rsidR="00301ADA">
        <w:rPr>
          <w:rFonts w:eastAsia="Times New Roman" w:cstheme="minorHAnsi"/>
          <w:lang w:val="fr-FR" w:eastAsia="rw-RW"/>
        </w:rPr>
        <w:t>1</w:t>
      </w:r>
      <w:r w:rsidR="005A1999">
        <w:rPr>
          <w:rFonts w:eastAsia="Times New Roman" w:cstheme="minorHAnsi"/>
          <w:lang w:val="fr-FR" w:eastAsia="rw-RW"/>
        </w:rPr>
        <w:t>1</w:t>
      </w:r>
      <w:r w:rsidRPr="007260D6">
        <w:rPr>
          <w:rFonts w:eastAsia="Times New Roman" w:cstheme="minorHAnsi"/>
          <w:lang w:val="fr-FR" w:eastAsia="rw-RW"/>
        </w:rPr>
        <w:t>/20</w:t>
      </w:r>
      <w:r w:rsidR="00724CB4">
        <w:rPr>
          <w:rFonts w:eastAsia="Times New Roman" w:cstheme="minorHAnsi"/>
          <w:lang w:val="fr-FR" w:eastAsia="rw-RW"/>
        </w:rPr>
        <w:t>20</w:t>
      </w:r>
    </w:p>
    <w:p w14:paraId="09001F3B" w14:textId="77777777" w:rsidR="009E2B22" w:rsidRPr="007260D6" w:rsidRDefault="00DA6EEB" w:rsidP="009E2B22">
      <w:pPr>
        <w:tabs>
          <w:tab w:val="left" w:pos="1410"/>
        </w:tabs>
        <w:rPr>
          <w:rFonts w:cstheme="minorHAnsi"/>
          <w:b/>
          <w:lang w:val="fr-FR"/>
        </w:rPr>
      </w:pPr>
      <w:r w:rsidRPr="007260D6">
        <w:rPr>
          <w:rFonts w:cstheme="minorHAnsi"/>
          <w:b/>
          <w:noProof/>
          <w:lang w:val="fr-FR" w:eastAsia="fr-FR"/>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6CF09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6D19D1C4" w:rsidR="0065710B" w:rsidRPr="00724CB4" w:rsidRDefault="009630B9" w:rsidP="0065710B">
      <w:pPr>
        <w:tabs>
          <w:tab w:val="left" w:pos="1410"/>
        </w:tabs>
        <w:rPr>
          <w:rFonts w:cstheme="minorHAnsi"/>
          <w:lang w:val="fr-FR"/>
        </w:rPr>
      </w:pPr>
      <w:r w:rsidRPr="007260D6">
        <w:rPr>
          <w:rFonts w:cstheme="minorHAnsi"/>
          <w:b/>
          <w:lang w:val="fr-FR"/>
        </w:rPr>
        <w:t>Pays :</w:t>
      </w:r>
      <w:r w:rsidR="00FC5CF1" w:rsidRPr="007260D6">
        <w:rPr>
          <w:rFonts w:cstheme="minorHAnsi"/>
          <w:b/>
          <w:lang w:val="fr-FR"/>
        </w:rPr>
        <w:t xml:space="preserve"> </w:t>
      </w:r>
      <w:r w:rsidR="00E75675" w:rsidRPr="007260D6">
        <w:rPr>
          <w:rFonts w:cstheme="minorHAnsi"/>
          <w:lang w:val="fr-FR"/>
        </w:rPr>
        <w:t>République Démocratique du Congo</w:t>
      </w:r>
    </w:p>
    <w:p w14:paraId="3B6FE435" w14:textId="5DD788E7" w:rsidR="008800F4" w:rsidRPr="00301ADA" w:rsidRDefault="009630B9"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Cs/>
          <w:lang w:val="fr-FR" w:eastAsia="fr-FR"/>
        </w:rPr>
      </w:pPr>
      <w:r w:rsidRPr="007260D6">
        <w:rPr>
          <w:rFonts w:cstheme="minorHAnsi"/>
          <w:b/>
          <w:lang w:val="fr-FR"/>
        </w:rPr>
        <w:t>Description de la mission</w:t>
      </w:r>
      <w:r w:rsidR="00164555" w:rsidRPr="007260D6">
        <w:rPr>
          <w:rFonts w:cstheme="minorHAnsi"/>
          <w:b/>
          <w:lang w:val="fr-FR"/>
        </w:rPr>
        <w:t xml:space="preserve"> : </w:t>
      </w:r>
      <w:r w:rsidR="00301ADA" w:rsidRPr="00301ADA">
        <w:rPr>
          <w:rFonts w:cstheme="minorHAnsi"/>
          <w:bCs/>
          <w:lang w:val="fr-FR"/>
        </w:rPr>
        <w:t xml:space="preserve">Un(e) consultant(e) </w:t>
      </w:r>
      <w:r w:rsidR="00557E0A" w:rsidRPr="00557E0A">
        <w:rPr>
          <w:rFonts w:cstheme="minorHAnsi"/>
          <w:bCs/>
          <w:lang w:val="fr-FR"/>
        </w:rPr>
        <w:t xml:space="preserve">Senior Spécialiste, d’expertise internationale </w:t>
      </w:r>
      <w:r w:rsidR="00301ADA" w:rsidRPr="00301ADA">
        <w:rPr>
          <w:rFonts w:cstheme="minorHAnsi"/>
          <w:bCs/>
          <w:lang w:val="fr-FR"/>
        </w:rPr>
        <w:t xml:space="preserve">pour la formulation </w:t>
      </w:r>
      <w:r w:rsidR="00B9034E" w:rsidRPr="00B9034E">
        <w:rPr>
          <w:rFonts w:cstheme="minorHAnsi"/>
          <w:bCs/>
          <w:lang w:val="fr-FR"/>
        </w:rPr>
        <w:t>d’un document de programme structurant d’appui aux chaines des valeurs porteuses en Agro-business pour la période 2020-2024</w:t>
      </w:r>
      <w:r w:rsidR="00E3478B" w:rsidRPr="00301ADA">
        <w:rPr>
          <w:rFonts w:eastAsia="Times New Roman" w:cstheme="minorHAnsi"/>
          <w:bCs/>
          <w:lang w:val="fr-FR" w:eastAsia="fr-FR"/>
        </w:rPr>
        <w:t>.</w:t>
      </w:r>
    </w:p>
    <w:p w14:paraId="30E918C6" w14:textId="77777777" w:rsidR="00E3478B" w:rsidRPr="00E3478B" w:rsidRDefault="00E3478B" w:rsidP="00E3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FR" w:eastAsia="fr-FR"/>
        </w:rPr>
      </w:pPr>
    </w:p>
    <w:p w14:paraId="6A10ABD6" w14:textId="4308BFB8" w:rsidR="00D56C11" w:rsidRPr="007260D6" w:rsidRDefault="00D56C11" w:rsidP="00293DAE">
      <w:pPr>
        <w:rPr>
          <w:rFonts w:cstheme="minorHAnsi"/>
          <w:lang w:val="fr-FR"/>
        </w:rPr>
      </w:pPr>
      <w:r w:rsidRPr="007260D6">
        <w:rPr>
          <w:rFonts w:cstheme="minorHAnsi"/>
          <w:b/>
          <w:lang w:val="fr-FR"/>
        </w:rPr>
        <w:t>Niveau de poste et d’expérience :</w:t>
      </w:r>
      <w:r w:rsidRPr="007260D6">
        <w:rPr>
          <w:rFonts w:cstheme="minorHAnsi"/>
          <w:lang w:val="fr-FR"/>
        </w:rPr>
        <w:t xml:space="preserve"> </w:t>
      </w:r>
      <w:r w:rsidR="00293DAE" w:rsidRPr="00293DAE">
        <w:rPr>
          <w:rFonts w:cstheme="minorHAnsi"/>
          <w:lang w:val="fr-FR"/>
        </w:rPr>
        <w:t xml:space="preserve">Consultant </w:t>
      </w:r>
      <w:bookmarkStart w:id="7" w:name="_Hlk54878492"/>
      <w:r w:rsidR="00293DAE" w:rsidRPr="00293DAE">
        <w:rPr>
          <w:rFonts w:cstheme="minorHAnsi"/>
          <w:lang w:val="fr-FR"/>
        </w:rPr>
        <w:t xml:space="preserve">Senior </w:t>
      </w:r>
      <w:r w:rsidR="000B57AC" w:rsidRPr="00B27593">
        <w:rPr>
          <w:rFonts w:cstheme="minorHAnsi"/>
          <w:lang w:val="fr-FR"/>
        </w:rPr>
        <w:t>Spécialiste</w:t>
      </w:r>
      <w:r w:rsidR="00557E0A">
        <w:rPr>
          <w:rFonts w:cstheme="minorHAnsi"/>
          <w:lang w:val="fr-FR"/>
        </w:rPr>
        <w:t>,</w:t>
      </w:r>
      <w:r w:rsidR="007A59A5" w:rsidRPr="00B27593">
        <w:rPr>
          <w:rFonts w:cstheme="minorHAnsi"/>
          <w:lang w:val="fr-FR"/>
        </w:rPr>
        <w:t xml:space="preserve"> </w:t>
      </w:r>
      <w:r w:rsidR="000B57AC">
        <w:rPr>
          <w:rFonts w:cstheme="minorHAnsi"/>
          <w:lang w:val="fr-FR"/>
        </w:rPr>
        <w:t>d’expertise internationale</w:t>
      </w:r>
      <w:bookmarkEnd w:id="7"/>
    </w:p>
    <w:p w14:paraId="53B0D980" w14:textId="14DC3ADF" w:rsidR="00D56C11" w:rsidRPr="00803E8D" w:rsidRDefault="009630B9" w:rsidP="00D56C11">
      <w:pPr>
        <w:tabs>
          <w:tab w:val="left" w:pos="1410"/>
        </w:tabs>
        <w:rPr>
          <w:rFonts w:cstheme="minorHAnsi"/>
          <w:bCs/>
          <w:lang w:val="fr-FR"/>
        </w:rPr>
      </w:pPr>
      <w:r w:rsidRPr="007260D6">
        <w:rPr>
          <w:rFonts w:cstheme="minorHAnsi"/>
          <w:b/>
          <w:lang w:val="fr-FR"/>
        </w:rPr>
        <w:t xml:space="preserve">Durée de la </w:t>
      </w:r>
      <w:r w:rsidR="00164555" w:rsidRPr="007260D6">
        <w:rPr>
          <w:rFonts w:cstheme="minorHAnsi"/>
          <w:b/>
          <w:lang w:val="fr-FR"/>
        </w:rPr>
        <w:t xml:space="preserve">mission </w:t>
      </w:r>
      <w:r w:rsidR="00164555" w:rsidRPr="00803E8D">
        <w:rPr>
          <w:rFonts w:cstheme="minorHAnsi"/>
          <w:bCs/>
          <w:lang w:val="fr-FR"/>
        </w:rPr>
        <w:t xml:space="preserve">: </w:t>
      </w:r>
      <w:r w:rsidR="00803E8D" w:rsidRPr="00803E8D">
        <w:rPr>
          <w:rFonts w:cstheme="minorHAnsi"/>
          <w:bCs/>
          <w:lang w:val="fr-FR"/>
        </w:rPr>
        <w:t xml:space="preserve">La mission est programmée pour </w:t>
      </w:r>
      <w:r w:rsidR="00B9034E">
        <w:rPr>
          <w:rFonts w:cstheme="minorHAnsi"/>
          <w:bCs/>
          <w:lang w:val="fr-FR"/>
        </w:rPr>
        <w:t>30</w:t>
      </w:r>
      <w:r w:rsidR="00803E8D" w:rsidRPr="00803E8D">
        <w:rPr>
          <w:rFonts w:cstheme="minorHAnsi"/>
          <w:bCs/>
          <w:lang w:val="fr-FR"/>
        </w:rPr>
        <w:t xml:space="preserve"> jours ouvrables repartis sur </w:t>
      </w:r>
      <w:r w:rsidR="00301ADA">
        <w:rPr>
          <w:rFonts w:cstheme="minorHAnsi"/>
          <w:bCs/>
          <w:lang w:val="fr-FR"/>
        </w:rPr>
        <w:t>1</w:t>
      </w:r>
      <w:r w:rsidR="00B9034E">
        <w:rPr>
          <w:rFonts w:cstheme="minorHAnsi"/>
          <w:bCs/>
          <w:lang w:val="fr-FR"/>
        </w:rPr>
        <w:t>.5</w:t>
      </w:r>
      <w:r w:rsidR="00803E8D" w:rsidRPr="00803E8D">
        <w:rPr>
          <w:rFonts w:cstheme="minorHAnsi"/>
          <w:bCs/>
          <w:lang w:val="fr-FR"/>
        </w:rPr>
        <w:t xml:space="preserve"> mois</w:t>
      </w:r>
      <w:r w:rsidR="003505F2" w:rsidRPr="00803E8D">
        <w:rPr>
          <w:rFonts w:cstheme="minorHAnsi"/>
          <w:bCs/>
          <w:lang w:val="fr-FR"/>
        </w:rPr>
        <w:t xml:space="preserve"> </w:t>
      </w:r>
    </w:p>
    <w:p w14:paraId="0D5CA887" w14:textId="35B5115F" w:rsidR="00FB00F8" w:rsidRPr="000B57AC" w:rsidRDefault="00FB00F8" w:rsidP="00D56C11">
      <w:pPr>
        <w:tabs>
          <w:tab w:val="left" w:pos="1410"/>
        </w:tabs>
        <w:rPr>
          <w:rFonts w:cstheme="minorHAnsi"/>
          <w:bCs/>
          <w:lang w:val="fr-FR"/>
        </w:rPr>
      </w:pPr>
      <w:r>
        <w:rPr>
          <w:rFonts w:cstheme="minorHAnsi"/>
          <w:b/>
          <w:lang w:val="fr-FR"/>
        </w:rPr>
        <w:t xml:space="preserve">Lieu de prestation : </w:t>
      </w:r>
      <w:r w:rsidR="009D41A5" w:rsidRPr="000B57AC">
        <w:rPr>
          <w:rFonts w:cstheme="minorHAnsi"/>
          <w:bCs/>
          <w:lang w:val="fr-FR"/>
        </w:rPr>
        <w:t>Kinshasa</w:t>
      </w:r>
      <w:r w:rsidR="000B57AC" w:rsidRPr="000B57AC">
        <w:rPr>
          <w:rFonts w:cstheme="minorHAnsi"/>
          <w:bCs/>
          <w:lang w:val="fr-FR"/>
        </w:rPr>
        <w:t>, République Démocratique du Congo</w:t>
      </w:r>
    </w:p>
    <w:p w14:paraId="4294F1B8" w14:textId="2E80F917" w:rsidR="00D56C11" w:rsidRPr="003A7D2F" w:rsidRDefault="00D56C11" w:rsidP="003505F2">
      <w:pPr>
        <w:spacing w:after="0" w:line="240" w:lineRule="auto"/>
        <w:jc w:val="both"/>
        <w:rPr>
          <w:rFonts w:eastAsia="Times New Roman" w:cstheme="minorHAnsi"/>
          <w:b/>
          <w:bCs/>
          <w:lang w:val="fr-FR" w:eastAsia="rw-RW"/>
        </w:rPr>
      </w:pPr>
      <w:r w:rsidRPr="003A7D2F">
        <w:rPr>
          <w:rFonts w:eastAsia="Times New Roman" w:cstheme="minorHAnsi"/>
          <w:b/>
          <w:bCs/>
          <w:lang w:val="fr-FR" w:eastAsia="rw-RW"/>
        </w:rPr>
        <w:t xml:space="preserve">Prière envoyer vos propositions (propositions technique et financière) dûment signées à l’adresse e-mail </w:t>
      </w:r>
      <w:r w:rsidR="003F640F" w:rsidRPr="003A7D2F">
        <w:rPr>
          <w:rStyle w:val="Lienhypertexte"/>
          <w:rFonts w:eastAsia="Times New Roman" w:cstheme="minorHAnsi"/>
          <w:b/>
          <w:bCs/>
          <w:lang w:val="fr-FR" w:eastAsia="rw-RW"/>
        </w:rPr>
        <w:t>ic.soumission.cd@undp.org</w:t>
      </w:r>
      <w:r w:rsidRPr="003A7D2F">
        <w:rPr>
          <w:rFonts w:eastAsia="Times New Roman" w:cstheme="minorHAnsi"/>
          <w:b/>
          <w:bCs/>
          <w:lang w:val="fr-FR" w:eastAsia="rw-RW"/>
        </w:rPr>
        <w:t xml:space="preserve"> </w:t>
      </w:r>
      <w:r w:rsidR="003A7D2F" w:rsidRPr="00E06E56">
        <w:rPr>
          <w:rFonts w:eastAsia="Times New Roman" w:cstheme="minorHAnsi"/>
          <w:b/>
          <w:bCs/>
          <w:lang w:val="fr-FR" w:eastAsia="rw-RW"/>
        </w:rPr>
        <w:t>avec mention de la référence et intitulé du dossier « </w:t>
      </w:r>
      <w:r w:rsidR="00301ADA">
        <w:rPr>
          <w:rFonts w:eastAsia="Times New Roman" w:cstheme="minorHAnsi"/>
          <w:b/>
          <w:bCs/>
          <w:lang w:val="fr-FR" w:eastAsia="rw-RW"/>
        </w:rPr>
        <w:t>23</w:t>
      </w:r>
      <w:r w:rsidR="00B9034E">
        <w:rPr>
          <w:rFonts w:eastAsia="Times New Roman" w:cstheme="minorHAnsi"/>
          <w:b/>
          <w:bCs/>
          <w:lang w:val="fr-FR" w:eastAsia="rw-RW"/>
        </w:rPr>
        <w:t>6</w:t>
      </w:r>
      <w:r w:rsidR="004124E0" w:rsidRPr="004124E0">
        <w:rPr>
          <w:rFonts w:eastAsia="Times New Roman" w:cstheme="minorHAnsi"/>
          <w:b/>
          <w:bCs/>
          <w:lang w:val="fr-FR" w:eastAsia="rw-RW"/>
        </w:rPr>
        <w:t>/IC/</w:t>
      </w:r>
      <w:r w:rsidR="00803E8D">
        <w:rPr>
          <w:rFonts w:eastAsia="Times New Roman" w:cstheme="minorHAnsi"/>
          <w:b/>
          <w:bCs/>
          <w:lang w:val="fr-FR" w:eastAsia="rw-RW"/>
        </w:rPr>
        <w:t>CIDD_</w:t>
      </w:r>
      <w:r w:rsidR="001608DE">
        <w:rPr>
          <w:rFonts w:eastAsia="Times New Roman" w:cstheme="minorHAnsi"/>
          <w:b/>
          <w:bCs/>
          <w:lang w:val="fr-FR" w:eastAsia="rw-RW"/>
        </w:rPr>
        <w:t>MED</w:t>
      </w:r>
      <w:r w:rsidR="004124E0" w:rsidRPr="004124E0">
        <w:rPr>
          <w:rFonts w:eastAsia="Times New Roman" w:cstheme="minorHAnsi"/>
          <w:b/>
          <w:bCs/>
          <w:lang w:val="fr-FR" w:eastAsia="rw-RW"/>
        </w:rPr>
        <w:t>/2020</w:t>
      </w:r>
      <w:r w:rsidR="005A1999">
        <w:rPr>
          <w:rFonts w:eastAsia="Times New Roman" w:cstheme="minorHAnsi"/>
          <w:b/>
          <w:bCs/>
          <w:lang w:val="fr-FR" w:eastAsia="rw-RW"/>
        </w:rPr>
        <w:t>-B</w:t>
      </w:r>
      <w:r w:rsidR="004124E0">
        <w:rPr>
          <w:rFonts w:eastAsia="Times New Roman" w:cstheme="minorHAnsi"/>
          <w:b/>
          <w:bCs/>
          <w:lang w:val="fr-FR" w:eastAsia="rw-RW"/>
        </w:rPr>
        <w:t xml:space="preserve"> </w:t>
      </w:r>
      <w:r w:rsidR="003A7D2F">
        <w:rPr>
          <w:rFonts w:eastAsia="Times New Roman" w:cstheme="minorHAnsi"/>
          <w:b/>
          <w:bCs/>
          <w:lang w:val="fr-FR" w:eastAsia="rw-RW"/>
        </w:rPr>
        <w:t>–</w:t>
      </w:r>
      <w:r w:rsidR="003A7D2F" w:rsidRPr="00E06E56">
        <w:rPr>
          <w:rFonts w:eastAsia="Times New Roman" w:cstheme="minorHAnsi"/>
          <w:b/>
          <w:bCs/>
          <w:lang w:val="fr-FR" w:eastAsia="rw-RW"/>
        </w:rPr>
        <w:t xml:space="preserve"> </w:t>
      </w:r>
      <w:bookmarkStart w:id="8" w:name="_Hlk50698593"/>
      <w:r w:rsidR="004124E0" w:rsidRPr="004124E0">
        <w:rPr>
          <w:rFonts w:eastAsia="Times New Roman" w:cstheme="minorHAnsi"/>
          <w:b/>
          <w:bCs/>
          <w:lang w:val="fr-FR" w:eastAsia="rw-RW"/>
        </w:rPr>
        <w:t xml:space="preserve">Recrutement </w:t>
      </w:r>
      <w:r w:rsidR="001608DE" w:rsidRPr="001608DE">
        <w:rPr>
          <w:rFonts w:eastAsia="Times New Roman" w:cstheme="minorHAnsi"/>
          <w:b/>
          <w:bCs/>
          <w:lang w:val="fr-FR" w:eastAsia="rw-RW"/>
        </w:rPr>
        <w:t xml:space="preserve">d’un(e) consultant(e) </w:t>
      </w:r>
      <w:r w:rsidR="000B57AC" w:rsidRPr="000B57AC">
        <w:rPr>
          <w:rFonts w:eastAsia="Times New Roman" w:cstheme="minorHAnsi"/>
          <w:b/>
          <w:bCs/>
          <w:lang w:val="fr-FR" w:eastAsia="rw-RW"/>
        </w:rPr>
        <w:t xml:space="preserve">Senior Spécialiste d’expertise internationale </w:t>
      </w:r>
      <w:r w:rsidR="001608DE" w:rsidRPr="001608DE">
        <w:rPr>
          <w:rFonts w:eastAsia="Times New Roman" w:cstheme="minorHAnsi"/>
          <w:b/>
          <w:bCs/>
          <w:lang w:val="fr-FR" w:eastAsia="rw-RW"/>
        </w:rPr>
        <w:t xml:space="preserve">pour la formulation </w:t>
      </w:r>
      <w:r w:rsidR="00B9034E" w:rsidRPr="00B9034E">
        <w:rPr>
          <w:rFonts w:eastAsia="Times New Roman" w:cstheme="minorHAnsi"/>
          <w:b/>
          <w:bCs/>
          <w:lang w:val="fr-FR" w:eastAsia="rw-RW"/>
        </w:rPr>
        <w:t>d’un document de programme structurant d’appui aux chaines des valeurs porteuses en Agro-business pour la période 2020-</w:t>
      </w:r>
      <w:r w:rsidR="000B57AC" w:rsidRPr="00B9034E">
        <w:rPr>
          <w:rFonts w:eastAsia="Times New Roman" w:cstheme="minorHAnsi"/>
          <w:b/>
          <w:bCs/>
          <w:lang w:val="fr-FR" w:eastAsia="rw-RW"/>
        </w:rPr>
        <w:t>2024</w:t>
      </w:r>
      <w:r w:rsidR="000B57AC">
        <w:rPr>
          <w:rFonts w:eastAsia="Times New Roman" w:cstheme="minorHAnsi"/>
          <w:b/>
          <w:bCs/>
          <w:lang w:val="fr-FR" w:eastAsia="rw-RW"/>
        </w:rPr>
        <w:t xml:space="preserve"> »</w:t>
      </w:r>
    </w:p>
    <w:bookmarkEnd w:id="8"/>
    <w:p w14:paraId="2D27CDB0" w14:textId="77777777" w:rsidR="004124E0" w:rsidRPr="00687F7C" w:rsidRDefault="004124E0" w:rsidP="00D56C11">
      <w:pPr>
        <w:spacing w:after="0" w:line="240" w:lineRule="auto"/>
        <w:jc w:val="both"/>
        <w:rPr>
          <w:rFonts w:ascii="Times New Roman" w:hAnsi="Times New Roman" w:cs="Times New Roman"/>
          <w:b/>
          <w:bCs/>
          <w:i/>
          <w:iCs/>
          <w:sz w:val="24"/>
          <w:szCs w:val="24"/>
          <w:highlight w:val="yellow"/>
          <w:u w:val="single"/>
          <w:lang w:val="fr-CD"/>
        </w:rPr>
      </w:pPr>
    </w:p>
    <w:p w14:paraId="2E9CE2E5" w14:textId="0D8C721C" w:rsidR="00C76D0D" w:rsidRDefault="00C76D0D" w:rsidP="00D56C11">
      <w:pPr>
        <w:spacing w:after="0" w:line="240" w:lineRule="auto"/>
        <w:jc w:val="both"/>
        <w:rPr>
          <w:rFonts w:ascii="Times New Roman" w:hAnsi="Times New Roman" w:cs="Times New Roman"/>
          <w:b/>
          <w:bCs/>
          <w:i/>
          <w:iCs/>
          <w:sz w:val="24"/>
          <w:szCs w:val="24"/>
          <w:u w:val="single"/>
          <w:lang w:val="fr-CD"/>
        </w:rPr>
      </w:pPr>
      <w:r w:rsidRPr="00C76D0D">
        <w:rPr>
          <w:rFonts w:ascii="Times New Roman" w:hAnsi="Times New Roman" w:cs="Times New Roman"/>
          <w:b/>
          <w:bCs/>
          <w:i/>
          <w:iCs/>
          <w:sz w:val="24"/>
          <w:szCs w:val="24"/>
          <w:highlight w:val="yellow"/>
          <w:u w:val="single"/>
          <w:lang w:val="fr-CD"/>
        </w:rPr>
        <w:t xml:space="preserve">Veuillez noter qu´il est obligatoire d´indiquer cette référence dans l´objet du message et de respecter l’adresse e-mail </w:t>
      </w:r>
      <w:hyperlink r:id="rId11" w:history="1">
        <w:r w:rsidRPr="00C76D0D">
          <w:rPr>
            <w:rStyle w:val="Lienhypertexte"/>
            <w:rFonts w:ascii="Times New Roman" w:hAnsi="Times New Roman" w:cs="Times New Roman"/>
            <w:b/>
            <w:bCs/>
            <w:i/>
            <w:iCs/>
            <w:sz w:val="24"/>
            <w:szCs w:val="24"/>
            <w:highlight w:val="yellow"/>
            <w:lang w:val="fr-CD"/>
          </w:rPr>
          <w:t>ic.soumission.cd@undp.org</w:t>
        </w:r>
      </w:hyperlink>
      <w:r w:rsidRPr="00C76D0D">
        <w:rPr>
          <w:rFonts w:ascii="Times New Roman" w:hAnsi="Times New Roman" w:cs="Times New Roman"/>
          <w:b/>
          <w:bCs/>
          <w:i/>
          <w:iCs/>
          <w:sz w:val="24"/>
          <w:szCs w:val="24"/>
          <w:highlight w:val="yellow"/>
          <w:u w:val="single"/>
          <w:lang w:val="fr-CD"/>
        </w:rPr>
        <w:t xml:space="preserve"> </w:t>
      </w:r>
      <w:r>
        <w:rPr>
          <w:rFonts w:ascii="Times New Roman" w:hAnsi="Times New Roman" w:cs="Times New Roman"/>
          <w:b/>
          <w:bCs/>
          <w:i/>
          <w:iCs/>
          <w:sz w:val="24"/>
          <w:szCs w:val="24"/>
          <w:highlight w:val="yellow"/>
          <w:u w:val="single"/>
          <w:lang w:val="fr-CD"/>
        </w:rPr>
        <w:t>pour la</w:t>
      </w:r>
      <w:r w:rsidRPr="00C76D0D">
        <w:rPr>
          <w:rFonts w:ascii="Times New Roman" w:hAnsi="Times New Roman" w:cs="Times New Roman"/>
          <w:b/>
          <w:bCs/>
          <w:i/>
          <w:iCs/>
          <w:sz w:val="24"/>
          <w:szCs w:val="24"/>
          <w:highlight w:val="yellow"/>
          <w:u w:val="single"/>
          <w:lang w:val="fr-CD"/>
        </w:rPr>
        <w:t xml:space="preserve"> soumission des offres. Les propositions transmises sans indiquer la référence correcte du dossier ni transmise à l’adresse e-mail indiquée pourraient ne pas être prises en compte</w:t>
      </w:r>
    </w:p>
    <w:p w14:paraId="267B8084" w14:textId="77777777" w:rsidR="004124E0" w:rsidRDefault="004124E0" w:rsidP="00D56C11">
      <w:pPr>
        <w:spacing w:after="0" w:line="240" w:lineRule="auto"/>
        <w:jc w:val="both"/>
        <w:rPr>
          <w:rFonts w:cstheme="minorHAnsi"/>
          <w:b/>
          <w:lang w:val="fr-FR"/>
        </w:rPr>
      </w:pPr>
    </w:p>
    <w:p w14:paraId="670A0119" w14:textId="0258DF4F" w:rsidR="00D56C11" w:rsidRDefault="00682EC3" w:rsidP="00D56C11">
      <w:pPr>
        <w:spacing w:after="0" w:line="240" w:lineRule="auto"/>
        <w:jc w:val="both"/>
        <w:rPr>
          <w:rFonts w:cstheme="minorHAnsi"/>
          <w:b/>
          <w:lang w:val="fr-FR"/>
        </w:rPr>
      </w:pPr>
      <w:r w:rsidRPr="00682EC3">
        <w:rPr>
          <w:rFonts w:cstheme="minorHAnsi"/>
          <w:b/>
          <w:lang w:val="fr-FR"/>
        </w:rPr>
        <w:t>Votre soumission doit être rédigée en Français et assortie d’une durée de validité minimum de 120 (cent-vingt) jours.</w:t>
      </w:r>
    </w:p>
    <w:p w14:paraId="01E706E8" w14:textId="77777777" w:rsidR="00682EC3" w:rsidRPr="007260D6" w:rsidRDefault="00682EC3" w:rsidP="00D56C11">
      <w:pPr>
        <w:spacing w:after="0" w:line="240" w:lineRule="auto"/>
        <w:jc w:val="both"/>
        <w:rPr>
          <w:rFonts w:cstheme="minorHAnsi"/>
          <w:b/>
          <w:lang w:val="fr-FR"/>
        </w:rPr>
      </w:pPr>
    </w:p>
    <w:p w14:paraId="05D91372" w14:textId="2908257E" w:rsidR="00D56C11" w:rsidRPr="00F92DEC" w:rsidRDefault="00D56C11" w:rsidP="00D56C11">
      <w:pPr>
        <w:spacing w:after="0" w:line="240" w:lineRule="auto"/>
        <w:jc w:val="both"/>
        <w:rPr>
          <w:rFonts w:cstheme="minorHAnsi"/>
          <w:b/>
          <w:u w:val="single"/>
          <w:lang w:val="fr-FR"/>
        </w:rPr>
      </w:pPr>
      <w:r w:rsidRPr="007260D6">
        <w:rPr>
          <w:rFonts w:cstheme="minorHAnsi"/>
          <w:b/>
          <w:lang w:val="fr-FR"/>
        </w:rPr>
        <w:t xml:space="preserve">Votre proposition devra être reçue au plus tard </w:t>
      </w:r>
      <w:r w:rsidRPr="002D6025">
        <w:rPr>
          <w:rFonts w:cstheme="minorHAnsi"/>
          <w:b/>
          <w:highlight w:val="yellow"/>
          <w:u w:val="single"/>
          <w:lang w:val="fr-FR"/>
        </w:rPr>
        <w:t>le</w:t>
      </w:r>
      <w:r w:rsidR="00EB217C" w:rsidRPr="002D6025">
        <w:rPr>
          <w:rFonts w:cstheme="minorHAnsi"/>
          <w:b/>
          <w:highlight w:val="yellow"/>
          <w:u w:val="single"/>
          <w:lang w:val="fr-FR"/>
        </w:rPr>
        <w:t xml:space="preserve"> </w:t>
      </w:r>
      <w:r w:rsidR="005A1999">
        <w:rPr>
          <w:rFonts w:cstheme="minorHAnsi"/>
          <w:b/>
          <w:highlight w:val="yellow"/>
          <w:u w:val="single"/>
          <w:lang w:val="fr-FR"/>
        </w:rPr>
        <w:t>mar</w:t>
      </w:r>
      <w:r w:rsidR="001608DE">
        <w:rPr>
          <w:rFonts w:cstheme="minorHAnsi"/>
          <w:b/>
          <w:highlight w:val="yellow"/>
          <w:u w:val="single"/>
          <w:lang w:val="fr-FR"/>
        </w:rPr>
        <w:t>di</w:t>
      </w:r>
      <w:r w:rsidR="00803E8D">
        <w:rPr>
          <w:rFonts w:cstheme="minorHAnsi"/>
          <w:b/>
          <w:highlight w:val="yellow"/>
          <w:u w:val="single"/>
          <w:lang w:val="fr-FR"/>
        </w:rPr>
        <w:t xml:space="preserve"> </w:t>
      </w:r>
      <w:r w:rsidR="005A1999">
        <w:rPr>
          <w:rFonts w:cstheme="minorHAnsi"/>
          <w:b/>
          <w:highlight w:val="yellow"/>
          <w:u w:val="single"/>
          <w:lang w:val="fr-FR"/>
        </w:rPr>
        <w:t>24</w:t>
      </w:r>
      <w:r w:rsidR="00B9034E">
        <w:rPr>
          <w:rFonts w:cstheme="minorHAnsi"/>
          <w:b/>
          <w:highlight w:val="yellow"/>
          <w:u w:val="single"/>
          <w:lang w:val="fr-FR"/>
        </w:rPr>
        <w:t xml:space="preserve"> novembre</w:t>
      </w:r>
      <w:r w:rsidR="00764FD8" w:rsidRPr="008F46FD">
        <w:rPr>
          <w:rFonts w:cstheme="minorHAnsi"/>
          <w:b/>
          <w:highlight w:val="yellow"/>
          <w:u w:val="single"/>
          <w:lang w:val="fr-FR"/>
        </w:rPr>
        <w:t xml:space="preserve"> 2020</w:t>
      </w:r>
      <w:r w:rsidRPr="008F46FD">
        <w:rPr>
          <w:rFonts w:cstheme="minorHAnsi"/>
          <w:b/>
          <w:highlight w:val="yellow"/>
          <w:u w:val="single"/>
          <w:lang w:val="fr-FR"/>
        </w:rPr>
        <w:t xml:space="preserve"> à </w:t>
      </w:r>
      <w:r w:rsidR="00764FD8" w:rsidRPr="008F46FD">
        <w:rPr>
          <w:rFonts w:cstheme="minorHAnsi"/>
          <w:b/>
          <w:highlight w:val="yellow"/>
          <w:u w:val="single"/>
          <w:lang w:val="fr-FR"/>
        </w:rPr>
        <w:t>1</w:t>
      </w:r>
      <w:r w:rsidR="008F46FD">
        <w:rPr>
          <w:rFonts w:cstheme="minorHAnsi"/>
          <w:b/>
          <w:highlight w:val="yellow"/>
          <w:u w:val="single"/>
          <w:lang w:val="fr-FR"/>
        </w:rPr>
        <w:t>6</w:t>
      </w:r>
      <w:r w:rsidRPr="008F46FD">
        <w:rPr>
          <w:rFonts w:cstheme="minorHAnsi"/>
          <w:b/>
          <w:highlight w:val="yellow"/>
          <w:u w:val="single"/>
          <w:lang w:val="fr-FR"/>
        </w:rPr>
        <w:t xml:space="preserve"> </w:t>
      </w:r>
      <w:r w:rsidR="00503510" w:rsidRPr="008F46FD">
        <w:rPr>
          <w:rFonts w:cstheme="minorHAnsi"/>
          <w:b/>
          <w:highlight w:val="yellow"/>
          <w:u w:val="single"/>
          <w:lang w:val="fr-FR"/>
        </w:rPr>
        <w:t>heures</w:t>
      </w:r>
      <w:r w:rsidR="00503510">
        <w:rPr>
          <w:rFonts w:cstheme="minorHAnsi"/>
          <w:b/>
          <w:highlight w:val="yellow"/>
          <w:u w:val="single"/>
          <w:lang w:val="fr-FR"/>
        </w:rPr>
        <w:t>,</w:t>
      </w:r>
      <w:r w:rsidR="008F46FD">
        <w:rPr>
          <w:rFonts w:cstheme="minorHAnsi"/>
          <w:b/>
          <w:highlight w:val="yellow"/>
          <w:u w:val="single"/>
          <w:lang w:val="fr-FR"/>
        </w:rPr>
        <w:t xml:space="preserve"> heure</w:t>
      </w:r>
      <w:r w:rsidRPr="008F46FD">
        <w:rPr>
          <w:rFonts w:cstheme="minorHAnsi"/>
          <w:b/>
          <w:highlight w:val="yellow"/>
          <w:u w:val="single"/>
          <w:lang w:val="fr-FR"/>
        </w:rPr>
        <w:t xml:space="preserve"> de </w:t>
      </w:r>
      <w:r w:rsidR="00170915" w:rsidRPr="008F46FD">
        <w:rPr>
          <w:rFonts w:cstheme="minorHAnsi"/>
          <w:b/>
          <w:highlight w:val="yellow"/>
          <w:u w:val="single"/>
          <w:lang w:val="fr-FR"/>
        </w:rPr>
        <w:t>Kinshasa</w:t>
      </w:r>
    </w:p>
    <w:p w14:paraId="73CBBD73" w14:textId="77777777" w:rsidR="002E6AFF" w:rsidRPr="007260D6" w:rsidRDefault="002E6AFF" w:rsidP="002E6AFF">
      <w:pPr>
        <w:spacing w:after="0" w:line="240" w:lineRule="auto"/>
        <w:jc w:val="both"/>
        <w:rPr>
          <w:rFonts w:cstheme="minorHAnsi"/>
          <w:b/>
          <w:lang w:val="fr-FR"/>
        </w:rPr>
      </w:pPr>
      <w:r w:rsidRPr="007260D6">
        <w:rPr>
          <w:rStyle w:val="lev"/>
          <w:rFonts w:cstheme="minorHAnsi"/>
          <w:lang w:val="fr-FR"/>
        </w:rPr>
        <w:t>Toute offre soumise après ce délai sera automatiquement rejetée.</w:t>
      </w:r>
    </w:p>
    <w:p w14:paraId="597FD8A4" w14:textId="77777777" w:rsidR="004124E0" w:rsidRPr="007260D6" w:rsidRDefault="004124E0" w:rsidP="00D56C11">
      <w:pPr>
        <w:spacing w:after="0" w:line="240" w:lineRule="auto"/>
        <w:jc w:val="both"/>
        <w:rPr>
          <w:rFonts w:cstheme="minorHAnsi"/>
          <w:lang w:val="fr-FR"/>
        </w:rPr>
      </w:pPr>
    </w:p>
    <w:p w14:paraId="4881D92D" w14:textId="77777777" w:rsidR="00D56C11" w:rsidRPr="007260D6" w:rsidRDefault="00D56C11" w:rsidP="00D56C11">
      <w:pPr>
        <w:pStyle w:val="Retraitcorpsdetexte"/>
        <w:ind w:left="0"/>
        <w:jc w:val="both"/>
        <w:rPr>
          <w:rFonts w:asciiTheme="minorHAnsi" w:hAnsiTheme="minorHAnsi" w:cstheme="minorHAnsi"/>
          <w:sz w:val="22"/>
          <w:szCs w:val="22"/>
        </w:rPr>
      </w:pPr>
      <w:r w:rsidRPr="007260D6">
        <w:rPr>
          <w:rFonts w:asciiTheme="minorHAnsi" w:hAnsiTheme="minorHAnsi" w:cstheme="minorHAnsi"/>
          <w:sz w:val="22"/>
          <w:szCs w:val="22"/>
        </w:rPr>
        <w:t xml:space="preserve">N’hésitez pas à écrire à l’adresse </w:t>
      </w:r>
      <w:hyperlink r:id="rId12" w:history="1">
        <w:r w:rsidR="004B1614" w:rsidRPr="007260D6">
          <w:rPr>
            <w:rStyle w:val="Lienhypertexte"/>
            <w:rFonts w:asciiTheme="minorHAnsi" w:hAnsiTheme="minorHAnsi" w:cstheme="minorHAnsi"/>
            <w:sz w:val="22"/>
            <w:szCs w:val="22"/>
          </w:rPr>
          <w:t>soumission.info@undp.org</w:t>
        </w:r>
      </w:hyperlink>
      <w:r w:rsidRPr="007260D6">
        <w:rPr>
          <w:rFonts w:asciiTheme="minorHAnsi" w:hAnsiTheme="minorHAnsi" w:cstheme="minorHAnsi"/>
          <w:sz w:val="22"/>
          <w:szCs w:val="22"/>
        </w:rPr>
        <w:t xml:space="preserve"> pour toute information complémentaire avant la date limite de dépôt des offres. </w:t>
      </w:r>
    </w:p>
    <w:p w14:paraId="1E7AB95A" w14:textId="3A2A301A" w:rsidR="001262DF" w:rsidRPr="001262DF" w:rsidRDefault="001262DF" w:rsidP="00D56C11">
      <w:pPr>
        <w:spacing w:after="0" w:line="240" w:lineRule="auto"/>
        <w:jc w:val="both"/>
        <w:rPr>
          <w:rFonts w:cstheme="minorHAnsi"/>
          <w:b/>
          <w:color w:val="0000FF"/>
          <w:sz w:val="40"/>
          <w:szCs w:val="40"/>
          <w:u w:val="single"/>
          <w:lang w:val="fr-FR"/>
        </w:rPr>
      </w:pPr>
      <w:r w:rsidRPr="001262DF">
        <w:rPr>
          <w:rFonts w:cstheme="minorHAnsi"/>
          <w:b/>
          <w:color w:val="0000FF"/>
          <w:sz w:val="40"/>
          <w:szCs w:val="40"/>
          <w:u w:val="single"/>
          <w:lang w:val="fr-FR"/>
        </w:rPr>
        <w:t>Les candidatures féminines sont vivement encouragées</w:t>
      </w:r>
    </w:p>
    <w:p w14:paraId="05687D1A" w14:textId="7A2A94B6" w:rsidR="009E2B22" w:rsidRPr="007260D6" w:rsidRDefault="00DA6EEB" w:rsidP="009E2B22">
      <w:pPr>
        <w:tabs>
          <w:tab w:val="left" w:pos="1410"/>
        </w:tabs>
        <w:rPr>
          <w:rFonts w:cstheme="minorHAnsi"/>
          <w:lang w:val="fr-FR"/>
        </w:rPr>
      </w:pPr>
      <w:r w:rsidRPr="007260D6">
        <w:rPr>
          <w:rFonts w:cstheme="minorHAnsi"/>
          <w:noProof/>
          <w:lang w:val="fr-FR" w:eastAsia="fr-FR"/>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F66203"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13E55A30" w14:textId="77777777" w:rsidR="004068DF" w:rsidRPr="00B060AE" w:rsidRDefault="004068DF" w:rsidP="009E2B22">
      <w:pPr>
        <w:tabs>
          <w:tab w:val="left" w:pos="1410"/>
        </w:tabs>
        <w:rPr>
          <w:rFonts w:cstheme="minorHAnsi"/>
          <w:b/>
          <w:u w:val="single"/>
          <w:lang w:val="fr-CD"/>
        </w:rPr>
      </w:pPr>
    </w:p>
    <w:p w14:paraId="1493FC61" w14:textId="502B8A72" w:rsidR="009E2B22" w:rsidRPr="003A7D2F" w:rsidRDefault="009E2B22" w:rsidP="009E2B22">
      <w:pPr>
        <w:tabs>
          <w:tab w:val="left" w:pos="1410"/>
        </w:tabs>
        <w:rPr>
          <w:rFonts w:cstheme="minorHAnsi"/>
          <w:b/>
          <w:u w:val="single"/>
          <w:lang w:val="fr-FR"/>
        </w:rPr>
      </w:pPr>
      <w:r w:rsidRPr="003A7D2F">
        <w:rPr>
          <w:rFonts w:cstheme="minorHAnsi"/>
          <w:b/>
          <w:u w:val="single"/>
          <w:lang w:val="fr-FR"/>
        </w:rPr>
        <w:t xml:space="preserve">1. </w:t>
      </w:r>
      <w:r w:rsidR="00213A46" w:rsidRPr="003A7D2F">
        <w:rPr>
          <w:rFonts w:cstheme="minorHAnsi"/>
          <w:b/>
          <w:u w:val="single"/>
          <w:lang w:val="fr-FR"/>
        </w:rPr>
        <w:t xml:space="preserve">Contexte </w:t>
      </w:r>
    </w:p>
    <w:tbl>
      <w:tblPr>
        <w:tblStyle w:val="Grilledutableau"/>
        <w:tblW w:w="0" w:type="auto"/>
        <w:tblLook w:val="04A0" w:firstRow="1" w:lastRow="0" w:firstColumn="1" w:lastColumn="0" w:noHBand="0" w:noVBand="1"/>
      </w:tblPr>
      <w:tblGrid>
        <w:gridCol w:w="9350"/>
      </w:tblGrid>
      <w:tr w:rsidR="002A57CC" w:rsidRPr="00EC386A" w14:paraId="60EECF8A" w14:textId="77777777" w:rsidTr="00174B83">
        <w:tc>
          <w:tcPr>
            <w:tcW w:w="9350" w:type="dxa"/>
          </w:tcPr>
          <w:p w14:paraId="6633FF81" w14:textId="77777777"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 xml:space="preserve">Le Bureau Pays du PNUD en RDC vient d’entrer dans une nouvelle phase programmatique au regard des nouveaux enjeux de développement en RDC.  Le nouveau programme adopté au mois de janvier 2020, pour une nouvelle période allant de 2020 à 2024 est orienté autour de 3 priorités programmatiques essentielles à savoir, (1) Gouvernance pour le développement durable (2) La transformation économique, la gestion durable des ressources naturelles (3) et l’Appui à la stabilisation et le renforcement de la résilience des populations. Ce cadre cohérent d’intervention est aligné aux objectifs de développement durable et se propose d’être un levier de transformation pour la période concernée. </w:t>
            </w:r>
          </w:p>
          <w:p w14:paraId="73DDE63B" w14:textId="77777777"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 xml:space="preserve">Ce nouveau programme, endossé aux priorités nationales, se propose d’apporter des réponses aux différentes sollicitations dans un contexte de persistance de la pauvreté et de résurgences des conflits mais également la forte exposition aux différentes épidémies.  L’indice de développement humain de la RDC est l’un de plus faible et se positionne à la 176è/180 place avec plus d’un million des populations congolaises réfugiés dans les pays voisins fuyant la situation des conflits mais également l’absence des opportunités économiques. </w:t>
            </w:r>
          </w:p>
          <w:p w14:paraId="1A308570" w14:textId="77777777"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 xml:space="preserve">Eu égard au contexte sanitaire mondial actuel, le présent programme rejoint la stratégie de réponse du PNUD au COVID-19 à travers (1) La construction d’un nouveau contrat social fondé sur le respect des droits une grande solidarité dans le secteur agricole et minier, (2) La révolution des capacités axée sur la santé et la lutte contre les inégalités de revenus, notamment à travers le renforcement du secteur de santé d’une part, ainsi que l’appui aux PME et PMI d’autre part, (3) La paix grâce à des institutions et une société pacifiques et résilientes capables de prévention, de préparation et de gestion des risques, et (4) Des solutions climatiques et naturelles à travers une transition basée sur le climat et la nature ayant pour objectif de faire baisser sensiblement la croissance des émissions de carbone, de la consommation et de la production non durables. </w:t>
            </w:r>
          </w:p>
          <w:p w14:paraId="527BD495" w14:textId="77777777"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 xml:space="preserve">Ainsi donc, la déclinaison du nouveau programme en des actions concrètes, est une voie incontournable vers la mise en œuvre et nécessite l’identification des meilleures approches et novatrices. La démarche est de rompre avec l’émiettement des interventions afin de privilégier des projets structurants susceptibles de transformer durablement la vie des populations concernées.  Il s’agit d’aborder les différents problèmes en ciblant le cœur du problème et proposer des interventions holistiques et catalytiques dans une perspective </w:t>
            </w:r>
            <w:proofErr w:type="gramStart"/>
            <w:r w:rsidRPr="00B9034E">
              <w:rPr>
                <w:rFonts w:ascii="Times New Roman" w:hAnsi="Times New Roman"/>
                <w:bCs/>
                <w:color w:val="000000" w:themeColor="text1"/>
                <w:lang w:val="fr-FR"/>
              </w:rPr>
              <w:t>d’effet significatifs</w:t>
            </w:r>
            <w:proofErr w:type="gramEnd"/>
            <w:r w:rsidRPr="00B9034E">
              <w:rPr>
                <w:rFonts w:ascii="Times New Roman" w:hAnsi="Times New Roman"/>
                <w:bCs/>
                <w:color w:val="000000" w:themeColor="text1"/>
                <w:lang w:val="fr-FR"/>
              </w:rPr>
              <w:t xml:space="preserve">. </w:t>
            </w:r>
          </w:p>
          <w:p w14:paraId="73972920" w14:textId="77777777"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L’appui aux chaines des valeurs agricoles</w:t>
            </w:r>
          </w:p>
          <w:p w14:paraId="09119808" w14:textId="77777777"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 xml:space="preserve">Le poids du secteur primaire dans la structure économique de la RDC aujourd’hui laisse entrevoir des faibles valeurs ajoutées avec une économie extravertie qui ne permet pas de rémunérer convenablement les différents facteurs. Ce secteur primaire représente près de 39.50 % du PIB avec environ 64% des emplois crées dont 84% sont localisées en milieu rural ou le niveau de pauvreté est le plus préoccupant. Il ressort des différentes analyses et diagnostics de la situation de la RDC qu’une nouvelle dynamique de diversification de son économie et de l’accélération de sa croissance afin d’améliorer les conditions de vie des populations congolaises est la voie royale pour transformation socioéconomique. </w:t>
            </w:r>
          </w:p>
          <w:p w14:paraId="03021180" w14:textId="77777777"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 xml:space="preserve">Cette option nécessite l’activation des appuis divers aux chaines des valeurs agricoles et minières, domaines dans lesquels des avantages comparatifs ne sont pas à démontrer. Il s’agit d’un appui holistique en appuyant sur les véritables moteurs de développement. </w:t>
            </w:r>
          </w:p>
          <w:p w14:paraId="0165FD86" w14:textId="77777777"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 xml:space="preserve">Du haut de ses 80 millions de terres arables, avec une hydrographie et la diversité de ses microclimats, la RDC dispose d’importants atouts pour faire de l’agriculture, un secteur clé de son développement et celle de la sous-région. L’appui aux chaines des valeurs pertinentes permettrait d’améliorer la sécurité alimentaire mais également la création des emplois et des revenus en milieu rural. </w:t>
            </w:r>
          </w:p>
          <w:p w14:paraId="40BB9CA1" w14:textId="77777777"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 xml:space="preserve">Des études antérieures menées par le Bureau Pays de la RDC, ont permis de cibler le riz, le maïs, le café, le cacao, l’huile de palme et le manioc sur base des critères consensuels allant de la contribution à la </w:t>
            </w:r>
            <w:r w:rsidRPr="00B9034E">
              <w:rPr>
                <w:rFonts w:ascii="Times New Roman" w:hAnsi="Times New Roman"/>
                <w:bCs/>
                <w:color w:val="000000" w:themeColor="text1"/>
                <w:lang w:val="fr-FR"/>
              </w:rPr>
              <w:lastRenderedPageBreak/>
              <w:t xml:space="preserve">sécurité alimentaire à l’accès aux marchés.  Cette étude a permis d’analyser chacune de ces chaines des valeurs afin de ressortir des feuilles de </w:t>
            </w:r>
            <w:proofErr w:type="gramStart"/>
            <w:r w:rsidRPr="00B9034E">
              <w:rPr>
                <w:rFonts w:ascii="Times New Roman" w:hAnsi="Times New Roman"/>
                <w:bCs/>
                <w:color w:val="000000" w:themeColor="text1"/>
                <w:lang w:val="fr-FR"/>
              </w:rPr>
              <w:t>routes pertinentes susceptible</w:t>
            </w:r>
            <w:proofErr w:type="gramEnd"/>
            <w:r w:rsidRPr="00B9034E">
              <w:rPr>
                <w:rFonts w:ascii="Times New Roman" w:hAnsi="Times New Roman"/>
                <w:bCs/>
                <w:color w:val="000000" w:themeColor="text1"/>
                <w:lang w:val="fr-FR"/>
              </w:rPr>
              <w:t xml:space="preserve"> d’impacter le développement global.  </w:t>
            </w:r>
          </w:p>
          <w:p w14:paraId="787497A2" w14:textId="77777777"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De manière globale, l’ambition à rechercher ici dans l’élaboration d’un programme structurant est le développement des modèles inclusifs permettant de faire de ces chaines des valeurs agricoles des véritables leviers sur lesquels il convient d’appuyer.</w:t>
            </w:r>
          </w:p>
          <w:p w14:paraId="3460CBAD" w14:textId="12D9A7D8" w:rsid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 xml:space="preserve">C’est pourquoi, le PNUD envisage de recruter un consultant de haut niveau à l’échelle </w:t>
            </w:r>
            <w:r w:rsidR="00557E0A">
              <w:rPr>
                <w:rFonts w:ascii="Times New Roman" w:hAnsi="Times New Roman"/>
                <w:bCs/>
                <w:color w:val="000000" w:themeColor="text1"/>
                <w:lang w:val="fr-FR"/>
              </w:rPr>
              <w:t>de l’expertise inter</w:t>
            </w:r>
            <w:r w:rsidRPr="00B9034E">
              <w:rPr>
                <w:rFonts w:ascii="Times New Roman" w:hAnsi="Times New Roman"/>
                <w:bCs/>
                <w:color w:val="000000" w:themeColor="text1"/>
                <w:lang w:val="fr-FR"/>
              </w:rPr>
              <w:t>nationale en vue de rédiger le document de programme structurant en appui aux chaines de valeurs agricole/agrobusiness pour la période 2020-2024, mais qui est capable en même temps de superviser un travail similaire dans le secteur des mines artisanales.</w:t>
            </w:r>
          </w:p>
          <w:p w14:paraId="23AF9843" w14:textId="68744C95" w:rsidR="001608DE" w:rsidRDefault="001608DE" w:rsidP="00803E8D">
            <w:pPr>
              <w:jc w:val="both"/>
              <w:rPr>
                <w:rFonts w:ascii="Times New Roman" w:hAnsi="Times New Roman"/>
                <w:bCs/>
                <w:color w:val="000000" w:themeColor="text1"/>
                <w:lang w:val="fr-FR"/>
              </w:rPr>
            </w:pPr>
          </w:p>
          <w:p w14:paraId="50AAE744" w14:textId="215F7223" w:rsidR="001608DE" w:rsidRDefault="001608DE" w:rsidP="00803E8D">
            <w:pPr>
              <w:jc w:val="both"/>
              <w:rPr>
                <w:rFonts w:ascii="Times New Roman" w:hAnsi="Times New Roman"/>
                <w:bCs/>
                <w:color w:val="000000" w:themeColor="text1"/>
                <w:lang w:val="fr-FR"/>
              </w:rPr>
            </w:pPr>
            <w:r>
              <w:rPr>
                <w:rFonts w:ascii="Times New Roman" w:hAnsi="Times New Roman"/>
                <w:bCs/>
                <w:color w:val="000000" w:themeColor="text1"/>
                <w:lang w:val="fr-FR"/>
              </w:rPr>
              <w:t>Objectifs</w:t>
            </w:r>
          </w:p>
          <w:p w14:paraId="65AA67BA" w14:textId="555A418E" w:rsidR="00B9034E" w:rsidRDefault="00B9034E" w:rsidP="00803E8D">
            <w:pPr>
              <w:jc w:val="both"/>
              <w:rPr>
                <w:rFonts w:ascii="Times New Roman" w:hAnsi="Times New Roman"/>
                <w:bCs/>
                <w:color w:val="000000" w:themeColor="text1"/>
                <w:lang w:val="fr-FR"/>
              </w:rPr>
            </w:pPr>
          </w:p>
          <w:p w14:paraId="4A39009A" w14:textId="77777777"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w:t>
            </w:r>
            <w:r w:rsidRPr="00B9034E">
              <w:rPr>
                <w:rFonts w:ascii="Times New Roman" w:hAnsi="Times New Roman"/>
                <w:bCs/>
                <w:color w:val="000000" w:themeColor="text1"/>
                <w:lang w:val="fr-FR"/>
              </w:rPr>
              <w:tab/>
              <w:t>Produire une analyse diagnostique relative au développement des chaines de valeur de l’agro-business.  Il s’agira pour l’essentiel de :</w:t>
            </w:r>
          </w:p>
          <w:p w14:paraId="07D8DDC1" w14:textId="311902FF"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ab/>
              <w:t xml:space="preserve">Identifier les chaines des valeurs porteuses et procéder à la priorisation sur base des critères consensuels et d’orientation politiques </w:t>
            </w:r>
          </w:p>
          <w:p w14:paraId="25BFE55E" w14:textId="2794BE1D"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ab/>
              <w:t xml:space="preserve">Explorer les éléments clés de succès et de d’échec dans le développement des chaines de valeur </w:t>
            </w:r>
          </w:p>
          <w:p w14:paraId="4DCF2016" w14:textId="104E3156"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ab/>
              <w:t xml:space="preserve">Procéder à l’Analyse des parties prenantes des différentes chaines des valeurs </w:t>
            </w:r>
          </w:p>
          <w:p w14:paraId="1E0EDD23" w14:textId="22C758B5"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ab/>
              <w:t>Elaborer une feuille de route pour l’appui aux chaines des valeurs sur base d’activités pertinentes devant être réalisées ;</w:t>
            </w:r>
          </w:p>
          <w:p w14:paraId="3B4645D5" w14:textId="54A2CE87"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ab/>
              <w:t>Explorer les options de d’intégration régionales et sous régionales des chaines des valeurs et de l’inclusion financière en lien avec les chaines des valeurs</w:t>
            </w:r>
          </w:p>
          <w:p w14:paraId="11F1C61D" w14:textId="77777777"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w:t>
            </w:r>
            <w:r w:rsidRPr="00B9034E">
              <w:rPr>
                <w:rFonts w:ascii="Times New Roman" w:hAnsi="Times New Roman"/>
                <w:bCs/>
                <w:color w:val="000000" w:themeColor="text1"/>
                <w:lang w:val="fr-FR"/>
              </w:rPr>
              <w:tab/>
              <w:t>Formuler le document de programme structurant d’appui aux chaines des valeurs agricoles pour la période 2020-2024 en RDC</w:t>
            </w:r>
          </w:p>
          <w:p w14:paraId="0349EFD3" w14:textId="04D9E26B"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ab/>
              <w:t>Elaborer la théorie de changement du nouveau programme d’appui aux chaines des valeurs agricoles assorti d’un cadre des résultats attendus et d’un budget ;</w:t>
            </w:r>
          </w:p>
          <w:p w14:paraId="4682285A" w14:textId="35CFE063"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ab/>
              <w:t xml:space="preserve">Définir la stratégie de mise en œuvre des différentes activités identifiées, pour la réalisation des résultats attendus ;  </w:t>
            </w:r>
          </w:p>
          <w:p w14:paraId="0A52CF1B" w14:textId="02E014AE"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ab/>
              <w:t xml:space="preserve">Proposer l’architecture de gouvernance du nouveau programme dans le contexte de la RDC pour la période concernée et les </w:t>
            </w:r>
            <w:proofErr w:type="spellStart"/>
            <w:r w:rsidRPr="00B9034E">
              <w:rPr>
                <w:rFonts w:ascii="Times New Roman" w:hAnsi="Times New Roman"/>
                <w:bCs/>
                <w:color w:val="000000" w:themeColor="text1"/>
                <w:lang w:val="fr-FR"/>
              </w:rPr>
              <w:t>drafts</w:t>
            </w:r>
            <w:proofErr w:type="spellEnd"/>
            <w:r w:rsidRPr="00B9034E">
              <w:rPr>
                <w:rFonts w:ascii="Times New Roman" w:hAnsi="Times New Roman"/>
                <w:bCs/>
                <w:color w:val="000000" w:themeColor="text1"/>
                <w:lang w:val="fr-FR"/>
              </w:rPr>
              <w:t xml:space="preserve"> des termes de références des membres de l’unité de mise en œuvre ;</w:t>
            </w:r>
          </w:p>
          <w:p w14:paraId="0291CF83" w14:textId="6985FB19" w:rsid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ab/>
              <w:t>Proposer un plan de suivi et d’évaluation ainsi que l’analyse des risques</w:t>
            </w:r>
          </w:p>
          <w:p w14:paraId="359A0EF1" w14:textId="723BFBC7" w:rsidR="00B9034E" w:rsidRDefault="00B9034E" w:rsidP="00B9034E">
            <w:pPr>
              <w:jc w:val="both"/>
              <w:rPr>
                <w:rFonts w:ascii="Times New Roman" w:hAnsi="Times New Roman"/>
                <w:bCs/>
                <w:color w:val="000000" w:themeColor="text1"/>
                <w:lang w:val="fr-FR"/>
              </w:rPr>
            </w:pPr>
          </w:p>
          <w:p w14:paraId="4CDF7705" w14:textId="77777777"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w:t>
            </w:r>
            <w:r w:rsidRPr="00B9034E">
              <w:rPr>
                <w:rFonts w:ascii="Times New Roman" w:hAnsi="Times New Roman"/>
                <w:bCs/>
                <w:color w:val="000000" w:themeColor="text1"/>
                <w:lang w:val="fr-FR"/>
              </w:rPr>
              <w:tab/>
              <w:t>Explorer les possibilités de financement et de développement de partenariat stratégique pour la mise en œuvre des activités de programme</w:t>
            </w:r>
          </w:p>
          <w:p w14:paraId="33E5CEBD" w14:textId="53FEEE83"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ab/>
              <w:t>Identifier les opportunités de financement direct et en parallèle du programme auprès de bi et multilatéraux ;</w:t>
            </w:r>
          </w:p>
          <w:p w14:paraId="1238ECEC" w14:textId="7610EECE"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ab/>
              <w:t>Explorer les possibilités de partenariat avec le secteur privé et autres intervenants dans les chaines des valeurs ;</w:t>
            </w:r>
          </w:p>
          <w:p w14:paraId="2CE5DF6B" w14:textId="02A63F2A"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ab/>
              <w:t xml:space="preserve">Identifier les créneaux de financement par les ressources publiques nationales et régionales </w:t>
            </w:r>
          </w:p>
          <w:p w14:paraId="09B8E2DE" w14:textId="77777777"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w:t>
            </w:r>
            <w:r w:rsidRPr="00B9034E">
              <w:rPr>
                <w:rFonts w:ascii="Times New Roman" w:hAnsi="Times New Roman"/>
                <w:bCs/>
                <w:color w:val="000000" w:themeColor="text1"/>
                <w:lang w:val="fr-FR"/>
              </w:rPr>
              <w:tab/>
              <w:t xml:space="preserve">Arrimer le document de programme structurant à la stratégie de réponse du PNUD au COVID-19   </w:t>
            </w:r>
          </w:p>
          <w:p w14:paraId="14E40DB5" w14:textId="129ABA48"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ab/>
              <w:t>Développer une stratégie de construction d’un nouveau contrat social fondé sur le respect des droits une grande solidarité dans le secteur agricole ;</w:t>
            </w:r>
          </w:p>
          <w:p w14:paraId="0BEE8EEE" w14:textId="135DCB87" w:rsidR="00B9034E" w:rsidRP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ab/>
              <w:t>Indiquer les voies et moyens de sauvegarder de la paix grâce à des institutions et une société pacifiques et résilientes capables de prévention, de préparation et de gestion des risques ;</w:t>
            </w:r>
          </w:p>
          <w:p w14:paraId="02370565" w14:textId="1055BA7C" w:rsidR="00B9034E" w:rsidRDefault="00B9034E" w:rsidP="00B9034E">
            <w:pPr>
              <w:jc w:val="both"/>
              <w:rPr>
                <w:rFonts w:ascii="Times New Roman" w:hAnsi="Times New Roman"/>
                <w:bCs/>
                <w:color w:val="000000" w:themeColor="text1"/>
                <w:lang w:val="fr-FR"/>
              </w:rPr>
            </w:pPr>
            <w:r w:rsidRPr="00B9034E">
              <w:rPr>
                <w:rFonts w:ascii="Times New Roman" w:hAnsi="Times New Roman"/>
                <w:bCs/>
                <w:color w:val="000000" w:themeColor="text1"/>
                <w:lang w:val="fr-FR"/>
              </w:rPr>
              <w:tab/>
              <w:t>Proposer des alternatives qui concourent à faire baisser sensiblement la croissance des émissions de carbone, et qui lutte contre une production et une consommation non durable.</w:t>
            </w:r>
          </w:p>
          <w:p w14:paraId="02325B8D" w14:textId="0C263702" w:rsidR="003F640F" w:rsidRPr="008F0E6F" w:rsidRDefault="003F640F" w:rsidP="00B9034E">
            <w:pPr>
              <w:jc w:val="both"/>
              <w:rPr>
                <w:rFonts w:ascii="Times New Roman" w:hAnsi="Times New Roman"/>
                <w:bCs/>
                <w:color w:val="000000" w:themeColor="text1"/>
                <w:lang w:val="fr-FR"/>
              </w:rPr>
            </w:pPr>
          </w:p>
        </w:tc>
      </w:tr>
    </w:tbl>
    <w:p w14:paraId="51E9963D" w14:textId="77777777" w:rsidR="00E54A8B" w:rsidRDefault="00E54A8B" w:rsidP="00BF6263">
      <w:pPr>
        <w:rPr>
          <w:rFonts w:cstheme="minorHAnsi"/>
          <w:b/>
          <w:lang w:val="fr-FR"/>
        </w:rPr>
      </w:pPr>
    </w:p>
    <w:p w14:paraId="16360BC5" w14:textId="0121DB30" w:rsidR="00BF6263" w:rsidRPr="003A7D2F" w:rsidRDefault="005F0A94" w:rsidP="00BF6263">
      <w:pPr>
        <w:rPr>
          <w:rFonts w:cstheme="minorHAnsi"/>
          <w:b/>
          <w:u w:val="single"/>
          <w:lang w:val="fr-FR"/>
        </w:rPr>
      </w:pPr>
      <w:r>
        <w:rPr>
          <w:rFonts w:cstheme="minorHAnsi"/>
          <w:b/>
          <w:u w:val="single"/>
          <w:lang w:val="fr-FR"/>
        </w:rPr>
        <w:lastRenderedPageBreak/>
        <w:t>2</w:t>
      </w:r>
      <w:r w:rsidR="00BF6263" w:rsidRPr="003A7D2F">
        <w:rPr>
          <w:rFonts w:cstheme="minorHAnsi"/>
          <w:b/>
          <w:u w:val="single"/>
          <w:lang w:val="fr-FR"/>
        </w:rPr>
        <w:t xml:space="preserve">. </w:t>
      </w:r>
      <w:r w:rsidR="008E10A2" w:rsidRPr="003A7D2F">
        <w:rPr>
          <w:rFonts w:cstheme="minorHAnsi"/>
          <w:b/>
          <w:u w:val="single"/>
          <w:lang w:val="fr-FR"/>
        </w:rPr>
        <w:t>R</w:t>
      </w:r>
      <w:r w:rsidR="00EC2E68" w:rsidRPr="003A7D2F">
        <w:rPr>
          <w:rFonts w:cstheme="minorHAnsi"/>
          <w:b/>
          <w:u w:val="single"/>
          <w:lang w:val="fr-FR"/>
        </w:rPr>
        <w:t>esponsabilités du consultant, r</w:t>
      </w:r>
      <w:r w:rsidR="008E10A2" w:rsidRPr="003A7D2F">
        <w:rPr>
          <w:rFonts w:cstheme="minorHAnsi"/>
          <w:b/>
          <w:u w:val="single"/>
          <w:lang w:val="fr-FR"/>
        </w:rPr>
        <w:t>ésultats</w:t>
      </w:r>
      <w:r w:rsidR="00875DF3" w:rsidRPr="003A7D2F">
        <w:rPr>
          <w:rFonts w:cstheme="minorHAnsi"/>
          <w:b/>
          <w:u w:val="single"/>
          <w:lang w:val="fr-FR"/>
        </w:rPr>
        <w:t xml:space="preserve"> attendus, l</w:t>
      </w:r>
      <w:r w:rsidR="00BF6263" w:rsidRPr="003A7D2F">
        <w:rPr>
          <w:rFonts w:cstheme="minorHAnsi"/>
          <w:b/>
          <w:u w:val="single"/>
          <w:lang w:val="fr-FR"/>
        </w:rPr>
        <w:t xml:space="preserve">ivrables </w:t>
      </w:r>
      <w:r w:rsidR="002A0E25" w:rsidRPr="003A7D2F">
        <w:rPr>
          <w:rFonts w:cstheme="minorHAnsi"/>
          <w:b/>
          <w:u w:val="single"/>
          <w:lang w:val="fr-FR"/>
        </w:rPr>
        <w:t>et tranches de paiement</w:t>
      </w:r>
    </w:p>
    <w:tbl>
      <w:tblPr>
        <w:tblStyle w:val="Grilledutableau"/>
        <w:tblW w:w="9360" w:type="dxa"/>
        <w:tblInd w:w="-5" w:type="dxa"/>
        <w:tblLook w:val="04A0" w:firstRow="1" w:lastRow="0" w:firstColumn="1" w:lastColumn="0" w:noHBand="0" w:noVBand="1"/>
      </w:tblPr>
      <w:tblGrid>
        <w:gridCol w:w="9360"/>
      </w:tblGrid>
      <w:tr w:rsidR="00C2339D" w:rsidRPr="00EC386A" w14:paraId="2553B827" w14:textId="77777777" w:rsidTr="007E3539">
        <w:tc>
          <w:tcPr>
            <w:tcW w:w="9360" w:type="dxa"/>
          </w:tcPr>
          <w:p w14:paraId="52F53A97" w14:textId="77777777" w:rsidR="00C2339D" w:rsidRDefault="00C2339D" w:rsidP="00C2339D">
            <w:pPr>
              <w:jc w:val="both"/>
              <w:rPr>
                <w:rFonts w:ascii="Times New Roman" w:hAnsi="Times New Roman"/>
                <w:lang w:val="fr-FR"/>
              </w:rPr>
            </w:pPr>
          </w:p>
          <w:p w14:paraId="4EC65FBB" w14:textId="77777777" w:rsidR="003B21EF" w:rsidRDefault="003B21EF" w:rsidP="00C2339D">
            <w:pPr>
              <w:jc w:val="both"/>
              <w:rPr>
                <w:rFonts w:ascii="Times New Roman" w:hAnsi="Times New Roman"/>
                <w:color w:val="000000" w:themeColor="text1"/>
                <w:szCs w:val="28"/>
                <w:lang w:val="fr-FR"/>
              </w:rPr>
            </w:pPr>
            <w:r w:rsidRPr="003B21EF">
              <w:rPr>
                <w:rFonts w:ascii="Times New Roman" w:hAnsi="Times New Roman"/>
                <w:color w:val="000000" w:themeColor="text1"/>
                <w:szCs w:val="28"/>
                <w:lang w:val="fr-FR"/>
              </w:rPr>
              <w:t>Pour la conduite de cet exercice, en plus des taches reprises dans ses termes de références, le Consultant en chaines de valeurs agricoles travaillera en collaboration avec le Consultant en chaines de valeurs minières, en assurant la coordination de l’élaboration du document de programme fait par ce dernier. La collaboration entre les deux consultants portera essentiellement sur le contrôle qualité de l’ensemble du rapport et particulièrement les livrables 2</w:t>
            </w:r>
            <w:proofErr w:type="gramStart"/>
            <w:r w:rsidRPr="003B21EF">
              <w:rPr>
                <w:rFonts w:ascii="Times New Roman" w:hAnsi="Times New Roman"/>
                <w:color w:val="000000" w:themeColor="text1"/>
                <w:szCs w:val="28"/>
                <w:lang w:val="fr-FR"/>
              </w:rPr>
              <w:t>,3,4,5</w:t>
            </w:r>
            <w:proofErr w:type="gramEnd"/>
            <w:r w:rsidRPr="003B21EF">
              <w:rPr>
                <w:rFonts w:ascii="Times New Roman" w:hAnsi="Times New Roman"/>
                <w:color w:val="000000" w:themeColor="text1"/>
                <w:szCs w:val="28"/>
                <w:lang w:val="fr-FR"/>
              </w:rPr>
              <w:t xml:space="preserve"> et 6. A ce titre, il est le Coordonnateur d’équipe.  </w:t>
            </w:r>
          </w:p>
          <w:p w14:paraId="37B96658" w14:textId="77777777" w:rsidR="003B21EF" w:rsidRDefault="003B21EF" w:rsidP="008E2EA0">
            <w:pPr>
              <w:jc w:val="both"/>
              <w:rPr>
                <w:rFonts w:ascii="Times New Roman" w:hAnsi="Times New Roman"/>
                <w:color w:val="000000" w:themeColor="text1"/>
                <w:szCs w:val="28"/>
                <w:lang w:val="fr-FR"/>
              </w:rPr>
            </w:pPr>
          </w:p>
          <w:p w14:paraId="6A7655FB" w14:textId="5773D785" w:rsidR="008E2EA0" w:rsidRPr="008E2EA0" w:rsidRDefault="002A4B23" w:rsidP="008E2EA0">
            <w:pPr>
              <w:jc w:val="both"/>
              <w:rPr>
                <w:rFonts w:ascii="Times New Roman" w:hAnsi="Times New Roman"/>
                <w:color w:val="000000" w:themeColor="text1"/>
                <w:szCs w:val="28"/>
                <w:lang w:val="fr-FR"/>
              </w:rPr>
            </w:pPr>
            <w:r w:rsidRPr="003B21EF">
              <w:rPr>
                <w:rFonts w:ascii="Times New Roman" w:hAnsi="Times New Roman"/>
                <w:color w:val="000000" w:themeColor="text1"/>
                <w:szCs w:val="28"/>
                <w:lang w:val="fr-FR"/>
              </w:rPr>
              <w:t>Le</w:t>
            </w:r>
            <w:r w:rsidR="003B21EF" w:rsidRPr="003B21EF">
              <w:rPr>
                <w:rFonts w:ascii="Times New Roman" w:hAnsi="Times New Roman"/>
                <w:color w:val="000000" w:themeColor="text1"/>
                <w:szCs w:val="28"/>
                <w:lang w:val="fr-FR"/>
              </w:rPr>
              <w:t xml:space="preserve"> Consultant en chaines de valeurs </w:t>
            </w:r>
            <w:r w:rsidRPr="003B21EF">
              <w:rPr>
                <w:rFonts w:ascii="Times New Roman" w:hAnsi="Times New Roman"/>
                <w:color w:val="000000" w:themeColor="text1"/>
                <w:szCs w:val="28"/>
                <w:lang w:val="fr-FR"/>
              </w:rPr>
              <w:t>agricoles</w:t>
            </w:r>
            <w:r>
              <w:rPr>
                <w:rFonts w:ascii="Times New Roman" w:hAnsi="Times New Roman"/>
                <w:color w:val="000000" w:themeColor="text1"/>
                <w:szCs w:val="28"/>
                <w:lang w:val="fr-FR"/>
              </w:rPr>
              <w:t>,</w:t>
            </w:r>
            <w:r w:rsidR="003B21EF">
              <w:rPr>
                <w:rFonts w:ascii="Times New Roman" w:hAnsi="Times New Roman"/>
                <w:color w:val="000000" w:themeColor="text1"/>
                <w:szCs w:val="28"/>
                <w:lang w:val="fr-FR"/>
              </w:rPr>
              <w:t xml:space="preserve"> </w:t>
            </w:r>
            <w:r w:rsidR="003B21EF" w:rsidRPr="003B21EF">
              <w:rPr>
                <w:rFonts w:ascii="Times New Roman" w:hAnsi="Times New Roman"/>
                <w:color w:val="000000" w:themeColor="text1"/>
                <w:szCs w:val="28"/>
                <w:lang w:val="fr-FR"/>
              </w:rPr>
              <w:t xml:space="preserve">Expert en Agrobusiness/Coordonnateur de </w:t>
            </w:r>
            <w:r w:rsidR="00FA34D0" w:rsidRPr="003B21EF">
              <w:rPr>
                <w:rFonts w:ascii="Times New Roman" w:hAnsi="Times New Roman"/>
                <w:color w:val="000000" w:themeColor="text1"/>
                <w:szCs w:val="28"/>
                <w:lang w:val="fr-FR"/>
              </w:rPr>
              <w:t>l’équipe aura</w:t>
            </w:r>
            <w:r w:rsidR="008E2EA0" w:rsidRPr="008E2EA0">
              <w:rPr>
                <w:rFonts w:ascii="Times New Roman" w:hAnsi="Times New Roman"/>
                <w:color w:val="000000" w:themeColor="text1"/>
                <w:szCs w:val="28"/>
                <w:lang w:val="fr-FR"/>
              </w:rPr>
              <w:t xml:space="preserve"> pour responsabilité :</w:t>
            </w:r>
          </w:p>
          <w:p w14:paraId="3C44CAA8" w14:textId="2020B0D4" w:rsidR="003B21EF" w:rsidRPr="003B21EF" w:rsidRDefault="008E2EA0" w:rsidP="003B21EF">
            <w:pPr>
              <w:jc w:val="both"/>
              <w:rPr>
                <w:rFonts w:ascii="Times New Roman" w:hAnsi="Times New Roman"/>
                <w:color w:val="000000" w:themeColor="text1"/>
                <w:szCs w:val="28"/>
                <w:lang w:val="fr-FR"/>
              </w:rPr>
            </w:pPr>
            <w:r w:rsidRPr="008E2EA0">
              <w:rPr>
                <w:rFonts w:ascii="Times New Roman" w:hAnsi="Times New Roman"/>
                <w:color w:val="000000" w:themeColor="text1"/>
                <w:szCs w:val="28"/>
                <w:lang w:val="fr-FR"/>
              </w:rPr>
              <w:t>•</w:t>
            </w:r>
            <w:r w:rsidRPr="008E2EA0">
              <w:rPr>
                <w:rFonts w:ascii="Times New Roman" w:hAnsi="Times New Roman"/>
                <w:color w:val="000000" w:themeColor="text1"/>
                <w:szCs w:val="28"/>
                <w:lang w:val="fr-FR"/>
              </w:rPr>
              <w:tab/>
            </w:r>
            <w:r w:rsidR="003B21EF" w:rsidRPr="003B21EF">
              <w:rPr>
                <w:rFonts w:ascii="Times New Roman" w:hAnsi="Times New Roman"/>
                <w:color w:val="000000" w:themeColor="text1"/>
                <w:szCs w:val="28"/>
                <w:lang w:val="fr-FR"/>
              </w:rPr>
              <w:t xml:space="preserve">Collecter et analyser les informations sur les chaines des valeurs de l’agro-business, </w:t>
            </w:r>
          </w:p>
          <w:p w14:paraId="361F681F" w14:textId="77777777" w:rsidR="003B21EF" w:rsidRPr="003B21EF" w:rsidRDefault="003B21EF" w:rsidP="003B21EF">
            <w:pPr>
              <w:jc w:val="both"/>
              <w:rPr>
                <w:rFonts w:ascii="Times New Roman" w:hAnsi="Times New Roman"/>
                <w:color w:val="000000" w:themeColor="text1"/>
                <w:szCs w:val="28"/>
                <w:lang w:val="fr-FR"/>
              </w:rPr>
            </w:pPr>
            <w:r w:rsidRPr="003B21EF">
              <w:rPr>
                <w:rFonts w:ascii="Times New Roman" w:hAnsi="Times New Roman"/>
                <w:color w:val="000000" w:themeColor="text1"/>
                <w:szCs w:val="28"/>
                <w:lang w:val="fr-FR"/>
              </w:rPr>
              <w:t>•</w:t>
            </w:r>
            <w:r w:rsidRPr="003B21EF">
              <w:rPr>
                <w:rFonts w:ascii="Times New Roman" w:hAnsi="Times New Roman"/>
                <w:color w:val="000000" w:themeColor="text1"/>
                <w:szCs w:val="28"/>
                <w:lang w:val="fr-FR"/>
              </w:rPr>
              <w:tab/>
              <w:t>Proposer des schémas d’intervention selon le contexte mais également les opportunités actuelles et à venir de la RDC ;</w:t>
            </w:r>
          </w:p>
          <w:p w14:paraId="6DEA45F9" w14:textId="77777777" w:rsidR="003B21EF" w:rsidRPr="003B21EF" w:rsidRDefault="003B21EF" w:rsidP="003B21EF">
            <w:pPr>
              <w:jc w:val="both"/>
              <w:rPr>
                <w:rFonts w:ascii="Times New Roman" w:hAnsi="Times New Roman"/>
                <w:color w:val="000000" w:themeColor="text1"/>
                <w:szCs w:val="28"/>
                <w:lang w:val="fr-FR"/>
              </w:rPr>
            </w:pPr>
            <w:r w:rsidRPr="003B21EF">
              <w:rPr>
                <w:rFonts w:ascii="Times New Roman" w:hAnsi="Times New Roman"/>
                <w:color w:val="000000" w:themeColor="text1"/>
                <w:szCs w:val="28"/>
                <w:lang w:val="fr-FR"/>
              </w:rPr>
              <w:t>•</w:t>
            </w:r>
            <w:r w:rsidRPr="003B21EF">
              <w:rPr>
                <w:rFonts w:ascii="Times New Roman" w:hAnsi="Times New Roman"/>
                <w:color w:val="000000" w:themeColor="text1"/>
                <w:szCs w:val="28"/>
                <w:lang w:val="fr-FR"/>
              </w:rPr>
              <w:tab/>
              <w:t>Contribuer au développement du programme global à travers le volet de l’agro-business ainsi que de tous les autres documents repris dans les livrables ;</w:t>
            </w:r>
          </w:p>
          <w:p w14:paraId="4F8B640E" w14:textId="77777777" w:rsidR="003B21EF" w:rsidRPr="003B21EF" w:rsidRDefault="003B21EF" w:rsidP="003B21EF">
            <w:pPr>
              <w:jc w:val="both"/>
              <w:rPr>
                <w:rFonts w:ascii="Times New Roman" w:hAnsi="Times New Roman"/>
                <w:color w:val="000000" w:themeColor="text1"/>
                <w:szCs w:val="28"/>
                <w:lang w:val="fr-FR"/>
              </w:rPr>
            </w:pPr>
            <w:r w:rsidRPr="003B21EF">
              <w:rPr>
                <w:rFonts w:ascii="Times New Roman" w:hAnsi="Times New Roman"/>
                <w:color w:val="000000" w:themeColor="text1"/>
                <w:szCs w:val="28"/>
                <w:lang w:val="fr-FR"/>
              </w:rPr>
              <w:t>•</w:t>
            </w:r>
            <w:r w:rsidRPr="003B21EF">
              <w:rPr>
                <w:rFonts w:ascii="Times New Roman" w:hAnsi="Times New Roman"/>
                <w:color w:val="000000" w:themeColor="text1"/>
                <w:szCs w:val="28"/>
                <w:lang w:val="fr-FR"/>
              </w:rPr>
              <w:tab/>
              <w:t xml:space="preserve">Répondre devant le PNUD quant au Document de programme structurant des chaines de valeurs agricoles ; </w:t>
            </w:r>
          </w:p>
          <w:p w14:paraId="318A5E01" w14:textId="77777777" w:rsidR="003B21EF" w:rsidRPr="003B21EF" w:rsidRDefault="003B21EF" w:rsidP="003B21EF">
            <w:pPr>
              <w:jc w:val="both"/>
              <w:rPr>
                <w:rFonts w:ascii="Times New Roman" w:hAnsi="Times New Roman"/>
                <w:color w:val="000000" w:themeColor="text1"/>
                <w:szCs w:val="28"/>
                <w:lang w:val="fr-FR"/>
              </w:rPr>
            </w:pPr>
            <w:r w:rsidRPr="003B21EF">
              <w:rPr>
                <w:rFonts w:ascii="Times New Roman" w:hAnsi="Times New Roman"/>
                <w:color w:val="000000" w:themeColor="text1"/>
                <w:szCs w:val="28"/>
                <w:lang w:val="fr-FR"/>
              </w:rPr>
              <w:t xml:space="preserve">Entant que Coordonnateur de l’équipe, l’Expert en Agrobusiness devra également avoir la capacité de : </w:t>
            </w:r>
          </w:p>
          <w:p w14:paraId="24451BF0" w14:textId="40AE7011" w:rsidR="003B21EF" w:rsidRPr="003B21EF" w:rsidRDefault="003B21EF" w:rsidP="003B21EF">
            <w:pPr>
              <w:jc w:val="both"/>
              <w:rPr>
                <w:rFonts w:ascii="Times New Roman" w:hAnsi="Times New Roman"/>
                <w:color w:val="000000" w:themeColor="text1"/>
                <w:szCs w:val="28"/>
                <w:lang w:val="fr-FR"/>
              </w:rPr>
            </w:pPr>
            <w:r w:rsidRPr="003B21EF">
              <w:rPr>
                <w:rFonts w:ascii="Times New Roman" w:hAnsi="Times New Roman"/>
                <w:color w:val="000000" w:themeColor="text1"/>
                <w:szCs w:val="28"/>
                <w:lang w:val="fr-FR"/>
              </w:rPr>
              <w:t>•</w:t>
            </w:r>
            <w:r w:rsidRPr="003B21EF">
              <w:rPr>
                <w:rFonts w:ascii="Times New Roman" w:hAnsi="Times New Roman"/>
                <w:color w:val="000000" w:themeColor="text1"/>
                <w:szCs w:val="28"/>
                <w:lang w:val="fr-FR"/>
              </w:rPr>
              <w:tab/>
              <w:t>Coordonner le travail et les analyses du consultant en mines artisanales ;</w:t>
            </w:r>
          </w:p>
          <w:p w14:paraId="0A4D9C49" w14:textId="77777777" w:rsidR="003B21EF" w:rsidRPr="003B21EF" w:rsidRDefault="003B21EF" w:rsidP="003B21EF">
            <w:pPr>
              <w:jc w:val="both"/>
              <w:rPr>
                <w:rFonts w:ascii="Times New Roman" w:hAnsi="Times New Roman"/>
                <w:color w:val="000000" w:themeColor="text1"/>
                <w:szCs w:val="28"/>
                <w:lang w:val="fr-FR"/>
              </w:rPr>
            </w:pPr>
            <w:r w:rsidRPr="003B21EF">
              <w:rPr>
                <w:rFonts w:ascii="Times New Roman" w:hAnsi="Times New Roman"/>
                <w:color w:val="000000" w:themeColor="text1"/>
                <w:szCs w:val="28"/>
                <w:lang w:val="fr-FR"/>
              </w:rPr>
              <w:t>•</w:t>
            </w:r>
            <w:r w:rsidRPr="003B21EF">
              <w:rPr>
                <w:rFonts w:ascii="Times New Roman" w:hAnsi="Times New Roman"/>
                <w:color w:val="000000" w:themeColor="text1"/>
                <w:szCs w:val="28"/>
                <w:lang w:val="fr-FR"/>
              </w:rPr>
              <w:tab/>
              <w:t>Répondre conjointement devant le PNUD avec le consultant en mine (répondant principal), sur le Document de Programme structurant des chaines de valeurs minières ;</w:t>
            </w:r>
          </w:p>
          <w:p w14:paraId="43942999" w14:textId="3103404D" w:rsidR="003B21EF" w:rsidRDefault="003B21EF" w:rsidP="003B21EF">
            <w:pPr>
              <w:jc w:val="both"/>
              <w:rPr>
                <w:rFonts w:ascii="Times New Roman" w:hAnsi="Times New Roman"/>
                <w:color w:val="000000" w:themeColor="text1"/>
                <w:szCs w:val="28"/>
                <w:lang w:val="fr-FR"/>
              </w:rPr>
            </w:pPr>
            <w:r w:rsidRPr="003B21EF">
              <w:rPr>
                <w:rFonts w:ascii="Times New Roman" w:hAnsi="Times New Roman"/>
                <w:color w:val="000000" w:themeColor="text1"/>
                <w:szCs w:val="28"/>
                <w:lang w:val="fr-FR"/>
              </w:rPr>
              <w:t>•</w:t>
            </w:r>
            <w:r w:rsidRPr="003B21EF">
              <w:rPr>
                <w:rFonts w:ascii="Times New Roman" w:hAnsi="Times New Roman"/>
                <w:color w:val="000000" w:themeColor="text1"/>
                <w:szCs w:val="28"/>
                <w:lang w:val="fr-FR"/>
              </w:rPr>
              <w:tab/>
              <w:t xml:space="preserve">Assurer la bonne qualité des différents documents produits sur base des commentaires formulés par les différentes </w:t>
            </w:r>
            <w:r w:rsidR="00557E0A" w:rsidRPr="003B21EF">
              <w:rPr>
                <w:rFonts w:ascii="Times New Roman" w:hAnsi="Times New Roman"/>
                <w:color w:val="000000" w:themeColor="text1"/>
                <w:szCs w:val="28"/>
                <w:lang w:val="fr-FR"/>
              </w:rPr>
              <w:t>parties.</w:t>
            </w:r>
          </w:p>
          <w:p w14:paraId="33EAF9B2" w14:textId="77777777" w:rsidR="008E2EA0" w:rsidRPr="00852865" w:rsidRDefault="008E2EA0" w:rsidP="008E2EA0">
            <w:pPr>
              <w:jc w:val="both"/>
              <w:rPr>
                <w:rFonts w:ascii="Times New Roman" w:hAnsi="Times New Roman"/>
                <w:color w:val="000000" w:themeColor="text1"/>
                <w:szCs w:val="28"/>
                <w:lang w:val="fr-FR"/>
              </w:rPr>
            </w:pPr>
          </w:p>
          <w:p w14:paraId="7021CD9E" w14:textId="598BD997" w:rsidR="008F0E6F" w:rsidRPr="008E2EA0" w:rsidRDefault="00C2339D" w:rsidP="008E2EA0">
            <w:pPr>
              <w:jc w:val="both"/>
              <w:rPr>
                <w:rFonts w:ascii="Times New Roman" w:hAnsi="Times New Roman"/>
                <w:szCs w:val="28"/>
                <w:lang w:val="fr-FR"/>
              </w:rPr>
            </w:pPr>
            <w:r w:rsidRPr="00852865">
              <w:rPr>
                <w:rFonts w:ascii="Times New Roman" w:hAnsi="Times New Roman"/>
                <w:color w:val="000000" w:themeColor="text1"/>
                <w:szCs w:val="28"/>
                <w:lang w:val="fr-FR"/>
              </w:rPr>
              <w:t>Les paiements seront effectués sur la base de la réception et de la validation des produits livrables, comme indiqué dans le tableau ci-dessous :</w:t>
            </w:r>
            <w:r w:rsidRPr="00852865">
              <w:rPr>
                <w:rFonts w:ascii="Times New Roman" w:hAnsi="Times New Roman"/>
                <w:szCs w:val="28"/>
                <w:lang w:val="fr-FR"/>
              </w:rPr>
              <w:t xml:space="preserve"> </w:t>
            </w: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2198"/>
              <w:gridCol w:w="3749"/>
              <w:gridCol w:w="1274"/>
              <w:gridCol w:w="1305"/>
            </w:tblGrid>
            <w:tr w:rsidR="008F0E6F" w:rsidRPr="00A64DC6" w14:paraId="2A5D3262" w14:textId="77777777" w:rsidTr="0072066E">
              <w:tc>
                <w:tcPr>
                  <w:tcW w:w="434" w:type="dxa"/>
                  <w:shd w:val="clear" w:color="auto" w:fill="auto"/>
                </w:tcPr>
                <w:p w14:paraId="5BDA270D" w14:textId="77777777" w:rsidR="008F0E6F" w:rsidRPr="00A64DC6" w:rsidRDefault="008F0E6F" w:rsidP="008F0E6F">
                  <w:pPr>
                    <w:spacing w:before="120" w:after="120" w:line="259" w:lineRule="auto"/>
                    <w:jc w:val="center"/>
                    <w:rPr>
                      <w:lang w:val="fr-CD"/>
                    </w:rPr>
                  </w:pPr>
                  <w:r w:rsidRPr="00A64DC6">
                    <w:rPr>
                      <w:lang w:val="fr-CD"/>
                    </w:rPr>
                    <w:t>N°</w:t>
                  </w:r>
                </w:p>
              </w:tc>
              <w:tc>
                <w:tcPr>
                  <w:tcW w:w="2198" w:type="dxa"/>
                  <w:shd w:val="clear" w:color="auto" w:fill="auto"/>
                </w:tcPr>
                <w:p w14:paraId="5B18F2EA" w14:textId="77777777" w:rsidR="008F0E6F" w:rsidRPr="00A64DC6" w:rsidRDefault="008F0E6F" w:rsidP="008F0E6F">
                  <w:pPr>
                    <w:spacing w:before="120" w:after="120" w:line="259" w:lineRule="auto"/>
                    <w:jc w:val="center"/>
                    <w:rPr>
                      <w:lang w:val="fr-CD"/>
                    </w:rPr>
                  </w:pPr>
                  <w:r w:rsidRPr="00A64DC6">
                    <w:rPr>
                      <w:lang w:val="fr-CD"/>
                    </w:rPr>
                    <w:t>Livrables</w:t>
                  </w:r>
                </w:p>
              </w:tc>
              <w:tc>
                <w:tcPr>
                  <w:tcW w:w="3749" w:type="dxa"/>
                  <w:shd w:val="clear" w:color="auto" w:fill="auto"/>
                </w:tcPr>
                <w:p w14:paraId="672BE900" w14:textId="77777777" w:rsidR="008F0E6F" w:rsidRPr="00A64DC6" w:rsidRDefault="008F0E6F" w:rsidP="008F0E6F">
                  <w:pPr>
                    <w:spacing w:before="120" w:after="120" w:line="259" w:lineRule="auto"/>
                    <w:jc w:val="center"/>
                    <w:rPr>
                      <w:lang w:val="fr-CD"/>
                    </w:rPr>
                  </w:pPr>
                  <w:r w:rsidRPr="00A64DC6">
                    <w:rPr>
                      <w:lang w:val="fr-CD"/>
                    </w:rPr>
                    <w:t>Description</w:t>
                  </w:r>
                </w:p>
              </w:tc>
              <w:tc>
                <w:tcPr>
                  <w:tcW w:w="1274" w:type="dxa"/>
                  <w:shd w:val="clear" w:color="auto" w:fill="auto"/>
                </w:tcPr>
                <w:p w14:paraId="1A9697B8" w14:textId="77777777" w:rsidR="008F0E6F" w:rsidRPr="00A64DC6" w:rsidRDefault="008F0E6F" w:rsidP="008F0E6F">
                  <w:pPr>
                    <w:spacing w:before="120" w:after="120" w:line="259" w:lineRule="auto"/>
                    <w:jc w:val="center"/>
                    <w:rPr>
                      <w:lang w:val="fr-CD"/>
                    </w:rPr>
                  </w:pPr>
                  <w:r w:rsidRPr="00A64DC6">
                    <w:rPr>
                      <w:lang w:val="fr-CD"/>
                    </w:rPr>
                    <w:t>Echéance</w:t>
                  </w:r>
                </w:p>
              </w:tc>
              <w:tc>
                <w:tcPr>
                  <w:tcW w:w="1305" w:type="dxa"/>
                  <w:shd w:val="clear" w:color="auto" w:fill="auto"/>
                </w:tcPr>
                <w:p w14:paraId="1E4724D8" w14:textId="77777777" w:rsidR="008F0E6F" w:rsidRPr="00A64DC6" w:rsidRDefault="008F0E6F" w:rsidP="008F0E6F">
                  <w:pPr>
                    <w:spacing w:before="120" w:after="120" w:line="259" w:lineRule="auto"/>
                    <w:jc w:val="center"/>
                    <w:rPr>
                      <w:lang w:val="fr-CD"/>
                    </w:rPr>
                  </w:pPr>
                  <w:r w:rsidRPr="00A64DC6">
                    <w:rPr>
                      <w:lang w:val="fr-CD"/>
                    </w:rPr>
                    <w:t>% paiement</w:t>
                  </w:r>
                </w:p>
              </w:tc>
            </w:tr>
            <w:tr w:rsidR="008F0E6F" w:rsidRPr="00A64DC6" w14:paraId="5BEEF684" w14:textId="77777777" w:rsidTr="0072066E">
              <w:tc>
                <w:tcPr>
                  <w:tcW w:w="434" w:type="dxa"/>
                  <w:shd w:val="clear" w:color="auto" w:fill="auto"/>
                </w:tcPr>
                <w:p w14:paraId="5462B11E" w14:textId="77777777" w:rsidR="008F0E6F" w:rsidRPr="00A64DC6" w:rsidRDefault="008F0E6F" w:rsidP="008F0E6F">
                  <w:pPr>
                    <w:spacing w:before="120" w:after="120" w:line="259" w:lineRule="auto"/>
                    <w:jc w:val="center"/>
                    <w:rPr>
                      <w:lang w:val="fr-CD"/>
                    </w:rPr>
                  </w:pPr>
                  <w:r w:rsidRPr="00A64DC6">
                    <w:rPr>
                      <w:lang w:val="fr-CD"/>
                    </w:rPr>
                    <w:t>1</w:t>
                  </w:r>
                </w:p>
              </w:tc>
              <w:tc>
                <w:tcPr>
                  <w:tcW w:w="2198" w:type="dxa"/>
                  <w:shd w:val="clear" w:color="auto" w:fill="auto"/>
                </w:tcPr>
                <w:p w14:paraId="6931ABBB" w14:textId="566F26B6" w:rsidR="008F0E6F" w:rsidRPr="00A64DC6" w:rsidRDefault="002A4B23" w:rsidP="002A4B23">
                  <w:pPr>
                    <w:spacing w:before="120" w:after="120" w:line="259" w:lineRule="auto"/>
                    <w:rPr>
                      <w:lang w:val="fr-CD"/>
                    </w:rPr>
                  </w:pPr>
                  <w:r w:rsidRPr="002A4B23">
                    <w:rPr>
                      <w:lang w:val="fr-CD"/>
                    </w:rPr>
                    <w:t xml:space="preserve">Une analyse diagnostique </w:t>
                  </w:r>
                  <w:proofErr w:type="gramStart"/>
                  <w:r w:rsidRPr="002A4B23">
                    <w:rPr>
                      <w:lang w:val="fr-CD"/>
                    </w:rPr>
                    <w:t>relatif</w:t>
                  </w:r>
                  <w:proofErr w:type="gramEnd"/>
                  <w:r w:rsidRPr="002A4B23">
                    <w:rPr>
                      <w:lang w:val="fr-CD"/>
                    </w:rPr>
                    <w:t xml:space="preserve"> au développement des chaines de valeur assorti d’une feuille de route.</w:t>
                  </w:r>
                </w:p>
              </w:tc>
              <w:tc>
                <w:tcPr>
                  <w:tcW w:w="3749" w:type="dxa"/>
                  <w:shd w:val="clear" w:color="auto" w:fill="auto"/>
                </w:tcPr>
                <w:p w14:paraId="31960AFD" w14:textId="5A9C362C" w:rsidR="008F0E6F" w:rsidRPr="00A64DC6" w:rsidRDefault="002A4B23" w:rsidP="001608DE">
                  <w:pPr>
                    <w:spacing w:before="120" w:after="120" w:line="259" w:lineRule="auto"/>
                    <w:rPr>
                      <w:lang w:val="fr-CD"/>
                    </w:rPr>
                  </w:pPr>
                  <w:r w:rsidRPr="002A4B23">
                    <w:rPr>
                      <w:lang w:val="fr-CD"/>
                    </w:rPr>
                    <w:t xml:space="preserve">Il s’agit de la collecte des informations qui permettent d’opérer un choix sur les chaines des valeurs clés. Ensuite le diagnostic de chacune de ces chaines de valeurs retenues devra être effectué afin d’identifier les différentes actions ou interventions qui doivent être menées afin d’accroitre la valeur ajoutée de la chaine de valeur.  Une feuille de route devra permettre aux différents intervenants de s’approprier de la séquence de mise en œuvre </w:t>
                  </w:r>
                </w:p>
              </w:tc>
              <w:tc>
                <w:tcPr>
                  <w:tcW w:w="1274" w:type="dxa"/>
                  <w:shd w:val="clear" w:color="auto" w:fill="auto"/>
                </w:tcPr>
                <w:p w14:paraId="64304E85" w14:textId="58B28C05" w:rsidR="008F0E6F" w:rsidRPr="00A64DC6" w:rsidRDefault="008F0E6F" w:rsidP="002A4B23">
                  <w:pPr>
                    <w:spacing w:before="120" w:after="120" w:line="259" w:lineRule="auto"/>
                    <w:rPr>
                      <w:lang w:val="fr-CD"/>
                    </w:rPr>
                  </w:pPr>
                  <w:r w:rsidRPr="00A64DC6">
                    <w:rPr>
                      <w:lang w:val="fr-CD"/>
                    </w:rPr>
                    <w:t xml:space="preserve"> </w:t>
                  </w:r>
                  <w:r w:rsidR="002A4B23">
                    <w:rPr>
                      <w:lang w:val="fr-CD"/>
                    </w:rPr>
                    <w:t>2</w:t>
                  </w:r>
                  <w:r w:rsidR="002A4B23" w:rsidRPr="002A4B23">
                    <w:rPr>
                      <w:vertAlign w:val="superscript"/>
                      <w:lang w:val="fr-CD"/>
                    </w:rPr>
                    <w:t>ème</w:t>
                  </w:r>
                  <w:r w:rsidR="002A4B23">
                    <w:rPr>
                      <w:lang w:val="fr-CD"/>
                    </w:rPr>
                    <w:t xml:space="preserve"> </w:t>
                  </w:r>
                  <w:r w:rsidRPr="00A64DC6">
                    <w:rPr>
                      <w:lang w:val="fr-CD"/>
                    </w:rPr>
                    <w:t>jour après signature du contrat</w:t>
                  </w:r>
                </w:p>
              </w:tc>
              <w:tc>
                <w:tcPr>
                  <w:tcW w:w="1305" w:type="dxa"/>
                  <w:shd w:val="clear" w:color="auto" w:fill="auto"/>
                </w:tcPr>
                <w:p w14:paraId="2C413084" w14:textId="7B0260F2" w:rsidR="008F0E6F" w:rsidRPr="00A64DC6" w:rsidRDefault="001608DE" w:rsidP="008F0E6F">
                  <w:pPr>
                    <w:spacing w:before="120" w:after="120" w:line="259" w:lineRule="auto"/>
                    <w:jc w:val="center"/>
                    <w:rPr>
                      <w:lang w:val="fr-CD"/>
                    </w:rPr>
                  </w:pPr>
                  <w:r>
                    <w:rPr>
                      <w:lang w:val="fr-CD"/>
                    </w:rPr>
                    <w:t>25</w:t>
                  </w:r>
                  <w:r w:rsidR="008F0E6F" w:rsidRPr="00A64DC6">
                    <w:rPr>
                      <w:lang w:val="fr-CD"/>
                    </w:rPr>
                    <w:t xml:space="preserve"> %</w:t>
                  </w:r>
                </w:p>
              </w:tc>
            </w:tr>
            <w:tr w:rsidR="008E2EA0" w:rsidRPr="00A64DC6" w14:paraId="572936F1" w14:textId="77777777" w:rsidTr="0072066E">
              <w:tc>
                <w:tcPr>
                  <w:tcW w:w="434" w:type="dxa"/>
                  <w:shd w:val="clear" w:color="auto" w:fill="auto"/>
                </w:tcPr>
                <w:p w14:paraId="7974197D" w14:textId="77777777" w:rsidR="008E2EA0" w:rsidRPr="00A64DC6" w:rsidRDefault="008E2EA0" w:rsidP="008F0E6F">
                  <w:pPr>
                    <w:spacing w:before="120" w:after="120" w:line="259" w:lineRule="auto"/>
                    <w:jc w:val="both"/>
                    <w:rPr>
                      <w:lang w:val="fr-CD"/>
                    </w:rPr>
                  </w:pPr>
                  <w:r w:rsidRPr="00A64DC6">
                    <w:rPr>
                      <w:lang w:val="fr-CD"/>
                    </w:rPr>
                    <w:t>2</w:t>
                  </w:r>
                </w:p>
              </w:tc>
              <w:tc>
                <w:tcPr>
                  <w:tcW w:w="2198" w:type="dxa"/>
                  <w:shd w:val="clear" w:color="auto" w:fill="auto"/>
                </w:tcPr>
                <w:p w14:paraId="7602D40E" w14:textId="2844C899" w:rsidR="008E2EA0" w:rsidRPr="00A64DC6" w:rsidRDefault="002A4B23" w:rsidP="001608DE">
                  <w:pPr>
                    <w:spacing w:before="120" w:after="120" w:line="259" w:lineRule="auto"/>
                    <w:rPr>
                      <w:lang w:val="fr-CD"/>
                    </w:rPr>
                  </w:pPr>
                  <w:r w:rsidRPr="002A4B23">
                    <w:rPr>
                      <w:lang w:val="fr-CD"/>
                    </w:rPr>
                    <w:t xml:space="preserve">Une théorie de changement sur les </w:t>
                  </w:r>
                  <w:r w:rsidRPr="002A4B23">
                    <w:rPr>
                      <w:lang w:val="fr-CD"/>
                    </w:rPr>
                    <w:lastRenderedPageBreak/>
                    <w:t>interventions du PNUD</w:t>
                  </w:r>
                </w:p>
              </w:tc>
              <w:tc>
                <w:tcPr>
                  <w:tcW w:w="3749" w:type="dxa"/>
                  <w:shd w:val="clear" w:color="auto" w:fill="auto"/>
                </w:tcPr>
                <w:p w14:paraId="658E22D5" w14:textId="2C238DD5" w:rsidR="008E2EA0" w:rsidRPr="00A64DC6" w:rsidRDefault="002A4B23" w:rsidP="008F0E6F">
                  <w:pPr>
                    <w:spacing w:before="120" w:after="120" w:line="259" w:lineRule="auto"/>
                    <w:jc w:val="both"/>
                    <w:rPr>
                      <w:lang w:val="fr-CD"/>
                    </w:rPr>
                  </w:pPr>
                  <w:r w:rsidRPr="002A4B23">
                    <w:rPr>
                      <w:lang w:val="fr-CD"/>
                    </w:rPr>
                    <w:lastRenderedPageBreak/>
                    <w:t xml:space="preserve">Elle doit tenir compte des enjeux et contexte actuels assorti d’un cadre de résultat réaliste décrivant la valeur </w:t>
                  </w:r>
                  <w:r w:rsidRPr="002A4B23">
                    <w:rPr>
                      <w:lang w:val="fr-CD"/>
                    </w:rPr>
                    <w:lastRenderedPageBreak/>
                    <w:t>ajoutée du PNUD dans l’appui aux chaines des valeurs agricoles.</w:t>
                  </w:r>
                </w:p>
              </w:tc>
              <w:tc>
                <w:tcPr>
                  <w:tcW w:w="1274" w:type="dxa"/>
                  <w:vMerge w:val="restart"/>
                  <w:shd w:val="clear" w:color="auto" w:fill="auto"/>
                </w:tcPr>
                <w:p w14:paraId="37F64F68" w14:textId="77777777" w:rsidR="008E2EA0" w:rsidRDefault="008E2EA0" w:rsidP="008F0E6F">
                  <w:pPr>
                    <w:spacing w:before="120" w:after="120" w:line="259" w:lineRule="auto"/>
                    <w:jc w:val="both"/>
                    <w:rPr>
                      <w:lang w:val="fr-CD"/>
                    </w:rPr>
                  </w:pPr>
                </w:p>
                <w:p w14:paraId="639942BD" w14:textId="77777777" w:rsidR="008E2EA0" w:rsidRDefault="008E2EA0" w:rsidP="008F0E6F">
                  <w:pPr>
                    <w:spacing w:before="120" w:after="120" w:line="259" w:lineRule="auto"/>
                    <w:jc w:val="both"/>
                    <w:rPr>
                      <w:lang w:val="fr-CD"/>
                    </w:rPr>
                  </w:pPr>
                </w:p>
                <w:p w14:paraId="2E7D7939" w14:textId="77777777" w:rsidR="008E2EA0" w:rsidRDefault="008E2EA0" w:rsidP="008F0E6F">
                  <w:pPr>
                    <w:spacing w:before="120" w:after="120" w:line="259" w:lineRule="auto"/>
                    <w:jc w:val="both"/>
                    <w:rPr>
                      <w:lang w:val="fr-CD"/>
                    </w:rPr>
                  </w:pPr>
                </w:p>
                <w:p w14:paraId="0636BCF4" w14:textId="77777777" w:rsidR="008E2EA0" w:rsidRDefault="008E2EA0" w:rsidP="008F0E6F">
                  <w:pPr>
                    <w:spacing w:before="120" w:after="120" w:line="259" w:lineRule="auto"/>
                    <w:jc w:val="both"/>
                    <w:rPr>
                      <w:lang w:val="fr-CD"/>
                    </w:rPr>
                  </w:pPr>
                </w:p>
                <w:p w14:paraId="5875F059" w14:textId="77777777" w:rsidR="008E2EA0" w:rsidRDefault="008E2EA0" w:rsidP="008F0E6F">
                  <w:pPr>
                    <w:spacing w:before="120" w:after="120" w:line="259" w:lineRule="auto"/>
                    <w:jc w:val="both"/>
                    <w:rPr>
                      <w:lang w:val="fr-CD"/>
                    </w:rPr>
                  </w:pPr>
                </w:p>
                <w:p w14:paraId="6E0A4372" w14:textId="77777777" w:rsidR="008E2EA0" w:rsidRDefault="008E2EA0" w:rsidP="008F0E6F">
                  <w:pPr>
                    <w:spacing w:before="120" w:after="120" w:line="259" w:lineRule="auto"/>
                    <w:jc w:val="both"/>
                    <w:rPr>
                      <w:lang w:val="fr-CD"/>
                    </w:rPr>
                  </w:pPr>
                </w:p>
                <w:p w14:paraId="057E4F66" w14:textId="3C88805C" w:rsidR="008E2EA0" w:rsidRPr="00A64DC6" w:rsidRDefault="002A4B23" w:rsidP="008F0E6F">
                  <w:pPr>
                    <w:spacing w:before="120" w:after="120" w:line="259" w:lineRule="auto"/>
                    <w:jc w:val="both"/>
                    <w:rPr>
                      <w:lang w:val="fr-CD"/>
                    </w:rPr>
                  </w:pPr>
                  <w:r>
                    <w:rPr>
                      <w:lang w:val="fr-CD"/>
                    </w:rPr>
                    <w:t>24</w:t>
                  </w:r>
                  <w:r w:rsidR="008E2EA0" w:rsidRPr="00A64DC6">
                    <w:rPr>
                      <w:vertAlign w:val="superscript"/>
                      <w:lang w:val="fr-CD"/>
                    </w:rPr>
                    <w:t>ème</w:t>
                  </w:r>
                  <w:r w:rsidR="008E2EA0" w:rsidRPr="00A64DC6">
                    <w:rPr>
                      <w:lang w:val="fr-CD"/>
                    </w:rPr>
                    <w:t xml:space="preserve"> jour</w:t>
                  </w:r>
                </w:p>
                <w:p w14:paraId="18DB2810" w14:textId="2E9C46A8" w:rsidR="008E2EA0" w:rsidRPr="00A64DC6" w:rsidRDefault="008E2EA0" w:rsidP="008F0E6F">
                  <w:pPr>
                    <w:spacing w:before="120" w:after="120" w:line="259" w:lineRule="auto"/>
                    <w:jc w:val="both"/>
                    <w:rPr>
                      <w:lang w:val="fr-CD"/>
                    </w:rPr>
                  </w:pPr>
                </w:p>
              </w:tc>
              <w:tc>
                <w:tcPr>
                  <w:tcW w:w="1305" w:type="dxa"/>
                  <w:vMerge w:val="restart"/>
                  <w:shd w:val="clear" w:color="auto" w:fill="auto"/>
                </w:tcPr>
                <w:p w14:paraId="513A779E" w14:textId="77777777" w:rsidR="008E2EA0" w:rsidRDefault="008E2EA0" w:rsidP="008F0E6F">
                  <w:pPr>
                    <w:spacing w:before="120" w:after="120" w:line="259" w:lineRule="auto"/>
                    <w:jc w:val="center"/>
                    <w:rPr>
                      <w:lang w:val="fr-CD"/>
                    </w:rPr>
                  </w:pPr>
                </w:p>
                <w:p w14:paraId="20D3658B" w14:textId="77777777" w:rsidR="008E2EA0" w:rsidRDefault="008E2EA0" w:rsidP="008F0E6F">
                  <w:pPr>
                    <w:spacing w:before="120" w:after="120" w:line="259" w:lineRule="auto"/>
                    <w:jc w:val="center"/>
                    <w:rPr>
                      <w:lang w:val="fr-CD"/>
                    </w:rPr>
                  </w:pPr>
                </w:p>
                <w:p w14:paraId="27E92119" w14:textId="77777777" w:rsidR="008E2EA0" w:rsidRDefault="008E2EA0" w:rsidP="008F0E6F">
                  <w:pPr>
                    <w:spacing w:before="120" w:after="120" w:line="259" w:lineRule="auto"/>
                    <w:jc w:val="center"/>
                    <w:rPr>
                      <w:lang w:val="fr-CD"/>
                    </w:rPr>
                  </w:pPr>
                </w:p>
                <w:p w14:paraId="76F909E1" w14:textId="77777777" w:rsidR="008E2EA0" w:rsidRDefault="008E2EA0" w:rsidP="008F0E6F">
                  <w:pPr>
                    <w:spacing w:before="120" w:after="120" w:line="259" w:lineRule="auto"/>
                    <w:jc w:val="center"/>
                    <w:rPr>
                      <w:lang w:val="fr-CD"/>
                    </w:rPr>
                  </w:pPr>
                </w:p>
                <w:p w14:paraId="675DD143" w14:textId="77777777" w:rsidR="008E2EA0" w:rsidRDefault="008E2EA0" w:rsidP="008F0E6F">
                  <w:pPr>
                    <w:spacing w:before="120" w:after="120" w:line="259" w:lineRule="auto"/>
                    <w:jc w:val="center"/>
                    <w:rPr>
                      <w:lang w:val="fr-CD"/>
                    </w:rPr>
                  </w:pPr>
                </w:p>
                <w:p w14:paraId="375193EC" w14:textId="77777777" w:rsidR="008E2EA0" w:rsidRDefault="008E2EA0" w:rsidP="008F0E6F">
                  <w:pPr>
                    <w:spacing w:before="120" w:after="120" w:line="259" w:lineRule="auto"/>
                    <w:jc w:val="center"/>
                    <w:rPr>
                      <w:lang w:val="fr-CD"/>
                    </w:rPr>
                  </w:pPr>
                </w:p>
                <w:p w14:paraId="76E33BE9" w14:textId="77777777" w:rsidR="008E2EA0" w:rsidRDefault="008E2EA0" w:rsidP="008F0E6F">
                  <w:pPr>
                    <w:spacing w:before="120" w:after="120" w:line="259" w:lineRule="auto"/>
                    <w:jc w:val="center"/>
                    <w:rPr>
                      <w:lang w:val="fr-CD"/>
                    </w:rPr>
                  </w:pPr>
                </w:p>
                <w:p w14:paraId="48CE4B33" w14:textId="4FA48DDD" w:rsidR="008E2EA0" w:rsidRPr="00A64DC6" w:rsidRDefault="008E2EA0" w:rsidP="008F0E6F">
                  <w:pPr>
                    <w:spacing w:before="120" w:after="120" w:line="259" w:lineRule="auto"/>
                    <w:jc w:val="center"/>
                    <w:rPr>
                      <w:lang w:val="fr-CD"/>
                    </w:rPr>
                  </w:pPr>
                  <w:r>
                    <w:rPr>
                      <w:lang w:val="fr-CD"/>
                    </w:rPr>
                    <w:t>4</w:t>
                  </w:r>
                  <w:r w:rsidRPr="00A64DC6">
                    <w:rPr>
                      <w:lang w:val="fr-CD"/>
                    </w:rPr>
                    <w:t>0 %</w:t>
                  </w:r>
                </w:p>
                <w:p w14:paraId="2A9CA9C2" w14:textId="3C4F746C" w:rsidR="008E2EA0" w:rsidRPr="00A64DC6" w:rsidRDefault="008E2EA0" w:rsidP="008F0E6F">
                  <w:pPr>
                    <w:spacing w:before="120" w:after="120" w:line="259" w:lineRule="auto"/>
                    <w:jc w:val="center"/>
                    <w:rPr>
                      <w:lang w:val="fr-CD"/>
                    </w:rPr>
                  </w:pPr>
                </w:p>
              </w:tc>
            </w:tr>
            <w:tr w:rsidR="008E2EA0" w:rsidRPr="00EC386A" w14:paraId="4F7A92C9" w14:textId="77777777" w:rsidTr="0072066E">
              <w:tc>
                <w:tcPr>
                  <w:tcW w:w="434" w:type="dxa"/>
                  <w:shd w:val="clear" w:color="auto" w:fill="auto"/>
                </w:tcPr>
                <w:p w14:paraId="632D8F9E" w14:textId="77777777" w:rsidR="008E2EA0" w:rsidRPr="00A64DC6" w:rsidRDefault="008E2EA0" w:rsidP="008F0E6F">
                  <w:pPr>
                    <w:spacing w:before="120" w:after="120" w:line="259" w:lineRule="auto"/>
                    <w:jc w:val="both"/>
                    <w:rPr>
                      <w:lang w:val="fr-CD"/>
                    </w:rPr>
                  </w:pPr>
                  <w:r w:rsidRPr="00A64DC6">
                    <w:rPr>
                      <w:lang w:val="fr-CD"/>
                    </w:rPr>
                    <w:lastRenderedPageBreak/>
                    <w:t>3</w:t>
                  </w:r>
                </w:p>
              </w:tc>
              <w:tc>
                <w:tcPr>
                  <w:tcW w:w="2198" w:type="dxa"/>
                  <w:shd w:val="clear" w:color="auto" w:fill="auto"/>
                </w:tcPr>
                <w:p w14:paraId="65EB98F5" w14:textId="681DC763" w:rsidR="008E2EA0" w:rsidRPr="00A64DC6" w:rsidRDefault="002A4B23" w:rsidP="008F0E6F">
                  <w:pPr>
                    <w:spacing w:before="120" w:after="120" w:line="259" w:lineRule="auto"/>
                    <w:jc w:val="both"/>
                    <w:rPr>
                      <w:lang w:val="fr-CD"/>
                    </w:rPr>
                  </w:pPr>
                  <w:r w:rsidRPr="002A4B23">
                    <w:rPr>
                      <w:lang w:val="fr-CD"/>
                    </w:rPr>
                    <w:t>Une stratégie de mise en œuvre</w:t>
                  </w:r>
                </w:p>
              </w:tc>
              <w:tc>
                <w:tcPr>
                  <w:tcW w:w="3749" w:type="dxa"/>
                  <w:shd w:val="clear" w:color="auto" w:fill="auto"/>
                </w:tcPr>
                <w:p w14:paraId="1A57D2D0" w14:textId="0325F208" w:rsidR="008E2EA0" w:rsidRPr="00A64DC6" w:rsidRDefault="002A4B23" w:rsidP="008F0E6F">
                  <w:pPr>
                    <w:spacing w:before="120" w:after="120" w:line="259" w:lineRule="auto"/>
                    <w:jc w:val="both"/>
                    <w:rPr>
                      <w:lang w:val="fr-CD"/>
                    </w:rPr>
                  </w:pPr>
                  <w:r w:rsidRPr="002A4B23">
                    <w:rPr>
                      <w:lang w:val="fr-CD"/>
                    </w:rPr>
                    <w:t>Elle doit être basée sur les différentes activités identifiées pour la réalisation des résultats attendus.</w:t>
                  </w:r>
                </w:p>
              </w:tc>
              <w:tc>
                <w:tcPr>
                  <w:tcW w:w="1274" w:type="dxa"/>
                  <w:vMerge/>
                  <w:shd w:val="clear" w:color="auto" w:fill="auto"/>
                </w:tcPr>
                <w:p w14:paraId="363F26F1" w14:textId="3F0E119F" w:rsidR="008E2EA0" w:rsidRPr="00A64DC6" w:rsidRDefault="008E2EA0" w:rsidP="008F0E6F">
                  <w:pPr>
                    <w:spacing w:before="120" w:after="120" w:line="259" w:lineRule="auto"/>
                    <w:jc w:val="both"/>
                    <w:rPr>
                      <w:lang w:val="fr-CD"/>
                    </w:rPr>
                  </w:pPr>
                </w:p>
              </w:tc>
              <w:tc>
                <w:tcPr>
                  <w:tcW w:w="1305" w:type="dxa"/>
                  <w:vMerge/>
                  <w:shd w:val="clear" w:color="auto" w:fill="auto"/>
                </w:tcPr>
                <w:p w14:paraId="2FC5B9ED" w14:textId="0B2D88DC" w:rsidR="008E2EA0" w:rsidRPr="00A64DC6" w:rsidRDefault="008E2EA0" w:rsidP="008F0E6F">
                  <w:pPr>
                    <w:spacing w:before="120" w:after="120" w:line="259" w:lineRule="auto"/>
                    <w:jc w:val="center"/>
                    <w:rPr>
                      <w:lang w:val="fr-CD"/>
                    </w:rPr>
                  </w:pPr>
                </w:p>
              </w:tc>
            </w:tr>
            <w:tr w:rsidR="008E2EA0" w:rsidRPr="00EC386A" w14:paraId="26B7C13F" w14:textId="77777777" w:rsidTr="0072066E">
              <w:tc>
                <w:tcPr>
                  <w:tcW w:w="434" w:type="dxa"/>
                  <w:shd w:val="clear" w:color="auto" w:fill="auto"/>
                </w:tcPr>
                <w:p w14:paraId="2C5E131F" w14:textId="77777777" w:rsidR="008E2EA0" w:rsidRPr="00A64DC6" w:rsidRDefault="008E2EA0" w:rsidP="008F0E6F">
                  <w:pPr>
                    <w:spacing w:before="120" w:after="120" w:line="259" w:lineRule="auto"/>
                    <w:jc w:val="both"/>
                    <w:rPr>
                      <w:lang w:val="fr-CD"/>
                    </w:rPr>
                  </w:pPr>
                  <w:r w:rsidRPr="00A64DC6">
                    <w:rPr>
                      <w:lang w:val="fr-CD"/>
                    </w:rPr>
                    <w:t>4</w:t>
                  </w:r>
                </w:p>
              </w:tc>
              <w:tc>
                <w:tcPr>
                  <w:tcW w:w="2198" w:type="dxa"/>
                  <w:shd w:val="clear" w:color="auto" w:fill="auto"/>
                </w:tcPr>
                <w:p w14:paraId="30104788" w14:textId="6B627B51" w:rsidR="008E2EA0" w:rsidRPr="00A64DC6" w:rsidRDefault="002A4B23" w:rsidP="008F0E6F">
                  <w:pPr>
                    <w:spacing w:before="120" w:after="120" w:line="259" w:lineRule="auto"/>
                    <w:jc w:val="both"/>
                    <w:rPr>
                      <w:lang w:val="fr-CD"/>
                    </w:rPr>
                  </w:pPr>
                  <w:r w:rsidRPr="002A4B23">
                    <w:rPr>
                      <w:lang w:val="fr-CD"/>
                    </w:rPr>
                    <w:t>Un document du Programme Structurant d’appui aux chaines des valeurs minières adressant les questions pertinentes et susceptibles d’enclencher le développement des chaines des valeurs en RDC</w:t>
                  </w:r>
                </w:p>
              </w:tc>
              <w:tc>
                <w:tcPr>
                  <w:tcW w:w="3749" w:type="dxa"/>
                  <w:shd w:val="clear" w:color="auto" w:fill="auto"/>
                </w:tcPr>
                <w:p w14:paraId="03134B7F" w14:textId="77777777" w:rsidR="002A4B23" w:rsidRPr="002A4B23" w:rsidRDefault="002A4B23" w:rsidP="002A4B23">
                  <w:pPr>
                    <w:spacing w:before="120" w:after="120" w:line="259" w:lineRule="auto"/>
                    <w:rPr>
                      <w:lang w:val="fr-CD"/>
                    </w:rPr>
                  </w:pPr>
                  <w:r w:rsidRPr="002A4B23">
                    <w:rPr>
                      <w:lang w:val="fr-CD"/>
                    </w:rPr>
                    <w:t xml:space="preserve">Il doit répondre au canevas du PNUD et renseigner sur les points suivants : </w:t>
                  </w:r>
                </w:p>
                <w:p w14:paraId="1643F2EF" w14:textId="50CB6D4B" w:rsidR="002A4B23" w:rsidRPr="002A4B23" w:rsidRDefault="002A4B23" w:rsidP="002A4B23">
                  <w:pPr>
                    <w:spacing w:before="120" w:after="120" w:line="259" w:lineRule="auto"/>
                    <w:rPr>
                      <w:lang w:val="fr-CD"/>
                    </w:rPr>
                  </w:pPr>
                  <w:r>
                    <w:rPr>
                      <w:lang w:val="fr-CD"/>
                    </w:rPr>
                    <w:t>-</w:t>
                  </w:r>
                  <w:r w:rsidRPr="002A4B23">
                    <w:rPr>
                      <w:lang w:val="fr-CD"/>
                    </w:rPr>
                    <w:t>Le contexte actuel de la RDC et la justification de l’intervention d’appui aux chaines des valeurs agricoles ;</w:t>
                  </w:r>
                </w:p>
                <w:p w14:paraId="47CB87F7" w14:textId="1FB2EF19" w:rsidR="002A4B23" w:rsidRPr="002A4B23" w:rsidRDefault="002A4B23" w:rsidP="002A4B23">
                  <w:pPr>
                    <w:spacing w:before="120" w:after="120" w:line="259" w:lineRule="auto"/>
                    <w:rPr>
                      <w:lang w:val="fr-CD"/>
                    </w:rPr>
                  </w:pPr>
                  <w:r>
                    <w:rPr>
                      <w:lang w:val="fr-CD"/>
                    </w:rPr>
                    <w:t>-</w:t>
                  </w:r>
                  <w:r w:rsidRPr="002A4B23">
                    <w:rPr>
                      <w:lang w:val="fr-CD"/>
                    </w:rPr>
                    <w:t>La théorie de changement sur les interventions du PNUD au regard des enjeux et du contexte actuel ;</w:t>
                  </w:r>
                </w:p>
                <w:p w14:paraId="662BEC5A" w14:textId="3EA172A8" w:rsidR="002A4B23" w:rsidRPr="002A4B23" w:rsidRDefault="002A4B23" w:rsidP="002A4B23">
                  <w:pPr>
                    <w:spacing w:before="120" w:after="120" w:line="259" w:lineRule="auto"/>
                    <w:rPr>
                      <w:lang w:val="fr-CD"/>
                    </w:rPr>
                  </w:pPr>
                  <w:r>
                    <w:rPr>
                      <w:lang w:val="fr-CD"/>
                    </w:rPr>
                    <w:t>-</w:t>
                  </w:r>
                  <w:r w:rsidRPr="002A4B23">
                    <w:rPr>
                      <w:lang w:val="fr-CD"/>
                    </w:rPr>
                    <w:t>L’alignement du Programme Structurant sur la cadre stratégique des Nations Unies ;</w:t>
                  </w:r>
                </w:p>
                <w:p w14:paraId="3E172425" w14:textId="77EB7568" w:rsidR="002A4B23" w:rsidRPr="002A4B23" w:rsidRDefault="002A4B23" w:rsidP="002A4B23">
                  <w:pPr>
                    <w:spacing w:before="120" w:after="120" w:line="259" w:lineRule="auto"/>
                    <w:rPr>
                      <w:lang w:val="fr-CD"/>
                    </w:rPr>
                  </w:pPr>
                  <w:r>
                    <w:rPr>
                      <w:lang w:val="fr-CD"/>
                    </w:rPr>
                    <w:t>-</w:t>
                  </w:r>
                  <w:r w:rsidRPr="002A4B23">
                    <w:rPr>
                      <w:lang w:val="fr-CD"/>
                    </w:rPr>
                    <w:t>Les objectifs stratégiques du Programmes Structurant en ce qui concerne les chaines de valeur ;</w:t>
                  </w:r>
                </w:p>
                <w:p w14:paraId="18D2650D" w14:textId="58E237D2" w:rsidR="002A4B23" w:rsidRPr="002A4B23" w:rsidRDefault="002A4B23" w:rsidP="002A4B23">
                  <w:pPr>
                    <w:spacing w:before="120" w:after="120" w:line="259" w:lineRule="auto"/>
                    <w:rPr>
                      <w:lang w:val="fr-CD"/>
                    </w:rPr>
                  </w:pPr>
                  <w:r>
                    <w:rPr>
                      <w:lang w:val="fr-CD"/>
                    </w:rPr>
                    <w:t>-</w:t>
                  </w:r>
                  <w:r w:rsidRPr="002A4B23">
                    <w:rPr>
                      <w:lang w:val="fr-CD"/>
                    </w:rPr>
                    <w:t xml:space="preserve">Le cadre des résultats ; </w:t>
                  </w:r>
                </w:p>
                <w:p w14:paraId="5A7B73BF" w14:textId="0C91E400" w:rsidR="002A4B23" w:rsidRPr="002A4B23" w:rsidRDefault="002A4B23" w:rsidP="002A4B23">
                  <w:pPr>
                    <w:spacing w:before="120" w:after="120" w:line="259" w:lineRule="auto"/>
                    <w:rPr>
                      <w:lang w:val="fr-CD"/>
                    </w:rPr>
                  </w:pPr>
                  <w:r>
                    <w:rPr>
                      <w:lang w:val="fr-CD"/>
                    </w:rPr>
                    <w:t>-</w:t>
                  </w:r>
                  <w:r w:rsidRPr="002A4B23">
                    <w:rPr>
                      <w:lang w:val="fr-CD"/>
                    </w:rPr>
                    <w:t>Le ciblage des bénéficiaires et ciblage géographique du Programme Structurant ;</w:t>
                  </w:r>
                </w:p>
                <w:p w14:paraId="4D143FED" w14:textId="6E52E794" w:rsidR="002A4B23" w:rsidRPr="002A4B23" w:rsidRDefault="002A4B23" w:rsidP="002A4B23">
                  <w:pPr>
                    <w:spacing w:before="120" w:after="120" w:line="259" w:lineRule="auto"/>
                    <w:rPr>
                      <w:lang w:val="fr-CD"/>
                    </w:rPr>
                  </w:pPr>
                  <w:r>
                    <w:rPr>
                      <w:lang w:val="fr-CD"/>
                    </w:rPr>
                    <w:t>-</w:t>
                  </w:r>
                  <w:r w:rsidRPr="002A4B23">
                    <w:rPr>
                      <w:lang w:val="fr-CD"/>
                    </w:rPr>
                    <w:t>Le plan de suivi et évaluation ;</w:t>
                  </w:r>
                </w:p>
                <w:p w14:paraId="1CE54343" w14:textId="16CF5C19" w:rsidR="002A4B23" w:rsidRPr="002A4B23" w:rsidRDefault="002A4B23" w:rsidP="002A4B23">
                  <w:pPr>
                    <w:spacing w:before="120" w:after="120" w:line="259" w:lineRule="auto"/>
                    <w:rPr>
                      <w:lang w:val="fr-CD"/>
                    </w:rPr>
                  </w:pPr>
                  <w:r>
                    <w:rPr>
                      <w:lang w:val="fr-CD"/>
                    </w:rPr>
                    <w:t>-</w:t>
                  </w:r>
                  <w:r w:rsidRPr="002A4B23">
                    <w:rPr>
                      <w:lang w:val="fr-CD"/>
                    </w:rPr>
                    <w:t>L’analyse et la gestion des risques ;</w:t>
                  </w:r>
                </w:p>
                <w:p w14:paraId="225224DA" w14:textId="0CDC37C3" w:rsidR="002A4B23" w:rsidRPr="002A4B23" w:rsidRDefault="002A4B23" w:rsidP="002A4B23">
                  <w:pPr>
                    <w:spacing w:before="120" w:after="120" w:line="259" w:lineRule="auto"/>
                    <w:rPr>
                      <w:lang w:val="fr-CD"/>
                    </w:rPr>
                  </w:pPr>
                  <w:r>
                    <w:rPr>
                      <w:lang w:val="fr-CD"/>
                    </w:rPr>
                    <w:t>-</w:t>
                  </w:r>
                  <w:r w:rsidRPr="002A4B23">
                    <w:rPr>
                      <w:lang w:val="fr-CD"/>
                    </w:rPr>
                    <w:t>Les estimations budgétaires ;</w:t>
                  </w:r>
                </w:p>
                <w:p w14:paraId="7B94F9E1" w14:textId="57BA63A1" w:rsidR="008E2EA0" w:rsidRPr="00A64DC6" w:rsidRDefault="002A4B23" w:rsidP="002A4B23">
                  <w:pPr>
                    <w:spacing w:before="120" w:after="120" w:line="259" w:lineRule="auto"/>
                    <w:rPr>
                      <w:lang w:val="fr-CD"/>
                    </w:rPr>
                  </w:pPr>
                  <w:r>
                    <w:rPr>
                      <w:lang w:val="fr-CD"/>
                    </w:rPr>
                    <w:t>-</w:t>
                  </w:r>
                  <w:r w:rsidRPr="002A4B23">
                    <w:rPr>
                      <w:lang w:val="fr-CD"/>
                    </w:rPr>
                    <w:t>Stratégie de fin du Programme/durabilité ;</w:t>
                  </w:r>
                </w:p>
              </w:tc>
              <w:tc>
                <w:tcPr>
                  <w:tcW w:w="1274" w:type="dxa"/>
                  <w:vMerge/>
                  <w:shd w:val="clear" w:color="auto" w:fill="auto"/>
                </w:tcPr>
                <w:p w14:paraId="1D4325E6" w14:textId="477A8FDD" w:rsidR="008E2EA0" w:rsidRPr="00A64DC6" w:rsidRDefault="008E2EA0" w:rsidP="008F0E6F">
                  <w:pPr>
                    <w:spacing w:before="120" w:after="120" w:line="259" w:lineRule="auto"/>
                    <w:jc w:val="both"/>
                    <w:rPr>
                      <w:lang w:val="fr-CD"/>
                    </w:rPr>
                  </w:pPr>
                </w:p>
              </w:tc>
              <w:tc>
                <w:tcPr>
                  <w:tcW w:w="1305" w:type="dxa"/>
                  <w:vMerge/>
                  <w:shd w:val="clear" w:color="auto" w:fill="auto"/>
                </w:tcPr>
                <w:p w14:paraId="3411B775" w14:textId="10424E0E" w:rsidR="008E2EA0" w:rsidRPr="00A64DC6" w:rsidRDefault="008E2EA0" w:rsidP="008F0E6F">
                  <w:pPr>
                    <w:spacing w:before="120" w:after="120" w:line="259" w:lineRule="auto"/>
                    <w:jc w:val="center"/>
                    <w:rPr>
                      <w:lang w:val="fr-CD"/>
                    </w:rPr>
                  </w:pPr>
                </w:p>
              </w:tc>
            </w:tr>
            <w:tr w:rsidR="004D4E60" w:rsidRPr="00A64DC6" w14:paraId="31900C11" w14:textId="77777777" w:rsidTr="0072066E">
              <w:tc>
                <w:tcPr>
                  <w:tcW w:w="434" w:type="dxa"/>
                  <w:shd w:val="clear" w:color="auto" w:fill="auto"/>
                </w:tcPr>
                <w:p w14:paraId="727D5B23" w14:textId="77777777" w:rsidR="004D4E60" w:rsidRPr="00A64DC6" w:rsidRDefault="004D4E60" w:rsidP="008F0E6F">
                  <w:pPr>
                    <w:spacing w:before="120" w:after="120" w:line="259" w:lineRule="auto"/>
                    <w:jc w:val="both"/>
                    <w:rPr>
                      <w:lang w:val="fr-CD"/>
                    </w:rPr>
                  </w:pPr>
                  <w:r w:rsidRPr="00A64DC6">
                    <w:rPr>
                      <w:lang w:val="fr-CD"/>
                    </w:rPr>
                    <w:t>5</w:t>
                  </w:r>
                </w:p>
              </w:tc>
              <w:tc>
                <w:tcPr>
                  <w:tcW w:w="2198" w:type="dxa"/>
                  <w:shd w:val="clear" w:color="auto" w:fill="auto"/>
                </w:tcPr>
                <w:p w14:paraId="4E1E31F8" w14:textId="6ADD10E1" w:rsidR="004D4E60" w:rsidRPr="00A64DC6" w:rsidRDefault="002A4B23" w:rsidP="004D4E60">
                  <w:pPr>
                    <w:spacing w:before="120" w:after="120" w:line="259" w:lineRule="auto"/>
                    <w:rPr>
                      <w:lang w:val="fr-CD"/>
                    </w:rPr>
                  </w:pPr>
                  <w:r w:rsidRPr="002A4B23">
                    <w:rPr>
                      <w:lang w:val="fr-CD"/>
                    </w:rPr>
                    <w:t xml:space="preserve">La gouvernance du Programme plus les </w:t>
                  </w:r>
                  <w:proofErr w:type="spellStart"/>
                  <w:r w:rsidRPr="002A4B23">
                    <w:rPr>
                      <w:lang w:val="fr-CD"/>
                    </w:rPr>
                    <w:t>drafts</w:t>
                  </w:r>
                  <w:proofErr w:type="spellEnd"/>
                  <w:r w:rsidRPr="002A4B23">
                    <w:rPr>
                      <w:lang w:val="fr-CD"/>
                    </w:rPr>
                    <w:t xml:space="preserve"> des termes de références des membres de l’unité de mise en œuvre</w:t>
                  </w:r>
                </w:p>
              </w:tc>
              <w:tc>
                <w:tcPr>
                  <w:tcW w:w="3749" w:type="dxa"/>
                  <w:shd w:val="clear" w:color="auto" w:fill="auto"/>
                </w:tcPr>
                <w:p w14:paraId="776FD26E" w14:textId="019858EC" w:rsidR="004D4E60" w:rsidRPr="00A64DC6" w:rsidRDefault="002A4B23" w:rsidP="008F0E6F">
                  <w:pPr>
                    <w:spacing w:before="120" w:after="120" w:line="259" w:lineRule="auto"/>
                    <w:jc w:val="both"/>
                    <w:rPr>
                      <w:lang w:val="fr-CD"/>
                    </w:rPr>
                  </w:pPr>
                  <w:r w:rsidRPr="002A4B23">
                    <w:rPr>
                      <w:lang w:val="fr-CD"/>
                    </w:rPr>
                    <w:t>A produire dans un document en annexe et en utilisant le format PNUD</w:t>
                  </w:r>
                </w:p>
              </w:tc>
              <w:tc>
                <w:tcPr>
                  <w:tcW w:w="1274" w:type="dxa"/>
                  <w:vMerge w:val="restart"/>
                  <w:shd w:val="clear" w:color="auto" w:fill="auto"/>
                </w:tcPr>
                <w:p w14:paraId="310640E1" w14:textId="5E06DBA6" w:rsidR="004D4E60" w:rsidRDefault="00486A5A" w:rsidP="004D4E60">
                  <w:pPr>
                    <w:spacing w:before="120" w:after="120" w:line="259" w:lineRule="auto"/>
                    <w:jc w:val="center"/>
                    <w:rPr>
                      <w:lang w:val="fr-CD"/>
                    </w:rPr>
                  </w:pPr>
                  <w:r>
                    <w:rPr>
                      <w:lang w:val="fr-CD"/>
                    </w:rPr>
                    <w:t>28ème jour</w:t>
                  </w:r>
                </w:p>
                <w:p w14:paraId="3BD9592F" w14:textId="77777777" w:rsidR="004D4E60" w:rsidRDefault="004D4E60" w:rsidP="004D4E60">
                  <w:pPr>
                    <w:spacing w:before="120" w:after="120" w:line="259" w:lineRule="auto"/>
                    <w:jc w:val="center"/>
                    <w:rPr>
                      <w:lang w:val="fr-CD"/>
                    </w:rPr>
                  </w:pPr>
                </w:p>
                <w:p w14:paraId="41838D55" w14:textId="0536677F" w:rsidR="004D4E60" w:rsidRDefault="004D4E60" w:rsidP="004D4E60">
                  <w:pPr>
                    <w:spacing w:before="120" w:after="120" w:line="259" w:lineRule="auto"/>
                    <w:jc w:val="center"/>
                    <w:rPr>
                      <w:lang w:val="fr-CD"/>
                    </w:rPr>
                  </w:pPr>
                </w:p>
                <w:p w14:paraId="132D202C" w14:textId="4537F1D4" w:rsidR="00486A5A" w:rsidRDefault="00486A5A" w:rsidP="004D4E60">
                  <w:pPr>
                    <w:spacing w:before="120" w:after="120" w:line="259" w:lineRule="auto"/>
                    <w:jc w:val="center"/>
                    <w:rPr>
                      <w:lang w:val="fr-CD"/>
                    </w:rPr>
                  </w:pPr>
                </w:p>
                <w:p w14:paraId="0E45348D" w14:textId="0FFDB33B" w:rsidR="00486A5A" w:rsidRDefault="00486A5A" w:rsidP="004D4E60">
                  <w:pPr>
                    <w:spacing w:before="120" w:after="120" w:line="259" w:lineRule="auto"/>
                    <w:jc w:val="center"/>
                    <w:rPr>
                      <w:lang w:val="fr-CD"/>
                    </w:rPr>
                  </w:pPr>
                </w:p>
                <w:p w14:paraId="12D1A625" w14:textId="77777777" w:rsidR="00486A5A" w:rsidRDefault="00486A5A" w:rsidP="004D4E60">
                  <w:pPr>
                    <w:spacing w:before="120" w:after="120" w:line="259" w:lineRule="auto"/>
                    <w:jc w:val="center"/>
                    <w:rPr>
                      <w:lang w:val="fr-CD"/>
                    </w:rPr>
                  </w:pPr>
                </w:p>
                <w:p w14:paraId="045F3D65" w14:textId="77777777" w:rsidR="004D4E60" w:rsidRDefault="004D4E60" w:rsidP="004D4E60">
                  <w:pPr>
                    <w:spacing w:before="120" w:after="120" w:line="259" w:lineRule="auto"/>
                    <w:jc w:val="center"/>
                    <w:rPr>
                      <w:lang w:val="fr-CD"/>
                    </w:rPr>
                  </w:pPr>
                </w:p>
                <w:p w14:paraId="17E8AFEA" w14:textId="33AB1D8C" w:rsidR="004D4E60" w:rsidRPr="00A64DC6" w:rsidRDefault="004D4E60" w:rsidP="00486A5A">
                  <w:pPr>
                    <w:spacing w:before="120" w:after="120" w:line="259" w:lineRule="auto"/>
                    <w:rPr>
                      <w:lang w:val="fr-CD"/>
                    </w:rPr>
                  </w:pPr>
                </w:p>
              </w:tc>
              <w:tc>
                <w:tcPr>
                  <w:tcW w:w="1305" w:type="dxa"/>
                  <w:vMerge w:val="restart"/>
                  <w:shd w:val="clear" w:color="auto" w:fill="auto"/>
                </w:tcPr>
                <w:p w14:paraId="596D5327" w14:textId="5527973C" w:rsidR="004D4E60" w:rsidRDefault="00486A5A" w:rsidP="004D4E60">
                  <w:pPr>
                    <w:spacing w:before="120" w:after="120" w:line="259" w:lineRule="auto"/>
                    <w:jc w:val="center"/>
                    <w:rPr>
                      <w:lang w:val="fr-CD"/>
                    </w:rPr>
                  </w:pPr>
                  <w:r>
                    <w:rPr>
                      <w:lang w:val="fr-CD"/>
                    </w:rPr>
                    <w:lastRenderedPageBreak/>
                    <w:t>20 %</w:t>
                  </w:r>
                </w:p>
                <w:p w14:paraId="11E52D74" w14:textId="77777777" w:rsidR="004D4E60" w:rsidRDefault="004D4E60" w:rsidP="004D4E60">
                  <w:pPr>
                    <w:spacing w:before="120" w:after="120" w:line="259" w:lineRule="auto"/>
                    <w:jc w:val="center"/>
                    <w:rPr>
                      <w:lang w:val="fr-CD"/>
                    </w:rPr>
                  </w:pPr>
                </w:p>
                <w:p w14:paraId="3E9E71F8" w14:textId="77777777" w:rsidR="004D4E60" w:rsidRDefault="004D4E60" w:rsidP="004D4E60">
                  <w:pPr>
                    <w:spacing w:before="120" w:after="120" w:line="259" w:lineRule="auto"/>
                    <w:jc w:val="center"/>
                    <w:rPr>
                      <w:lang w:val="fr-CD"/>
                    </w:rPr>
                  </w:pPr>
                </w:p>
                <w:p w14:paraId="583D598D" w14:textId="77777777" w:rsidR="004D4E60" w:rsidRDefault="004D4E60" w:rsidP="004D4E60">
                  <w:pPr>
                    <w:spacing w:before="120" w:after="120" w:line="259" w:lineRule="auto"/>
                    <w:jc w:val="center"/>
                    <w:rPr>
                      <w:lang w:val="fr-CD"/>
                    </w:rPr>
                  </w:pPr>
                </w:p>
                <w:p w14:paraId="54B1517D" w14:textId="4699614B" w:rsidR="004D4E60" w:rsidRPr="00A64DC6" w:rsidRDefault="004D4E60" w:rsidP="004D4E60">
                  <w:pPr>
                    <w:spacing w:before="120" w:after="120" w:line="259" w:lineRule="auto"/>
                    <w:jc w:val="center"/>
                    <w:rPr>
                      <w:lang w:val="fr-CD"/>
                    </w:rPr>
                  </w:pPr>
                </w:p>
              </w:tc>
            </w:tr>
            <w:tr w:rsidR="004D4E60" w:rsidRPr="00EC386A" w14:paraId="749093B2" w14:textId="77777777" w:rsidTr="0072066E">
              <w:tc>
                <w:tcPr>
                  <w:tcW w:w="434" w:type="dxa"/>
                  <w:shd w:val="clear" w:color="auto" w:fill="auto"/>
                </w:tcPr>
                <w:p w14:paraId="36A9A629" w14:textId="0CE33479" w:rsidR="004D4E60" w:rsidRPr="00A64DC6" w:rsidRDefault="002A4B23" w:rsidP="008F0E6F">
                  <w:pPr>
                    <w:spacing w:before="120" w:after="120" w:line="259" w:lineRule="auto"/>
                    <w:jc w:val="both"/>
                    <w:rPr>
                      <w:lang w:val="fr-CD"/>
                    </w:rPr>
                  </w:pPr>
                  <w:r>
                    <w:rPr>
                      <w:lang w:val="fr-CD"/>
                    </w:rPr>
                    <w:lastRenderedPageBreak/>
                    <w:t>6</w:t>
                  </w:r>
                </w:p>
              </w:tc>
              <w:tc>
                <w:tcPr>
                  <w:tcW w:w="2198" w:type="dxa"/>
                  <w:shd w:val="clear" w:color="auto" w:fill="auto"/>
                </w:tcPr>
                <w:p w14:paraId="255844B8" w14:textId="22355007" w:rsidR="004D4E60" w:rsidRPr="00A64DC6" w:rsidRDefault="00486A5A" w:rsidP="004D4E60">
                  <w:pPr>
                    <w:spacing w:before="120" w:after="120" w:line="259" w:lineRule="auto"/>
                    <w:rPr>
                      <w:lang w:val="fr-CD"/>
                    </w:rPr>
                  </w:pPr>
                  <w:r w:rsidRPr="00486A5A">
                    <w:rPr>
                      <w:lang w:val="fr-CD"/>
                    </w:rPr>
                    <w:t>Développer la stratégie de mobilisation des ressources pour le financement du Programme</w:t>
                  </w:r>
                </w:p>
              </w:tc>
              <w:tc>
                <w:tcPr>
                  <w:tcW w:w="3749" w:type="dxa"/>
                  <w:shd w:val="clear" w:color="auto" w:fill="auto"/>
                </w:tcPr>
                <w:p w14:paraId="465107CE" w14:textId="71B7CFC8" w:rsidR="004D4E60" w:rsidRPr="00A64DC6" w:rsidRDefault="00486A5A" w:rsidP="008F0E6F">
                  <w:pPr>
                    <w:spacing w:before="120" w:after="120" w:line="259" w:lineRule="auto"/>
                    <w:jc w:val="both"/>
                    <w:rPr>
                      <w:lang w:val="fr-CD"/>
                    </w:rPr>
                  </w:pPr>
                  <w:r w:rsidRPr="00486A5A">
                    <w:rPr>
                      <w:lang w:val="fr-CD"/>
                    </w:rPr>
                    <w:t>Dans un document en annexe, indiquer les potentiels pourvoyeurs des fonds ainsi que la stratégie à mettre en place pour y accéder en vue de financer le programme structurant.</w:t>
                  </w:r>
                </w:p>
              </w:tc>
              <w:tc>
                <w:tcPr>
                  <w:tcW w:w="1274" w:type="dxa"/>
                  <w:vMerge/>
                  <w:shd w:val="clear" w:color="auto" w:fill="auto"/>
                </w:tcPr>
                <w:p w14:paraId="2DA5562F" w14:textId="77777777" w:rsidR="004D4E60" w:rsidRPr="00A64DC6" w:rsidRDefault="004D4E60" w:rsidP="008F0E6F">
                  <w:pPr>
                    <w:spacing w:before="120" w:after="120" w:line="259" w:lineRule="auto"/>
                    <w:jc w:val="both"/>
                    <w:rPr>
                      <w:lang w:val="fr-CD"/>
                    </w:rPr>
                  </w:pPr>
                </w:p>
              </w:tc>
              <w:tc>
                <w:tcPr>
                  <w:tcW w:w="1305" w:type="dxa"/>
                  <w:vMerge/>
                  <w:shd w:val="clear" w:color="auto" w:fill="auto"/>
                </w:tcPr>
                <w:p w14:paraId="3AE81594" w14:textId="77777777" w:rsidR="004D4E60" w:rsidRPr="00A64DC6" w:rsidRDefault="004D4E60" w:rsidP="008F0E6F">
                  <w:pPr>
                    <w:spacing w:before="120" w:after="120" w:line="259" w:lineRule="auto"/>
                    <w:jc w:val="center"/>
                    <w:rPr>
                      <w:lang w:val="fr-CD"/>
                    </w:rPr>
                  </w:pPr>
                </w:p>
              </w:tc>
            </w:tr>
            <w:tr w:rsidR="008E2EA0" w:rsidRPr="00A64DC6" w14:paraId="1A6E30A0" w14:textId="77777777" w:rsidTr="0072066E">
              <w:tc>
                <w:tcPr>
                  <w:tcW w:w="434" w:type="dxa"/>
                  <w:shd w:val="clear" w:color="auto" w:fill="auto"/>
                </w:tcPr>
                <w:p w14:paraId="36969345" w14:textId="0360B2C5" w:rsidR="008E2EA0" w:rsidRPr="00A64DC6" w:rsidRDefault="002A4B23" w:rsidP="008F0E6F">
                  <w:pPr>
                    <w:spacing w:before="120" w:after="120" w:line="259" w:lineRule="auto"/>
                    <w:jc w:val="both"/>
                    <w:rPr>
                      <w:lang w:val="fr-CD"/>
                    </w:rPr>
                  </w:pPr>
                  <w:r>
                    <w:rPr>
                      <w:lang w:val="fr-CD"/>
                    </w:rPr>
                    <w:lastRenderedPageBreak/>
                    <w:t>7</w:t>
                  </w:r>
                </w:p>
              </w:tc>
              <w:tc>
                <w:tcPr>
                  <w:tcW w:w="2198" w:type="dxa"/>
                  <w:shd w:val="clear" w:color="auto" w:fill="auto"/>
                </w:tcPr>
                <w:p w14:paraId="499C89F8" w14:textId="564E6643" w:rsidR="008E2EA0" w:rsidRPr="00A64DC6" w:rsidRDefault="00486A5A" w:rsidP="008F0E6F">
                  <w:pPr>
                    <w:spacing w:before="120" w:after="120" w:line="259" w:lineRule="auto"/>
                    <w:jc w:val="both"/>
                    <w:rPr>
                      <w:lang w:val="fr-CD"/>
                    </w:rPr>
                  </w:pPr>
                  <w:r w:rsidRPr="00486A5A">
                    <w:rPr>
                      <w:lang w:val="fr-CD"/>
                    </w:rPr>
                    <w:t>Une analyse détaillée rattachant les voies de sortie du programme structurant à la stratégie de réponse du PNUD au Covid-19</w:t>
                  </w:r>
                </w:p>
              </w:tc>
              <w:tc>
                <w:tcPr>
                  <w:tcW w:w="3749" w:type="dxa"/>
                  <w:shd w:val="clear" w:color="auto" w:fill="auto"/>
                </w:tcPr>
                <w:p w14:paraId="1565C903" w14:textId="31B1C9F5" w:rsidR="008E2EA0" w:rsidRPr="00A64DC6" w:rsidRDefault="00486A5A" w:rsidP="008F0E6F">
                  <w:pPr>
                    <w:spacing w:before="120" w:after="120" w:line="259" w:lineRule="auto"/>
                    <w:jc w:val="both"/>
                    <w:rPr>
                      <w:lang w:val="fr-CD"/>
                    </w:rPr>
                  </w:pPr>
                  <w:r w:rsidRPr="00486A5A">
                    <w:rPr>
                      <w:lang w:val="fr-CD"/>
                    </w:rPr>
                    <w:t>Il indiquer dans un document en annexe, la manière dont les résultats du programme structurant cadrent avec la stratégie de réponse du PNUD au Covid-19</w:t>
                  </w:r>
                </w:p>
              </w:tc>
              <w:tc>
                <w:tcPr>
                  <w:tcW w:w="1274" w:type="dxa"/>
                  <w:vMerge w:val="restart"/>
                  <w:shd w:val="clear" w:color="auto" w:fill="auto"/>
                </w:tcPr>
                <w:p w14:paraId="18292370" w14:textId="77777777" w:rsidR="00486A5A" w:rsidRDefault="00486A5A" w:rsidP="00486A5A">
                  <w:pPr>
                    <w:spacing w:before="120" w:after="120" w:line="259" w:lineRule="auto"/>
                    <w:jc w:val="both"/>
                    <w:rPr>
                      <w:lang w:val="fr-CD"/>
                    </w:rPr>
                  </w:pPr>
                </w:p>
                <w:p w14:paraId="4A06DBE9" w14:textId="77777777" w:rsidR="00486A5A" w:rsidRDefault="00486A5A" w:rsidP="00486A5A">
                  <w:pPr>
                    <w:spacing w:before="120" w:after="120" w:line="259" w:lineRule="auto"/>
                    <w:jc w:val="both"/>
                    <w:rPr>
                      <w:lang w:val="fr-CD"/>
                    </w:rPr>
                  </w:pPr>
                </w:p>
                <w:p w14:paraId="288577FE" w14:textId="77777777" w:rsidR="00486A5A" w:rsidRDefault="00486A5A" w:rsidP="00486A5A">
                  <w:pPr>
                    <w:spacing w:before="120" w:after="120" w:line="259" w:lineRule="auto"/>
                    <w:jc w:val="both"/>
                    <w:rPr>
                      <w:lang w:val="fr-CD"/>
                    </w:rPr>
                  </w:pPr>
                </w:p>
                <w:p w14:paraId="7CDD2A5D" w14:textId="042F6013" w:rsidR="008E2EA0" w:rsidRPr="004D4E60" w:rsidRDefault="00486A5A" w:rsidP="00486A5A">
                  <w:pPr>
                    <w:spacing w:before="120" w:after="120" w:line="259" w:lineRule="auto"/>
                    <w:jc w:val="both"/>
                    <w:rPr>
                      <w:lang w:val="fr-CD"/>
                    </w:rPr>
                  </w:pPr>
                  <w:r>
                    <w:rPr>
                      <w:lang w:val="fr-CD"/>
                    </w:rPr>
                    <w:t>30</w:t>
                  </w:r>
                  <w:r w:rsidR="008E2EA0" w:rsidRPr="004D4E60">
                    <w:rPr>
                      <w:vertAlign w:val="superscript"/>
                      <w:lang w:val="fr-CD"/>
                    </w:rPr>
                    <w:t>ème</w:t>
                  </w:r>
                  <w:r w:rsidR="008E2EA0">
                    <w:rPr>
                      <w:lang w:val="fr-CD"/>
                    </w:rPr>
                    <w:t xml:space="preserve"> jour</w:t>
                  </w:r>
                </w:p>
              </w:tc>
              <w:tc>
                <w:tcPr>
                  <w:tcW w:w="1305" w:type="dxa"/>
                  <w:vMerge w:val="restart"/>
                  <w:shd w:val="clear" w:color="auto" w:fill="auto"/>
                </w:tcPr>
                <w:p w14:paraId="6FE5B579" w14:textId="77777777" w:rsidR="008E2EA0" w:rsidRDefault="008E2EA0" w:rsidP="008F0E6F">
                  <w:pPr>
                    <w:spacing w:before="120" w:after="120" w:line="259" w:lineRule="auto"/>
                    <w:jc w:val="center"/>
                    <w:rPr>
                      <w:lang w:val="fr-CD"/>
                    </w:rPr>
                  </w:pPr>
                </w:p>
                <w:p w14:paraId="2D12F32A" w14:textId="77777777" w:rsidR="008E2EA0" w:rsidRDefault="008E2EA0" w:rsidP="008F0E6F">
                  <w:pPr>
                    <w:spacing w:before="120" w:after="120" w:line="259" w:lineRule="auto"/>
                    <w:jc w:val="center"/>
                    <w:rPr>
                      <w:lang w:val="fr-CD"/>
                    </w:rPr>
                  </w:pPr>
                </w:p>
                <w:p w14:paraId="76FE8A6C" w14:textId="77777777" w:rsidR="008E2EA0" w:rsidRDefault="008E2EA0" w:rsidP="008F0E6F">
                  <w:pPr>
                    <w:spacing w:before="120" w:after="120" w:line="259" w:lineRule="auto"/>
                    <w:jc w:val="center"/>
                    <w:rPr>
                      <w:lang w:val="fr-CD"/>
                    </w:rPr>
                  </w:pPr>
                </w:p>
                <w:p w14:paraId="4BAF2D6B" w14:textId="4B076D72" w:rsidR="008E2EA0" w:rsidRPr="00A64DC6" w:rsidRDefault="008E2EA0" w:rsidP="008F0E6F">
                  <w:pPr>
                    <w:spacing w:before="120" w:after="120" w:line="259" w:lineRule="auto"/>
                    <w:jc w:val="center"/>
                    <w:rPr>
                      <w:lang w:val="fr-CD"/>
                    </w:rPr>
                  </w:pPr>
                  <w:r>
                    <w:rPr>
                      <w:lang w:val="fr-CD"/>
                    </w:rPr>
                    <w:t>15 %</w:t>
                  </w:r>
                </w:p>
              </w:tc>
            </w:tr>
            <w:tr w:rsidR="008E2EA0" w:rsidRPr="00EC386A" w14:paraId="2303767B" w14:textId="77777777" w:rsidTr="0072066E">
              <w:tc>
                <w:tcPr>
                  <w:tcW w:w="434" w:type="dxa"/>
                  <w:shd w:val="clear" w:color="auto" w:fill="auto"/>
                </w:tcPr>
                <w:p w14:paraId="79DF69A7" w14:textId="2FB6D482" w:rsidR="008E2EA0" w:rsidRPr="00A64DC6" w:rsidRDefault="002A4B23" w:rsidP="008F0E6F">
                  <w:pPr>
                    <w:spacing w:before="120" w:after="120" w:line="259" w:lineRule="auto"/>
                    <w:jc w:val="both"/>
                    <w:rPr>
                      <w:lang w:val="fr-CD"/>
                    </w:rPr>
                  </w:pPr>
                  <w:r>
                    <w:rPr>
                      <w:lang w:val="fr-CD"/>
                    </w:rPr>
                    <w:t>8</w:t>
                  </w:r>
                </w:p>
              </w:tc>
              <w:tc>
                <w:tcPr>
                  <w:tcW w:w="2198" w:type="dxa"/>
                  <w:shd w:val="clear" w:color="auto" w:fill="auto"/>
                </w:tcPr>
                <w:p w14:paraId="0AE531DE" w14:textId="200B18C7" w:rsidR="008E2EA0" w:rsidRPr="00557E0A" w:rsidRDefault="0072066E" w:rsidP="008F0E6F">
                  <w:pPr>
                    <w:spacing w:before="120" w:after="120" w:line="259" w:lineRule="auto"/>
                    <w:jc w:val="both"/>
                    <w:rPr>
                      <w:lang w:val="fr-CD"/>
                    </w:rPr>
                  </w:pPr>
                  <w:r w:rsidRPr="00557E0A">
                    <w:rPr>
                      <w:lang w:val="fr-CD"/>
                    </w:rPr>
                    <w:t xml:space="preserve">Atelier de </w:t>
                  </w:r>
                  <w:r w:rsidR="004B45B4" w:rsidRPr="00557E0A">
                    <w:rPr>
                      <w:lang w:val="fr-CD"/>
                    </w:rPr>
                    <w:t>validation</w:t>
                  </w:r>
                </w:p>
              </w:tc>
              <w:tc>
                <w:tcPr>
                  <w:tcW w:w="3749" w:type="dxa"/>
                  <w:shd w:val="clear" w:color="auto" w:fill="auto"/>
                </w:tcPr>
                <w:p w14:paraId="15B6D16A" w14:textId="3D8BD52B" w:rsidR="008E2EA0" w:rsidRPr="00557E0A" w:rsidRDefault="0072066E" w:rsidP="008F0E6F">
                  <w:pPr>
                    <w:spacing w:before="120" w:after="120" w:line="259" w:lineRule="auto"/>
                    <w:jc w:val="both"/>
                    <w:rPr>
                      <w:lang w:val="fr-CD"/>
                    </w:rPr>
                  </w:pPr>
                  <w:r w:rsidRPr="00557E0A">
                    <w:rPr>
                      <w:lang w:val="fr-CD"/>
                    </w:rPr>
                    <w:t>A organiser conjointement avec le consultant en mine artisanale</w:t>
                  </w:r>
                </w:p>
              </w:tc>
              <w:tc>
                <w:tcPr>
                  <w:tcW w:w="1274" w:type="dxa"/>
                  <w:vMerge/>
                  <w:shd w:val="clear" w:color="auto" w:fill="auto"/>
                </w:tcPr>
                <w:p w14:paraId="218C9917" w14:textId="77777777" w:rsidR="008E2EA0" w:rsidRPr="00A64DC6" w:rsidRDefault="008E2EA0" w:rsidP="008F0E6F">
                  <w:pPr>
                    <w:spacing w:before="120" w:after="120" w:line="259" w:lineRule="auto"/>
                    <w:jc w:val="both"/>
                    <w:rPr>
                      <w:lang w:val="fr-CD"/>
                    </w:rPr>
                  </w:pPr>
                </w:p>
              </w:tc>
              <w:tc>
                <w:tcPr>
                  <w:tcW w:w="1305" w:type="dxa"/>
                  <w:vMerge/>
                  <w:shd w:val="clear" w:color="auto" w:fill="auto"/>
                </w:tcPr>
                <w:p w14:paraId="29D9C912" w14:textId="77777777" w:rsidR="008E2EA0" w:rsidRPr="00A64DC6" w:rsidRDefault="008E2EA0" w:rsidP="008F0E6F">
                  <w:pPr>
                    <w:spacing w:before="120" w:after="120" w:line="259" w:lineRule="auto"/>
                    <w:jc w:val="center"/>
                    <w:rPr>
                      <w:lang w:val="fr-CD"/>
                    </w:rPr>
                  </w:pPr>
                </w:p>
              </w:tc>
            </w:tr>
          </w:tbl>
          <w:p w14:paraId="0FF7819C" w14:textId="77777777" w:rsidR="008E2EA0" w:rsidRDefault="008E2EA0" w:rsidP="008E2EA0">
            <w:pPr>
              <w:jc w:val="both"/>
              <w:rPr>
                <w:rFonts w:cstheme="minorHAnsi"/>
                <w:lang w:val="fr-FR"/>
              </w:rPr>
            </w:pPr>
          </w:p>
          <w:p w14:paraId="21ABCAD3" w14:textId="0B7483F8" w:rsidR="008E2EA0" w:rsidRPr="008E2EA0" w:rsidRDefault="008E2EA0" w:rsidP="008E2EA0">
            <w:pPr>
              <w:jc w:val="both"/>
              <w:rPr>
                <w:rFonts w:cstheme="minorHAnsi"/>
                <w:lang w:val="fr-FR"/>
              </w:rPr>
            </w:pPr>
            <w:r w:rsidRPr="008E2EA0">
              <w:rPr>
                <w:rFonts w:cstheme="minorHAnsi"/>
                <w:lang w:val="fr-FR"/>
              </w:rPr>
              <w:t xml:space="preserve">Les questions transversales en rapport avec le Genre mais également du changement climatique et de questions de droit de l’homme, doivent être clairement abordés dans l’approche de mise en œuvre.   Le volet relatif à la coopération sud-sud et/ou triangulaire doit également être abordé. </w:t>
            </w:r>
          </w:p>
          <w:p w14:paraId="028AE3D9" w14:textId="5690C8CF" w:rsidR="00C2339D" w:rsidRPr="007260D6" w:rsidRDefault="008E2EA0" w:rsidP="008E2EA0">
            <w:pPr>
              <w:jc w:val="both"/>
              <w:rPr>
                <w:rFonts w:cstheme="minorHAnsi"/>
                <w:lang w:val="fr-FR"/>
              </w:rPr>
            </w:pPr>
            <w:r w:rsidRPr="008E2EA0">
              <w:rPr>
                <w:rFonts w:cstheme="minorHAnsi"/>
                <w:lang w:val="fr-FR"/>
              </w:rPr>
              <w:t>Le choix des zones d’intervention doit tenir compte de la faisabilité et de la conduite du Programme dans les zones concernées.</w:t>
            </w:r>
          </w:p>
        </w:tc>
      </w:tr>
    </w:tbl>
    <w:p w14:paraId="16269B0A" w14:textId="0A408967" w:rsidR="00CF1020" w:rsidRDefault="00CF1020" w:rsidP="002C0148">
      <w:pPr>
        <w:jc w:val="both"/>
        <w:rPr>
          <w:rFonts w:cstheme="minorHAnsi"/>
          <w:b/>
          <w:u w:val="single"/>
          <w:lang w:val="fr-FR"/>
        </w:rPr>
      </w:pPr>
    </w:p>
    <w:p w14:paraId="185C6B01" w14:textId="08A3409F" w:rsidR="00916940" w:rsidRPr="003A7D2F" w:rsidRDefault="002C0148" w:rsidP="00916940">
      <w:pPr>
        <w:jc w:val="both"/>
        <w:rPr>
          <w:rFonts w:cstheme="minorHAnsi"/>
          <w:b/>
          <w:u w:val="single"/>
          <w:lang w:val="fr-FR"/>
        </w:rPr>
      </w:pPr>
      <w:r>
        <w:rPr>
          <w:rFonts w:cstheme="minorHAnsi"/>
          <w:b/>
          <w:u w:val="single"/>
          <w:lang w:val="fr-FR"/>
        </w:rPr>
        <w:t>3</w:t>
      </w:r>
      <w:r w:rsidR="00916940" w:rsidRPr="003A7D2F">
        <w:rPr>
          <w:rFonts w:cstheme="minorHAnsi"/>
          <w:b/>
          <w:u w:val="single"/>
          <w:lang w:val="fr-FR"/>
        </w:rPr>
        <w:t>. Durée de la mission </w:t>
      </w:r>
    </w:p>
    <w:tbl>
      <w:tblPr>
        <w:tblStyle w:val="Grilledutableau"/>
        <w:tblW w:w="9360" w:type="dxa"/>
        <w:tblLook w:val="04A0" w:firstRow="1" w:lastRow="0" w:firstColumn="1" w:lastColumn="0" w:noHBand="0" w:noVBand="1"/>
      </w:tblPr>
      <w:tblGrid>
        <w:gridCol w:w="9360"/>
      </w:tblGrid>
      <w:tr w:rsidR="00916940" w:rsidRPr="00EC386A" w14:paraId="6AEC4A59" w14:textId="77777777" w:rsidTr="00BD6056">
        <w:tc>
          <w:tcPr>
            <w:tcW w:w="9360" w:type="dxa"/>
          </w:tcPr>
          <w:p w14:paraId="2BC00A67" w14:textId="66D1543F" w:rsidR="004124E0" w:rsidRDefault="004124E0" w:rsidP="00BD6056">
            <w:pPr>
              <w:jc w:val="both"/>
              <w:rPr>
                <w:rFonts w:eastAsia="Calibri" w:cstheme="minorHAnsi"/>
                <w:lang w:val="fr-FR"/>
              </w:rPr>
            </w:pPr>
            <w:bookmarkStart w:id="9" w:name="_Hlk39057882"/>
            <w:r w:rsidRPr="004124E0">
              <w:rPr>
                <w:rFonts w:eastAsia="Calibri" w:cstheme="minorHAnsi"/>
                <w:lang w:val="fr-FR"/>
              </w:rPr>
              <w:t xml:space="preserve">Le nombre total de jours de travail dans le cadre de ce contrat alloué au consultant </w:t>
            </w:r>
            <w:r w:rsidR="000B57AC">
              <w:rPr>
                <w:rFonts w:eastAsia="Calibri" w:cstheme="minorHAnsi"/>
                <w:lang w:val="fr-FR"/>
              </w:rPr>
              <w:t xml:space="preserve">senior </w:t>
            </w:r>
            <w:proofErr w:type="spellStart"/>
            <w:r w:rsidR="000B57AC">
              <w:rPr>
                <w:rFonts w:eastAsia="Calibri" w:cstheme="minorHAnsi"/>
                <w:lang w:val="fr-FR"/>
              </w:rPr>
              <w:t>spécialist</w:t>
            </w:r>
            <w:proofErr w:type="spellEnd"/>
            <w:r w:rsidRPr="004124E0">
              <w:rPr>
                <w:rFonts w:eastAsia="Calibri" w:cstheme="minorHAnsi"/>
                <w:lang w:val="fr-FR"/>
              </w:rPr>
              <w:t xml:space="preserve"> sera </w:t>
            </w:r>
            <w:r w:rsidR="00BD46D7" w:rsidRPr="004124E0">
              <w:rPr>
                <w:rFonts w:eastAsia="Calibri" w:cstheme="minorHAnsi"/>
                <w:lang w:val="fr-FR"/>
              </w:rPr>
              <w:t xml:space="preserve">de </w:t>
            </w:r>
            <w:r w:rsidR="008F59EC">
              <w:rPr>
                <w:rFonts w:eastAsia="Calibri" w:cstheme="minorHAnsi"/>
                <w:lang w:val="fr-FR"/>
              </w:rPr>
              <w:t>3</w:t>
            </w:r>
            <w:r w:rsidR="008E2EA0">
              <w:rPr>
                <w:rFonts w:eastAsia="Calibri" w:cstheme="minorHAnsi"/>
                <w:lang w:val="fr-FR"/>
              </w:rPr>
              <w:t>0</w:t>
            </w:r>
            <w:r w:rsidR="008F0E6F" w:rsidRPr="008F0E6F">
              <w:rPr>
                <w:rFonts w:eastAsia="Calibri" w:cstheme="minorHAnsi"/>
                <w:lang w:val="fr-FR"/>
              </w:rPr>
              <w:t xml:space="preserve"> jours ouvrables repartis sur </w:t>
            </w:r>
            <w:r w:rsidR="008E2EA0">
              <w:rPr>
                <w:rFonts w:eastAsia="Calibri" w:cstheme="minorHAnsi"/>
                <w:lang w:val="fr-FR"/>
              </w:rPr>
              <w:t>1</w:t>
            </w:r>
            <w:r w:rsidR="008F59EC">
              <w:rPr>
                <w:rFonts w:eastAsia="Calibri" w:cstheme="minorHAnsi"/>
                <w:lang w:val="fr-FR"/>
              </w:rPr>
              <w:t>.5</w:t>
            </w:r>
            <w:r w:rsidR="008F0E6F" w:rsidRPr="008F0E6F">
              <w:rPr>
                <w:rFonts w:eastAsia="Calibri" w:cstheme="minorHAnsi"/>
                <w:lang w:val="fr-FR"/>
              </w:rPr>
              <w:t xml:space="preserve"> mois</w:t>
            </w:r>
            <w:r w:rsidR="008F0E6F">
              <w:rPr>
                <w:rFonts w:eastAsia="Calibri" w:cstheme="minorHAnsi"/>
                <w:lang w:val="fr-FR"/>
              </w:rPr>
              <w:t>.</w:t>
            </w:r>
          </w:p>
          <w:p w14:paraId="0B23792C" w14:textId="015BE11A" w:rsidR="00916940" w:rsidRPr="007260D6" w:rsidRDefault="00916940" w:rsidP="00BD6056">
            <w:pPr>
              <w:jc w:val="both"/>
              <w:rPr>
                <w:rFonts w:eastAsia="Calibri" w:cstheme="minorHAnsi"/>
                <w:lang w:val="fr-FR"/>
              </w:rPr>
            </w:pPr>
          </w:p>
        </w:tc>
      </w:tr>
      <w:bookmarkEnd w:id="9"/>
    </w:tbl>
    <w:p w14:paraId="4246180B" w14:textId="77777777" w:rsidR="008E2EA0" w:rsidRPr="009D41A5" w:rsidRDefault="008E2EA0" w:rsidP="00A24134">
      <w:pPr>
        <w:rPr>
          <w:rFonts w:cstheme="minorHAnsi"/>
          <w:b/>
          <w:lang w:val="fr-CD"/>
        </w:rPr>
      </w:pPr>
    </w:p>
    <w:p w14:paraId="5BC7C869" w14:textId="6F513DAB" w:rsidR="002223E0" w:rsidRPr="003A7D2F" w:rsidRDefault="002C0148" w:rsidP="00A24134">
      <w:pPr>
        <w:rPr>
          <w:rFonts w:cstheme="minorHAnsi"/>
          <w:b/>
          <w:u w:val="single"/>
          <w:lang w:val="fr-FR"/>
        </w:rPr>
      </w:pPr>
      <w:r>
        <w:rPr>
          <w:rFonts w:cstheme="minorHAnsi"/>
          <w:b/>
          <w:u w:val="single"/>
          <w:lang w:val="fr-FR"/>
        </w:rPr>
        <w:t>4</w:t>
      </w:r>
      <w:r w:rsidR="0008283A" w:rsidRPr="003A7D2F">
        <w:rPr>
          <w:rFonts w:cstheme="minorHAnsi"/>
          <w:b/>
          <w:u w:val="single"/>
          <w:lang w:val="fr-FR"/>
        </w:rPr>
        <w:t xml:space="preserve">. </w:t>
      </w:r>
      <w:r w:rsidR="00BF6263" w:rsidRPr="003A7D2F">
        <w:rPr>
          <w:rFonts w:cstheme="minorHAnsi"/>
          <w:b/>
          <w:u w:val="single"/>
          <w:lang w:val="fr-FR"/>
        </w:rPr>
        <w:t xml:space="preserve"> </w:t>
      </w:r>
      <w:r w:rsidR="00550CF0" w:rsidRPr="003A7D2F">
        <w:rPr>
          <w:rFonts w:cstheme="minorHAnsi"/>
          <w:b/>
          <w:u w:val="single"/>
          <w:lang w:val="fr-FR"/>
        </w:rPr>
        <w:t>Qualifications</w:t>
      </w:r>
      <w:r w:rsidR="008E4FFB">
        <w:rPr>
          <w:rFonts w:cstheme="minorHAnsi"/>
          <w:b/>
          <w:u w:val="single"/>
          <w:lang w:val="fr-FR"/>
        </w:rPr>
        <w:t>, compétences</w:t>
      </w:r>
      <w:r w:rsidR="00550CF0" w:rsidRPr="003A7D2F">
        <w:rPr>
          <w:rFonts w:cstheme="minorHAnsi"/>
          <w:b/>
          <w:u w:val="single"/>
          <w:lang w:val="fr-FR"/>
        </w:rPr>
        <w:t xml:space="preserve"> et Expérience requises</w:t>
      </w:r>
    </w:p>
    <w:tbl>
      <w:tblPr>
        <w:tblStyle w:val="Grilledutableau"/>
        <w:tblW w:w="0" w:type="auto"/>
        <w:tblLook w:val="04A0" w:firstRow="1" w:lastRow="0" w:firstColumn="1" w:lastColumn="0" w:noHBand="0" w:noVBand="1"/>
      </w:tblPr>
      <w:tblGrid>
        <w:gridCol w:w="9350"/>
      </w:tblGrid>
      <w:tr w:rsidR="00443E94" w:rsidRPr="00EC386A" w14:paraId="0C894F8F" w14:textId="77777777" w:rsidTr="00443E94">
        <w:tc>
          <w:tcPr>
            <w:tcW w:w="9576" w:type="dxa"/>
          </w:tcPr>
          <w:p w14:paraId="3E6A1EAA" w14:textId="00DA59B2" w:rsidR="00A04203" w:rsidRPr="007260D6" w:rsidRDefault="009F3333" w:rsidP="00A04203">
            <w:pPr>
              <w:spacing w:before="120" w:after="120" w:line="288" w:lineRule="auto"/>
              <w:jc w:val="both"/>
              <w:rPr>
                <w:rFonts w:cstheme="minorHAnsi"/>
                <w:u w:val="single"/>
                <w:lang w:val="fr-FR"/>
              </w:rPr>
            </w:pPr>
            <w:r>
              <w:rPr>
                <w:rFonts w:cstheme="minorHAnsi"/>
                <w:u w:val="single"/>
                <w:lang w:val="fr-FR"/>
              </w:rPr>
              <w:t>I.</w:t>
            </w:r>
            <w:r w:rsidRPr="007260D6">
              <w:rPr>
                <w:rFonts w:cstheme="minorHAnsi"/>
                <w:u w:val="single"/>
                <w:lang w:val="fr-FR"/>
              </w:rPr>
              <w:t xml:space="preserve"> Qualifications</w:t>
            </w:r>
            <w:r w:rsidR="00A04203" w:rsidRPr="007260D6">
              <w:rPr>
                <w:rFonts w:cstheme="minorHAnsi"/>
                <w:u w:val="single"/>
                <w:lang w:val="fr-FR"/>
              </w:rPr>
              <w:t xml:space="preserve"> académiques :</w:t>
            </w:r>
          </w:p>
          <w:p w14:paraId="57B668F8" w14:textId="3F692C89" w:rsidR="00EC2E68" w:rsidRPr="00E54A8B" w:rsidRDefault="008F59EC" w:rsidP="00E54A8B">
            <w:pPr>
              <w:tabs>
                <w:tab w:val="left" w:pos="1276"/>
              </w:tabs>
              <w:jc w:val="both"/>
              <w:rPr>
                <w:rFonts w:eastAsia="Times New Roman" w:cstheme="minorHAnsi"/>
                <w:lang w:val="fr-FR" w:eastAsia="fr-FR"/>
              </w:rPr>
            </w:pPr>
            <w:r w:rsidRPr="008F59EC">
              <w:rPr>
                <w:rFonts w:eastAsia="Times New Roman" w:cstheme="minorHAnsi"/>
                <w:lang w:val="fr-FR" w:eastAsia="fr-FR"/>
              </w:rPr>
              <w:t xml:space="preserve">Être détenteur d’au moins un diplôme de Licence (Bac+5) Ingénieur en Agronomie, Agrobusiness ou en Sciences économiques </w:t>
            </w:r>
            <w:r w:rsidR="004421AF" w:rsidRPr="004421AF">
              <w:rPr>
                <w:rFonts w:eastAsia="Times New Roman" w:cstheme="minorHAnsi"/>
                <w:lang w:val="fr-FR" w:eastAsia="fr-FR"/>
              </w:rPr>
              <w:t>ou tout autre domaine similaire</w:t>
            </w:r>
            <w:r w:rsidR="009F3333" w:rsidRPr="009F3333">
              <w:rPr>
                <w:rFonts w:eastAsia="Times New Roman" w:cstheme="minorHAnsi"/>
                <w:lang w:val="fr-FR" w:eastAsia="fr-FR"/>
              </w:rPr>
              <w:t>.</w:t>
            </w:r>
            <w:r w:rsidR="009F3333">
              <w:rPr>
                <w:rFonts w:eastAsia="Times New Roman" w:cstheme="minorHAnsi"/>
                <w:lang w:val="fr-FR" w:eastAsia="fr-FR"/>
              </w:rPr>
              <w:t xml:space="preserve"> </w:t>
            </w:r>
          </w:p>
          <w:p w14:paraId="60A6391C" w14:textId="166EBBA2" w:rsidR="00A04203" w:rsidRPr="007260D6" w:rsidRDefault="00A04203" w:rsidP="00A04203">
            <w:pPr>
              <w:spacing w:before="120" w:after="120" w:line="288" w:lineRule="auto"/>
              <w:jc w:val="both"/>
              <w:rPr>
                <w:rFonts w:cstheme="minorHAnsi"/>
                <w:u w:val="single"/>
                <w:lang w:val="fr-FR"/>
              </w:rPr>
            </w:pPr>
            <w:r w:rsidRPr="007260D6">
              <w:rPr>
                <w:rFonts w:cstheme="minorHAnsi"/>
                <w:u w:val="single"/>
                <w:lang w:val="fr-FR"/>
              </w:rPr>
              <w:t>I</w:t>
            </w:r>
            <w:r w:rsidR="008E2EA0">
              <w:rPr>
                <w:rFonts w:cstheme="minorHAnsi"/>
                <w:u w:val="single"/>
                <w:lang w:val="fr-FR"/>
              </w:rPr>
              <w:t>I</w:t>
            </w:r>
            <w:r w:rsidRPr="007260D6">
              <w:rPr>
                <w:rFonts w:cstheme="minorHAnsi"/>
                <w:u w:val="single"/>
                <w:lang w:val="fr-FR"/>
              </w:rPr>
              <w:t>. Expérience :</w:t>
            </w:r>
          </w:p>
          <w:p w14:paraId="5CDC4D4D" w14:textId="6801C780" w:rsidR="008F59EC" w:rsidRDefault="008F59EC" w:rsidP="004421AF">
            <w:pPr>
              <w:pStyle w:val="Paragraphedeliste"/>
              <w:numPr>
                <w:ilvl w:val="0"/>
                <w:numId w:val="12"/>
              </w:numPr>
              <w:tabs>
                <w:tab w:val="left" w:pos="1276"/>
              </w:tabs>
              <w:jc w:val="both"/>
              <w:rPr>
                <w:rFonts w:cstheme="minorHAnsi"/>
                <w:lang w:val="fr-FR"/>
              </w:rPr>
            </w:pPr>
            <w:r w:rsidRPr="008F59EC">
              <w:rPr>
                <w:rFonts w:cstheme="minorHAnsi"/>
                <w:lang w:val="fr-FR"/>
              </w:rPr>
              <w:t>Une expérience dans le domaine de l’analyse des chaines de valeurs et l’agrobusiness d’au moins 10 ans</w:t>
            </w:r>
            <w:r>
              <w:rPr>
                <w:rFonts w:cstheme="minorHAnsi"/>
                <w:lang w:val="fr-FR"/>
              </w:rPr>
              <w:t> ;</w:t>
            </w:r>
          </w:p>
          <w:p w14:paraId="40BA8F6F" w14:textId="1DA36F6A" w:rsidR="008F59EC" w:rsidRDefault="008F59EC" w:rsidP="004421AF">
            <w:pPr>
              <w:pStyle w:val="Paragraphedeliste"/>
              <w:numPr>
                <w:ilvl w:val="0"/>
                <w:numId w:val="12"/>
              </w:numPr>
              <w:tabs>
                <w:tab w:val="left" w:pos="1276"/>
              </w:tabs>
              <w:jc w:val="both"/>
              <w:rPr>
                <w:rFonts w:cstheme="minorHAnsi"/>
                <w:lang w:val="fr-FR"/>
              </w:rPr>
            </w:pPr>
            <w:r>
              <w:rPr>
                <w:rFonts w:cstheme="minorHAnsi"/>
                <w:lang w:val="fr-FR"/>
              </w:rPr>
              <w:t>U</w:t>
            </w:r>
            <w:r w:rsidRPr="008F59EC">
              <w:rPr>
                <w:rFonts w:cstheme="minorHAnsi"/>
                <w:lang w:val="fr-FR"/>
              </w:rPr>
              <w:t>ne expérience dans la coordination des programmes d’au moins 7 ans</w:t>
            </w:r>
            <w:r>
              <w:rPr>
                <w:rFonts w:cstheme="minorHAnsi"/>
                <w:lang w:val="fr-FR"/>
              </w:rPr>
              <w:t> ;</w:t>
            </w:r>
          </w:p>
          <w:p w14:paraId="33134099" w14:textId="71B9E14A" w:rsidR="008F59EC" w:rsidRPr="008F59EC" w:rsidRDefault="008F59EC" w:rsidP="008F59EC">
            <w:pPr>
              <w:pStyle w:val="Paragraphedeliste"/>
              <w:numPr>
                <w:ilvl w:val="0"/>
                <w:numId w:val="12"/>
              </w:numPr>
              <w:rPr>
                <w:rFonts w:cstheme="minorHAnsi"/>
                <w:lang w:val="fr-FR"/>
              </w:rPr>
            </w:pPr>
            <w:r w:rsidRPr="008F59EC">
              <w:rPr>
                <w:rFonts w:cstheme="minorHAnsi"/>
                <w:lang w:val="fr-FR"/>
              </w:rPr>
              <w:t>Disposer de l’expérience et de la connaissance des thèmes clés ;</w:t>
            </w:r>
          </w:p>
          <w:p w14:paraId="10713F10" w14:textId="770F3A5E" w:rsidR="004421AF" w:rsidRPr="008F59EC" w:rsidRDefault="008F59EC" w:rsidP="008F59EC">
            <w:pPr>
              <w:pStyle w:val="Paragraphedeliste"/>
              <w:numPr>
                <w:ilvl w:val="0"/>
                <w:numId w:val="12"/>
              </w:numPr>
              <w:rPr>
                <w:rFonts w:cstheme="minorHAnsi"/>
                <w:lang w:val="fr-FR"/>
              </w:rPr>
            </w:pPr>
            <w:r w:rsidRPr="008F59EC">
              <w:rPr>
                <w:rFonts w:cstheme="minorHAnsi"/>
                <w:lang w:val="fr-FR"/>
              </w:rPr>
              <w:lastRenderedPageBreak/>
              <w:t>Une meilleure connaissance des différentes zones agricoles de la RDC ainsi que les potentiels et défis de chaque zone</w:t>
            </w:r>
            <w:r>
              <w:rPr>
                <w:rFonts w:cstheme="minorHAnsi"/>
                <w:lang w:val="fr-FR"/>
              </w:rPr>
              <w:t>.</w:t>
            </w:r>
          </w:p>
          <w:p w14:paraId="5CFA9ADF" w14:textId="310B27D3" w:rsidR="00A04203" w:rsidRPr="007260D6" w:rsidRDefault="00374F58" w:rsidP="00EC2E68">
            <w:pPr>
              <w:spacing w:before="120" w:after="120" w:line="288" w:lineRule="auto"/>
              <w:jc w:val="both"/>
              <w:rPr>
                <w:rFonts w:cstheme="minorHAnsi"/>
                <w:u w:val="single"/>
                <w:lang w:val="fr-FR"/>
              </w:rPr>
            </w:pPr>
            <w:r>
              <w:rPr>
                <w:rFonts w:cstheme="minorHAnsi"/>
                <w:u w:val="single"/>
                <w:lang w:val="fr-FR"/>
              </w:rPr>
              <w:t>V</w:t>
            </w:r>
            <w:r w:rsidR="00A04203" w:rsidRPr="007260D6">
              <w:rPr>
                <w:rFonts w:cstheme="minorHAnsi"/>
                <w:u w:val="single"/>
                <w:lang w:val="fr-FR"/>
              </w:rPr>
              <w:t>. Langues</w:t>
            </w:r>
          </w:p>
          <w:p w14:paraId="1934756B" w14:textId="2671777A" w:rsidR="00550CF0" w:rsidRPr="00C2339D" w:rsidRDefault="00C2339D" w:rsidP="00C2339D">
            <w:pPr>
              <w:tabs>
                <w:tab w:val="left" w:pos="1276"/>
              </w:tabs>
              <w:jc w:val="both"/>
              <w:rPr>
                <w:rFonts w:eastAsia="Times New Roman" w:cstheme="minorHAnsi"/>
                <w:lang w:val="fr-FR" w:eastAsia="fr-FR"/>
              </w:rPr>
            </w:pPr>
            <w:r w:rsidRPr="00C2339D">
              <w:rPr>
                <w:rFonts w:eastAsia="Times New Roman" w:cstheme="minorHAnsi"/>
                <w:lang w:val="fr-FR" w:eastAsia="fr-FR"/>
              </w:rPr>
              <w:t>Une parfaite maîtrise du français est cruciale, une bonne maîtrise de l’anglais sera valorisée</w:t>
            </w:r>
            <w:r w:rsidR="00676F6B" w:rsidRPr="00676F6B">
              <w:rPr>
                <w:rFonts w:eastAsia="Times New Roman" w:cstheme="minorHAnsi"/>
                <w:lang w:val="fr-FR" w:eastAsia="fr-FR"/>
              </w:rPr>
              <w:t xml:space="preserve">. </w:t>
            </w:r>
          </w:p>
        </w:tc>
      </w:tr>
    </w:tbl>
    <w:p w14:paraId="0E5AA207" w14:textId="77777777" w:rsidR="00916940" w:rsidRPr="007260D6" w:rsidRDefault="00916940" w:rsidP="00A24134">
      <w:pPr>
        <w:rPr>
          <w:rFonts w:cstheme="minorHAnsi"/>
          <w:b/>
          <w:lang w:val="fr-FR"/>
        </w:rPr>
      </w:pPr>
    </w:p>
    <w:p w14:paraId="46069EAA" w14:textId="1762CA86" w:rsidR="002223E0" w:rsidRPr="003A7D2F" w:rsidRDefault="002C0148" w:rsidP="00A24134">
      <w:pPr>
        <w:rPr>
          <w:rFonts w:cstheme="minorHAnsi"/>
          <w:b/>
          <w:u w:val="single"/>
          <w:lang w:val="fr-FR"/>
        </w:rPr>
      </w:pPr>
      <w:r>
        <w:rPr>
          <w:rFonts w:cstheme="minorHAnsi"/>
          <w:b/>
          <w:u w:val="single"/>
        </w:rPr>
        <w:t>5</w:t>
      </w:r>
      <w:r w:rsidR="00D20044" w:rsidRPr="003A7D2F">
        <w:rPr>
          <w:rFonts w:cstheme="minorHAnsi"/>
          <w:b/>
          <w:u w:val="single"/>
        </w:rPr>
        <w:t>.</w:t>
      </w:r>
      <w:r w:rsidR="006C491D" w:rsidRPr="003A7D2F">
        <w:rPr>
          <w:rFonts w:cstheme="minorHAnsi"/>
          <w:b/>
          <w:u w:val="single"/>
        </w:rPr>
        <w:t xml:space="preserve"> </w:t>
      </w:r>
      <w:r w:rsidR="000440EC" w:rsidRPr="003A7D2F">
        <w:rPr>
          <w:rFonts w:eastAsia="Calibri" w:cstheme="minorHAnsi"/>
          <w:b/>
          <w:u w:val="single"/>
          <w:lang w:val="fr-FR"/>
        </w:rPr>
        <w:t>Documents constitutifs de l’offre</w:t>
      </w:r>
      <w:r w:rsidR="000440EC" w:rsidRPr="003A7D2F" w:rsidDel="000440EC">
        <w:rPr>
          <w:rFonts w:cstheme="minorHAnsi"/>
          <w:b/>
          <w:u w:val="single"/>
          <w:lang w:val="fr-FR"/>
        </w:rPr>
        <w:t xml:space="preserve"> </w:t>
      </w:r>
    </w:p>
    <w:tbl>
      <w:tblPr>
        <w:tblStyle w:val="Grilledutableau"/>
        <w:tblW w:w="0" w:type="auto"/>
        <w:tblLook w:val="04A0" w:firstRow="1" w:lastRow="0" w:firstColumn="1" w:lastColumn="0" w:noHBand="0" w:noVBand="1"/>
      </w:tblPr>
      <w:tblGrid>
        <w:gridCol w:w="9350"/>
      </w:tblGrid>
      <w:tr w:rsidR="00443E94" w:rsidRPr="00EC386A" w14:paraId="601EE1B1" w14:textId="77777777" w:rsidTr="007E3539">
        <w:trPr>
          <w:trHeight w:val="755"/>
        </w:trPr>
        <w:tc>
          <w:tcPr>
            <w:tcW w:w="9576" w:type="dxa"/>
          </w:tcPr>
          <w:p w14:paraId="0701BB79" w14:textId="77777777" w:rsidR="00DB13D3" w:rsidRPr="007260D6" w:rsidRDefault="00845D5B" w:rsidP="0065710B">
            <w:pPr>
              <w:rPr>
                <w:rFonts w:cstheme="minorHAnsi"/>
                <w:lang w:val="fr-FR"/>
              </w:rPr>
            </w:pPr>
            <w:r w:rsidRPr="007260D6">
              <w:rPr>
                <w:rFonts w:cstheme="minorHAnsi"/>
                <w:lang w:val="fr-FR"/>
              </w:rPr>
              <w:t>Les consultants intéressés doivent inclure dans leurs offres les documents/informations ci-dessous :</w:t>
            </w:r>
          </w:p>
          <w:p w14:paraId="6881D105" w14:textId="77777777" w:rsidR="00845D5B" w:rsidRPr="007260D6" w:rsidRDefault="00845D5B" w:rsidP="0065710B">
            <w:pPr>
              <w:rPr>
                <w:rFonts w:cstheme="minorHAnsi"/>
                <w:lang w:val="fr-FR"/>
              </w:rPr>
            </w:pPr>
            <w:r w:rsidRPr="007260D6">
              <w:rPr>
                <w:rFonts w:cstheme="minorHAnsi"/>
                <w:lang w:val="fr-FR"/>
              </w:rPr>
              <w:t xml:space="preserve"> </w:t>
            </w:r>
          </w:p>
          <w:p w14:paraId="573C9245" w14:textId="77777777" w:rsidR="0065710B" w:rsidRPr="007260D6" w:rsidRDefault="000B254C" w:rsidP="0065710B">
            <w:pPr>
              <w:rPr>
                <w:rFonts w:cstheme="minorHAnsi"/>
                <w:b/>
                <w:lang w:val="fr-FR"/>
              </w:rPr>
            </w:pPr>
            <w:r w:rsidRPr="007260D6">
              <w:rPr>
                <w:rFonts w:cstheme="minorHAnsi"/>
                <w:b/>
                <w:lang w:val="fr-FR"/>
              </w:rPr>
              <w:t xml:space="preserve">1. Proposition </w:t>
            </w:r>
            <w:r w:rsidR="00845D5B" w:rsidRPr="007260D6">
              <w:rPr>
                <w:rFonts w:cstheme="minorHAnsi"/>
                <w:b/>
                <w:lang w:val="fr-FR"/>
              </w:rPr>
              <w:t>technique :</w:t>
            </w:r>
          </w:p>
          <w:p w14:paraId="49C438A8" w14:textId="77777777" w:rsidR="00200AA0" w:rsidRPr="007260D6" w:rsidRDefault="00200AA0" w:rsidP="0065710B">
            <w:pPr>
              <w:rPr>
                <w:rFonts w:cstheme="minorHAnsi"/>
                <w:lang w:val="fr-FR"/>
              </w:rPr>
            </w:pPr>
          </w:p>
          <w:p w14:paraId="07BE6BD6" w14:textId="77777777" w:rsidR="00550CF0" w:rsidRPr="007260D6" w:rsidRDefault="00550CF0" w:rsidP="00550CF0">
            <w:pPr>
              <w:pStyle w:val="Paragraphedeliste"/>
              <w:numPr>
                <w:ilvl w:val="0"/>
                <w:numId w:val="9"/>
              </w:numPr>
              <w:rPr>
                <w:rFonts w:cstheme="minorHAnsi"/>
                <w:lang w:val="fr-FR"/>
              </w:rPr>
            </w:pPr>
            <w:r w:rsidRPr="007260D6">
              <w:rPr>
                <w:rFonts w:cstheme="minorHAnsi"/>
                <w:lang w:val="fr-FR"/>
              </w:rPr>
              <w:t>Une note explicative sur la compréhension des termes de référence et les raisons de la candidature ;</w:t>
            </w:r>
          </w:p>
          <w:p w14:paraId="2F3BAC50" w14:textId="4A0C32A2" w:rsidR="00550CF0" w:rsidRPr="008F59EC" w:rsidRDefault="00550CF0" w:rsidP="008F59EC">
            <w:pPr>
              <w:pStyle w:val="Paragraphedeliste"/>
              <w:numPr>
                <w:ilvl w:val="0"/>
                <w:numId w:val="9"/>
              </w:numPr>
              <w:rPr>
                <w:rFonts w:cstheme="minorHAnsi"/>
                <w:lang w:val="fr-FR"/>
              </w:rPr>
            </w:pPr>
            <w:r w:rsidRPr="008F59EC">
              <w:rPr>
                <w:rFonts w:cstheme="minorHAnsi"/>
                <w:lang w:val="fr-FR"/>
              </w:rPr>
              <w:t xml:space="preserve">Une présentation </w:t>
            </w:r>
            <w:r w:rsidR="00C76D0D" w:rsidRPr="008F59EC">
              <w:rPr>
                <w:rFonts w:cstheme="minorHAnsi"/>
                <w:lang w:val="fr-FR"/>
              </w:rPr>
              <w:t xml:space="preserve">détaillée </w:t>
            </w:r>
            <w:r w:rsidRPr="008F59EC">
              <w:rPr>
                <w:rFonts w:cstheme="minorHAnsi"/>
                <w:lang w:val="fr-FR"/>
              </w:rPr>
              <w:t>de l’approche méthodologique et de l’organisation envisagée de la mission</w:t>
            </w:r>
            <w:r w:rsidR="000247EB" w:rsidRPr="008F59EC">
              <w:rPr>
                <w:rFonts w:cstheme="minorHAnsi"/>
                <w:lang w:val="fr-FR"/>
              </w:rPr>
              <w:t xml:space="preserve"> (chronogramme et plan de travail)</w:t>
            </w:r>
            <w:r w:rsidRPr="008F59EC">
              <w:rPr>
                <w:rFonts w:cstheme="minorHAnsi"/>
                <w:lang w:val="fr-FR"/>
              </w:rPr>
              <w:t xml:space="preserve"> ; </w:t>
            </w:r>
            <w:r w:rsidR="00C76D0D" w:rsidRPr="008F59EC">
              <w:rPr>
                <w:rFonts w:cstheme="minorHAnsi"/>
                <w:lang w:val="fr-FR"/>
              </w:rPr>
              <w:t xml:space="preserve">cette méthodologique devra ressortir </w:t>
            </w:r>
            <w:r w:rsidR="008F59EC" w:rsidRPr="008F59EC">
              <w:rPr>
                <w:rFonts w:cstheme="minorHAnsi"/>
                <w:lang w:val="fr-FR"/>
              </w:rPr>
              <w:t>les différentes étapes à savoir la collecte des informations, la validation des options retenues, la consolidation des documents, la validation par le PNUD et les parties prenantes</w:t>
            </w:r>
            <w:r w:rsidR="008F59EC">
              <w:rPr>
                <w:rFonts w:cstheme="minorHAnsi"/>
                <w:lang w:val="fr-FR"/>
              </w:rPr>
              <w:t> ;</w:t>
            </w:r>
          </w:p>
          <w:p w14:paraId="1F4E3C0D" w14:textId="1E04874F" w:rsidR="00FC096F" w:rsidRPr="007260D6" w:rsidRDefault="00550CF0" w:rsidP="00550CF0">
            <w:pPr>
              <w:pStyle w:val="Paragraphedeliste"/>
              <w:numPr>
                <w:ilvl w:val="0"/>
                <w:numId w:val="9"/>
              </w:numPr>
              <w:rPr>
                <w:rFonts w:cstheme="minorHAnsi"/>
                <w:lang w:val="fr-FR"/>
              </w:rPr>
            </w:pPr>
            <w:r w:rsidRPr="007260D6">
              <w:rPr>
                <w:rFonts w:cstheme="minorHAnsi"/>
                <w:lang w:val="fr-FR"/>
              </w:rPr>
              <w:t>CV</w:t>
            </w:r>
            <w:r w:rsidR="009D4722">
              <w:rPr>
                <w:rFonts w:cstheme="minorHAnsi"/>
                <w:lang w:val="fr-FR"/>
              </w:rPr>
              <w:t xml:space="preserve"> détaillé</w:t>
            </w:r>
            <w:r w:rsidRPr="007260D6">
              <w:rPr>
                <w:rFonts w:cstheme="minorHAnsi"/>
                <w:lang w:val="fr-FR"/>
              </w:rPr>
              <w:t xml:space="preserve"> incluant notamment les expériences acquises dans les projets, domaines similaires ou connexes et 3 références. </w:t>
            </w:r>
          </w:p>
          <w:p w14:paraId="17628109" w14:textId="77777777" w:rsidR="00550CF0" w:rsidRPr="007260D6" w:rsidRDefault="00550CF0" w:rsidP="00550CF0">
            <w:pPr>
              <w:pStyle w:val="Paragraphedeliste"/>
              <w:rPr>
                <w:rFonts w:cstheme="minorHAnsi"/>
                <w:lang w:val="fr-FR"/>
              </w:rPr>
            </w:pPr>
          </w:p>
          <w:p w14:paraId="4CE5E16C" w14:textId="77777777" w:rsidR="003A7D2F" w:rsidRPr="00E36706" w:rsidRDefault="003A7D2F" w:rsidP="003A7D2F">
            <w:pPr>
              <w:rPr>
                <w:rFonts w:cstheme="minorHAnsi"/>
                <w:b/>
                <w:lang w:val="fr-FR"/>
              </w:rPr>
            </w:pPr>
            <w:r w:rsidRPr="00E36706">
              <w:rPr>
                <w:rFonts w:cstheme="minorHAnsi"/>
                <w:b/>
                <w:lang w:val="fr-FR"/>
              </w:rPr>
              <w:t xml:space="preserve">2. Lettre d´offre avec une proposition financière – </w:t>
            </w:r>
            <w:r w:rsidRPr="00E36706">
              <w:rPr>
                <w:rFonts w:cstheme="minorHAnsi"/>
                <w:b/>
                <w:i/>
                <w:lang w:val="fr-FR"/>
              </w:rPr>
              <w:t>Lettre de soumission au PNUD confirmant l´intérêt et la disponibilité du prestataire individuel (IC) pour la mission</w:t>
            </w:r>
            <w:r w:rsidRPr="00E36706">
              <w:rPr>
                <w:rFonts w:cstheme="minorHAnsi"/>
                <w:b/>
                <w:lang w:val="fr-FR"/>
              </w:rPr>
              <w:t xml:space="preserve"> – Annexe 2</w:t>
            </w:r>
          </w:p>
          <w:p w14:paraId="2A05CDA5" w14:textId="77777777" w:rsidR="003A7D2F" w:rsidRPr="00E36706" w:rsidRDefault="003A7D2F" w:rsidP="003A7D2F">
            <w:pPr>
              <w:rPr>
                <w:rFonts w:cstheme="minorHAnsi"/>
                <w:lang w:val="fr-FR"/>
              </w:rPr>
            </w:pPr>
          </w:p>
          <w:p w14:paraId="3BAEEB83" w14:textId="77777777"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w:t>
            </w:r>
            <w:r w:rsidRPr="00E36706">
              <w:rPr>
                <w:lang w:val="fr-FR"/>
              </w:rPr>
              <w:t xml:space="preserve"> remplir et signer la </w:t>
            </w:r>
            <w:r w:rsidRPr="00E36706">
              <w:rPr>
                <w:rFonts w:cstheme="minorHAnsi"/>
                <w:i/>
                <w:lang w:val="fr-FR"/>
              </w:rPr>
              <w:t xml:space="preserve">Lettre de soumission au PNUD confirmant l´intérêt et la disponibilité du prestataire individuel (IC) pour la mission </w:t>
            </w:r>
            <w:r w:rsidRPr="00E36706">
              <w:rPr>
                <w:rFonts w:cstheme="minorHAnsi"/>
                <w:lang w:val="fr-FR"/>
              </w:rPr>
              <w:t>– Annexe 2.</w:t>
            </w:r>
          </w:p>
          <w:p w14:paraId="408DDFC0" w14:textId="77777777"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14:paraId="1BECA266" w14:textId="77777777" w:rsidR="00200AA0" w:rsidRPr="007260D6" w:rsidRDefault="00200AA0" w:rsidP="00A24134">
            <w:pPr>
              <w:rPr>
                <w:rFonts w:cstheme="minorHAnsi"/>
                <w:color w:val="FF0000"/>
                <w:lang w:val="fr-FR"/>
              </w:rPr>
            </w:pPr>
          </w:p>
        </w:tc>
      </w:tr>
    </w:tbl>
    <w:p w14:paraId="086F0869" w14:textId="77777777" w:rsidR="00993D9D" w:rsidRPr="007260D6" w:rsidRDefault="00993D9D" w:rsidP="00A24134">
      <w:pPr>
        <w:rPr>
          <w:rFonts w:cstheme="minorHAnsi"/>
          <w:b/>
          <w:lang w:val="fr-FR"/>
        </w:rPr>
      </w:pPr>
    </w:p>
    <w:p w14:paraId="78E1075C" w14:textId="5663A66F" w:rsidR="00E94857" w:rsidRPr="007260D6" w:rsidRDefault="002C0148" w:rsidP="00A24134">
      <w:pPr>
        <w:rPr>
          <w:rFonts w:cstheme="minorHAnsi"/>
          <w:b/>
          <w:lang w:val="fr-FR"/>
        </w:rPr>
      </w:pPr>
      <w:r>
        <w:rPr>
          <w:rFonts w:cstheme="minorHAnsi"/>
          <w:b/>
          <w:lang w:val="fr-FR"/>
        </w:rPr>
        <w:t>6</w:t>
      </w:r>
      <w:r w:rsidR="00E94857" w:rsidRPr="007260D6">
        <w:rPr>
          <w:rFonts w:cstheme="minorHAnsi"/>
          <w:b/>
          <w:lang w:val="fr-FR"/>
        </w:rPr>
        <w:t xml:space="preserve">. </w:t>
      </w:r>
      <w:r w:rsidR="00F64848" w:rsidRPr="007260D6">
        <w:rPr>
          <w:rFonts w:cstheme="minorHAnsi"/>
          <w:b/>
          <w:lang w:val="fr-FR"/>
        </w:rPr>
        <w:t xml:space="preserve">Evaluation </w:t>
      </w:r>
    </w:p>
    <w:tbl>
      <w:tblPr>
        <w:tblStyle w:val="Grilledutableau"/>
        <w:tblW w:w="0" w:type="auto"/>
        <w:tblLook w:val="04A0" w:firstRow="1" w:lastRow="0" w:firstColumn="1" w:lastColumn="0" w:noHBand="0" w:noVBand="1"/>
      </w:tblPr>
      <w:tblGrid>
        <w:gridCol w:w="9350"/>
      </w:tblGrid>
      <w:tr w:rsidR="00443E94" w:rsidRPr="00EC386A" w14:paraId="2CB0FE8E" w14:textId="77777777" w:rsidTr="00443E94">
        <w:tc>
          <w:tcPr>
            <w:tcW w:w="9576" w:type="dxa"/>
          </w:tcPr>
          <w:p w14:paraId="18C7FE3F" w14:textId="77777777" w:rsidR="003A195C" w:rsidRDefault="003A195C" w:rsidP="00E1301D">
            <w:pPr>
              <w:rPr>
                <w:lang w:val="fr-FR"/>
              </w:rPr>
            </w:pPr>
          </w:p>
          <w:p w14:paraId="4EC5EBF8" w14:textId="146C460C" w:rsidR="00E1301D" w:rsidRPr="004273E0" w:rsidRDefault="00E1301D" w:rsidP="00E1301D">
            <w:pPr>
              <w:rPr>
                <w:lang w:val="fr-FR"/>
              </w:rPr>
            </w:pPr>
            <w:r w:rsidRPr="004273E0">
              <w:rPr>
                <w:lang w:val="fr-FR"/>
              </w:rPr>
              <w:t>Le/la consultant/e individuel</w:t>
            </w:r>
            <w:r>
              <w:rPr>
                <w:lang w:val="fr-FR"/>
              </w:rPr>
              <w:t>(le)</w:t>
            </w:r>
            <w:r w:rsidRPr="004273E0">
              <w:rPr>
                <w:lang w:val="fr-FR"/>
              </w:rPr>
              <w:t>sera évalué</w:t>
            </w:r>
            <w:r>
              <w:rPr>
                <w:lang w:val="fr-FR"/>
              </w:rPr>
              <w:t>(e)</w:t>
            </w:r>
            <w:r w:rsidRPr="004273E0">
              <w:rPr>
                <w:lang w:val="fr-FR"/>
              </w:rPr>
              <w:t xml:space="preserve"> sur la base de la méthodologie de Notation combinée. Lorsque cette méthode d’évaluation est utilisée, le contrat est attribué au consultant individuel dont l’offre a été évaluée et jugée :</w:t>
            </w:r>
          </w:p>
          <w:p w14:paraId="19FA567F" w14:textId="77777777" w:rsidR="00E1301D" w:rsidRPr="004273E0" w:rsidRDefault="00E1301D" w:rsidP="00E1301D">
            <w:pPr>
              <w:rPr>
                <w:lang w:val="fr-FR"/>
              </w:rPr>
            </w:pPr>
          </w:p>
          <w:p w14:paraId="33D511F7" w14:textId="4F0FEDE4" w:rsidR="00E1301D" w:rsidRPr="00E1301D" w:rsidRDefault="00E1301D" w:rsidP="00E1301D">
            <w:pPr>
              <w:pStyle w:val="Paragraphedeliste"/>
              <w:numPr>
                <w:ilvl w:val="0"/>
                <w:numId w:val="20"/>
              </w:numPr>
              <w:rPr>
                <w:lang w:val="fr-FR"/>
              </w:rPr>
            </w:pPr>
            <w:r w:rsidRPr="00E1301D">
              <w:rPr>
                <w:lang w:val="fr-FR"/>
              </w:rPr>
              <w:t>Répondante/conforme/ acceptable et,</w:t>
            </w:r>
          </w:p>
          <w:p w14:paraId="101F03AE" w14:textId="02B0EA91" w:rsidR="00E1301D" w:rsidRPr="00E1301D" w:rsidRDefault="00E1301D" w:rsidP="00E1301D">
            <w:pPr>
              <w:pStyle w:val="Paragraphedeliste"/>
              <w:numPr>
                <w:ilvl w:val="0"/>
                <w:numId w:val="20"/>
              </w:numPr>
              <w:rPr>
                <w:lang w:val="fr-FR"/>
              </w:rPr>
            </w:pPr>
            <w:r w:rsidRPr="00E1301D">
              <w:rPr>
                <w:lang w:val="fr-FR"/>
              </w:rPr>
              <w:t>Ayant reçue la note globale pondérée la plus élevée sur la base des critères technique et financier spécifiés</w:t>
            </w:r>
          </w:p>
          <w:p w14:paraId="10DCE09D" w14:textId="77777777" w:rsidR="00E1301D" w:rsidRPr="004273E0" w:rsidRDefault="00E1301D" w:rsidP="00E1301D">
            <w:pPr>
              <w:rPr>
                <w:lang w:val="fr-FR"/>
              </w:rPr>
            </w:pPr>
          </w:p>
          <w:p w14:paraId="04A19592" w14:textId="0ED76783" w:rsidR="00E1301D" w:rsidRPr="00E1301D" w:rsidRDefault="00E1301D" w:rsidP="00E1301D">
            <w:pPr>
              <w:pStyle w:val="Paragraphedeliste"/>
              <w:numPr>
                <w:ilvl w:val="0"/>
                <w:numId w:val="21"/>
              </w:numPr>
              <w:rPr>
                <w:lang w:val="fr-FR"/>
              </w:rPr>
            </w:pPr>
            <w:r w:rsidRPr="00E1301D">
              <w:rPr>
                <w:lang w:val="fr-FR"/>
              </w:rPr>
              <w:t xml:space="preserve">Pondération de l’évaluation technique : 70 % </w:t>
            </w:r>
          </w:p>
          <w:p w14:paraId="45F3ADCC" w14:textId="78AAC05D" w:rsidR="00E1301D" w:rsidRPr="00E1301D" w:rsidRDefault="00E1301D" w:rsidP="00E1301D">
            <w:pPr>
              <w:pStyle w:val="Paragraphedeliste"/>
              <w:numPr>
                <w:ilvl w:val="0"/>
                <w:numId w:val="21"/>
              </w:numPr>
              <w:rPr>
                <w:lang w:val="fr-FR"/>
              </w:rPr>
            </w:pPr>
            <w:r w:rsidRPr="00E1301D">
              <w:rPr>
                <w:lang w:val="fr-FR"/>
              </w:rPr>
              <w:t>Pondération de l’évaluation financière : 30 %</w:t>
            </w:r>
          </w:p>
          <w:p w14:paraId="305F47F2" w14:textId="77777777" w:rsidR="00E1301D" w:rsidRPr="004273E0" w:rsidRDefault="00E1301D" w:rsidP="00E1301D">
            <w:pPr>
              <w:rPr>
                <w:lang w:val="fr-FR"/>
              </w:rPr>
            </w:pPr>
          </w:p>
          <w:p w14:paraId="5257EAC6" w14:textId="77777777" w:rsidR="00E1301D" w:rsidRPr="004273E0" w:rsidRDefault="00E1301D" w:rsidP="00E1301D">
            <w:pPr>
              <w:rPr>
                <w:lang w:val="fr-FR"/>
              </w:rPr>
            </w:pPr>
            <w:r w:rsidRPr="004273E0">
              <w:rPr>
                <w:lang w:val="fr-FR"/>
              </w:rPr>
              <w:t>L’évaluation des offres se déroule en deux temps. L’évaluation des propositions techniques est achevée avant l’ouverture et la comparaison des propositions financières.</w:t>
            </w:r>
          </w:p>
          <w:p w14:paraId="11D6A24C" w14:textId="77777777" w:rsidR="00E1301D" w:rsidRPr="004273E0" w:rsidRDefault="00E1301D" w:rsidP="00E1301D">
            <w:pPr>
              <w:rPr>
                <w:lang w:val="fr-FR"/>
              </w:rPr>
            </w:pPr>
          </w:p>
          <w:p w14:paraId="721CF474" w14:textId="77777777" w:rsidR="00E1301D" w:rsidRPr="004273E0" w:rsidRDefault="00E1301D" w:rsidP="00E1301D">
            <w:pPr>
              <w:rPr>
                <w:lang w:val="fr-FR"/>
              </w:rPr>
            </w:pPr>
            <w:r w:rsidRPr="004273E0">
              <w:rPr>
                <w:lang w:val="fr-FR"/>
              </w:rPr>
              <w:t>Le marché sera attribué au/à la Consultant(e) ayant présenté le meilleur score combiné (rapport qualité/prix, évaluation cumulative).</w:t>
            </w:r>
          </w:p>
          <w:p w14:paraId="5BDB04D8" w14:textId="77777777" w:rsidR="00E1301D" w:rsidRPr="004273E0" w:rsidRDefault="00E1301D" w:rsidP="00E1301D">
            <w:pPr>
              <w:rPr>
                <w:lang w:val="fr-FR"/>
              </w:rPr>
            </w:pPr>
          </w:p>
          <w:p w14:paraId="7C55B24C" w14:textId="5F65D99F" w:rsidR="00E1301D" w:rsidRPr="00F30D52" w:rsidRDefault="00E1301D" w:rsidP="00F92DE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Les propositions techniques</w:t>
            </w:r>
          </w:p>
          <w:p w14:paraId="7EA61A06" w14:textId="77777777" w:rsidR="00E1301D" w:rsidRPr="004273E0" w:rsidRDefault="00E1301D" w:rsidP="00E1301D">
            <w:pPr>
              <w:rPr>
                <w:lang w:val="fr-FR"/>
              </w:rPr>
            </w:pPr>
          </w:p>
          <w:p w14:paraId="2226B609" w14:textId="65FF9AD7" w:rsidR="00200AA0" w:rsidRPr="002C0148" w:rsidRDefault="00E1301D" w:rsidP="002C0148">
            <w:pPr>
              <w:rPr>
                <w:lang w:val="fr-FR"/>
              </w:rPr>
            </w:pPr>
            <w:r w:rsidRPr="004273E0">
              <w:rPr>
                <w:lang w:val="fr-FR"/>
              </w:rPr>
              <w:t xml:space="preserve">Les propositions techniques seront évaluées sur leur degré de réponse par rapport aux termes de référence et sur la base des critères suivants : </w:t>
            </w:r>
          </w:p>
          <w:tbl>
            <w:tblPr>
              <w:tblW w:w="0" w:type="auto"/>
              <w:shd w:val="clear" w:color="auto" w:fill="FFFF00"/>
              <w:tblCellMar>
                <w:left w:w="0" w:type="dxa"/>
                <w:right w:w="0" w:type="dxa"/>
              </w:tblCellMar>
              <w:tblLook w:val="04A0" w:firstRow="1" w:lastRow="0" w:firstColumn="1" w:lastColumn="0" w:noHBand="0" w:noVBand="1"/>
            </w:tblPr>
            <w:tblGrid>
              <w:gridCol w:w="7979"/>
              <w:gridCol w:w="1135"/>
            </w:tblGrid>
            <w:tr w:rsidR="00200AA0" w:rsidRPr="007260D6" w14:paraId="5FFCE592" w14:textId="77777777" w:rsidTr="005F0A94">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22244F8" w14:textId="77777777" w:rsidR="00200AA0" w:rsidRPr="007260D6" w:rsidRDefault="00200AA0" w:rsidP="00200AA0">
                  <w:pPr>
                    <w:jc w:val="both"/>
                    <w:rPr>
                      <w:rFonts w:cstheme="minorHAnsi"/>
                      <w:b/>
                      <w:bCs/>
                      <w:snapToGrid w:val="0"/>
                      <w:lang w:eastAsia="fr-FR"/>
                    </w:rPr>
                  </w:pPr>
                  <w:proofErr w:type="spellStart"/>
                  <w:r w:rsidRPr="007260D6">
                    <w:rPr>
                      <w:rFonts w:cstheme="minorHAnsi"/>
                      <w:b/>
                      <w:bCs/>
                      <w:snapToGrid w:val="0"/>
                    </w:rPr>
                    <w:t>Critères</w:t>
                  </w:r>
                  <w:proofErr w:type="spellEnd"/>
                  <w:r w:rsidRPr="007260D6">
                    <w:rPr>
                      <w:rFonts w:cstheme="minorHAnsi"/>
                      <w:b/>
                      <w:bCs/>
                      <w:snapToGrid w:val="0"/>
                    </w:rPr>
                    <w:t xml:space="preserve"> </w:t>
                  </w:r>
                  <w:proofErr w:type="spellStart"/>
                  <w:r w:rsidR="007B467A" w:rsidRPr="007260D6">
                    <w:rPr>
                      <w:rFonts w:cstheme="minorHAnsi"/>
                      <w:b/>
                      <w:bCs/>
                      <w:snapToGrid w:val="0"/>
                    </w:rPr>
                    <w:t>d´</w:t>
                  </w:r>
                  <w:r w:rsidR="00003CF1" w:rsidRPr="007260D6">
                    <w:rPr>
                      <w:rFonts w:cstheme="minorHAnsi"/>
                      <w:b/>
                      <w:bCs/>
                      <w:snapToGrid w:val="0"/>
                    </w:rPr>
                    <w:t>é</w:t>
                  </w:r>
                  <w:r w:rsidR="007B467A" w:rsidRPr="007260D6">
                    <w:rPr>
                      <w:rFonts w:cstheme="minorHAnsi"/>
                      <w:b/>
                      <w:bCs/>
                      <w:snapToGrid w:val="0"/>
                    </w:rPr>
                    <w:t>valuation</w:t>
                  </w:r>
                  <w:proofErr w:type="spellEnd"/>
                  <w:r w:rsidR="007B467A" w:rsidRPr="007260D6">
                    <w:rPr>
                      <w:rFonts w:cstheme="minorHAnsi"/>
                      <w:b/>
                      <w:bCs/>
                      <w:snapToGrid w:val="0"/>
                    </w:rPr>
                    <w:t xml:space="preserve"> </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37BCC5CC" w14:textId="1C43B5FA" w:rsidR="00200AA0" w:rsidRPr="007260D6" w:rsidRDefault="00200AA0" w:rsidP="00E54A8B">
                  <w:pPr>
                    <w:spacing w:line="240" w:lineRule="auto"/>
                    <w:jc w:val="both"/>
                    <w:rPr>
                      <w:rFonts w:cstheme="minorHAnsi"/>
                      <w:b/>
                      <w:bCs/>
                      <w:color w:val="000000"/>
                    </w:rPr>
                  </w:pPr>
                  <w:r w:rsidRPr="007260D6">
                    <w:rPr>
                      <w:rFonts w:cstheme="minorHAnsi"/>
                      <w:b/>
                      <w:bCs/>
                      <w:color w:val="000000"/>
                    </w:rPr>
                    <w:t>Points</w:t>
                  </w:r>
                  <w:r w:rsidR="00F30D52">
                    <w:rPr>
                      <w:rFonts w:cstheme="minorHAnsi"/>
                      <w:b/>
                      <w:bCs/>
                      <w:color w:val="000000"/>
                    </w:rPr>
                    <w:t xml:space="preserve"> maximum</w:t>
                  </w:r>
                </w:p>
              </w:tc>
            </w:tr>
            <w:tr w:rsidR="00200AA0" w:rsidRPr="007260D6" w14:paraId="37034515"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FFF04E" w14:textId="795CB25B" w:rsidR="00200AA0" w:rsidRPr="00A34242" w:rsidRDefault="00A34242" w:rsidP="00A34242">
                  <w:pPr>
                    <w:jc w:val="center"/>
                    <w:rPr>
                      <w:rFonts w:cstheme="minorHAnsi"/>
                      <w:b/>
                      <w:bCs/>
                      <w:snapToGrid w:val="0"/>
                      <w:lang w:val="fr-FR"/>
                    </w:rPr>
                  </w:pPr>
                  <w:r w:rsidRPr="00A34242">
                    <w:rPr>
                      <w:rFonts w:cstheme="minorHAnsi"/>
                      <w:b/>
                      <w:bCs/>
                      <w:snapToGrid w:val="0"/>
                      <w:lang w:val="fr-FR"/>
                    </w:rPr>
                    <w:t>Qualification et expérience du consultant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B280C9" w14:textId="70B4833D" w:rsidR="00200AA0" w:rsidRPr="00A34242" w:rsidRDefault="00A34242" w:rsidP="00A34242">
                  <w:pPr>
                    <w:spacing w:line="240" w:lineRule="auto"/>
                    <w:jc w:val="center"/>
                    <w:rPr>
                      <w:rFonts w:cstheme="minorHAnsi"/>
                      <w:b/>
                      <w:bCs/>
                      <w:color w:val="000000"/>
                    </w:rPr>
                  </w:pPr>
                  <w:r w:rsidRPr="00A34242">
                    <w:rPr>
                      <w:rFonts w:cstheme="minorHAnsi"/>
                      <w:b/>
                      <w:bCs/>
                      <w:color w:val="000000"/>
                    </w:rPr>
                    <w:t>60</w:t>
                  </w:r>
                </w:p>
              </w:tc>
            </w:tr>
            <w:tr w:rsidR="00A34242" w:rsidRPr="007260D6" w14:paraId="54A5589B"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9B6B97B" w14:textId="65FF7259" w:rsidR="00A34242" w:rsidRPr="00DC74D2" w:rsidRDefault="00A34242" w:rsidP="00A34242">
                  <w:pPr>
                    <w:jc w:val="both"/>
                    <w:rPr>
                      <w:rFonts w:cstheme="minorHAnsi"/>
                      <w:snapToGrid w:val="0"/>
                      <w:lang w:val="fr-FR"/>
                    </w:rPr>
                  </w:pPr>
                  <w:r w:rsidRPr="00DC74D2">
                    <w:rPr>
                      <w:rFonts w:cstheme="minorHAnsi"/>
                      <w:snapToGrid w:val="0"/>
                      <w:lang w:val="fr-FR"/>
                    </w:rPr>
                    <w:t>Le/la soumissionnaire a-t-il/elle un diplôme</w:t>
                  </w:r>
                  <w:r w:rsidRPr="009D41A5">
                    <w:rPr>
                      <w:lang w:val="fr-CD"/>
                    </w:rPr>
                    <w:t xml:space="preserve"> </w:t>
                  </w:r>
                  <w:r w:rsidRPr="00C76D0D">
                    <w:rPr>
                      <w:rFonts w:cstheme="minorHAnsi"/>
                      <w:snapToGrid w:val="0"/>
                      <w:lang w:val="fr-FR"/>
                    </w:rPr>
                    <w:t>dans le domaine des mines ou de gestion des ressources naturelles ou tout autre domaine similaire</w:t>
                  </w:r>
                  <w:r w:rsidRPr="00DC74D2">
                    <w:rPr>
                      <w:rFonts w:cstheme="minorHAnsi"/>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F6659F" w14:textId="13D2B67F" w:rsidR="00A34242" w:rsidRDefault="00A34242" w:rsidP="00293DAE">
                  <w:pPr>
                    <w:spacing w:line="240" w:lineRule="auto"/>
                    <w:jc w:val="center"/>
                    <w:rPr>
                      <w:rFonts w:cstheme="minorHAnsi"/>
                    </w:rPr>
                  </w:pPr>
                  <w:r>
                    <w:rPr>
                      <w:rFonts w:cstheme="minorHAnsi"/>
                    </w:rPr>
                    <w:t>20</w:t>
                  </w:r>
                </w:p>
              </w:tc>
            </w:tr>
            <w:tr w:rsidR="00A34242" w:rsidRPr="007260D6" w14:paraId="350CADEA"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DD5A47A" w14:textId="358C872F" w:rsidR="00A34242" w:rsidRPr="00DC74D2" w:rsidRDefault="00A34242" w:rsidP="00A34242">
                  <w:pPr>
                    <w:spacing w:line="240" w:lineRule="auto"/>
                    <w:jc w:val="both"/>
                    <w:rPr>
                      <w:snapToGrid w:val="0"/>
                      <w:lang w:val="fr-FR"/>
                    </w:rPr>
                  </w:pPr>
                  <w:r w:rsidRPr="00DC74D2">
                    <w:rPr>
                      <w:snapToGrid w:val="0"/>
                      <w:lang w:val="fr-FR"/>
                    </w:rPr>
                    <w:t xml:space="preserve">Le/la soumissionnaire </w:t>
                  </w:r>
                  <w:r>
                    <w:rPr>
                      <w:snapToGrid w:val="0"/>
                      <w:lang w:val="fr-FR"/>
                    </w:rPr>
                    <w:t>dispose</w:t>
                  </w:r>
                  <w:r w:rsidRPr="00DC74D2">
                    <w:rPr>
                      <w:snapToGrid w:val="0"/>
                      <w:lang w:val="fr-FR"/>
                    </w:rPr>
                    <w:t xml:space="preserve">-t-il/elle </w:t>
                  </w:r>
                  <w:r w:rsidR="008F59EC" w:rsidRPr="00586970">
                    <w:rPr>
                      <w:snapToGrid w:val="0"/>
                      <w:lang w:val="fr-FR"/>
                    </w:rPr>
                    <w:t>d’</w:t>
                  </w:r>
                  <w:r w:rsidR="008F59EC" w:rsidRPr="009D41A5">
                    <w:rPr>
                      <w:lang w:val="fr-CD"/>
                    </w:rPr>
                    <w:t>une</w:t>
                  </w:r>
                  <w:r w:rsidR="008F59EC" w:rsidRPr="008F59EC">
                    <w:rPr>
                      <w:snapToGrid w:val="0"/>
                      <w:lang w:val="fr-FR"/>
                    </w:rPr>
                    <w:t xml:space="preserve"> expérience dans le domaine de l’analyse des chaines de valeurs et l’agrobusiness d’au moins 10 ans</w:t>
                  </w:r>
                  <w:r w:rsidR="008F59EC">
                    <w:rPr>
                      <w:snapToGrid w:val="0"/>
                      <w:lang w:val="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13A779" w14:textId="78BE727F" w:rsidR="00A34242" w:rsidRPr="00DE5DA4" w:rsidRDefault="00293DAE" w:rsidP="00293DAE">
                  <w:pPr>
                    <w:spacing w:line="240" w:lineRule="auto"/>
                    <w:jc w:val="center"/>
                    <w:rPr>
                      <w:rFonts w:cstheme="minorHAnsi"/>
                      <w:lang w:val="fr-FR"/>
                    </w:rPr>
                  </w:pPr>
                  <w:r>
                    <w:rPr>
                      <w:rFonts w:cstheme="minorHAnsi"/>
                      <w:lang w:val="fr-FR"/>
                    </w:rPr>
                    <w:t>2</w:t>
                  </w:r>
                  <w:r w:rsidR="00A34242" w:rsidRPr="00DE5DA4">
                    <w:rPr>
                      <w:rFonts w:cstheme="minorHAnsi"/>
                      <w:lang w:val="fr-FR"/>
                    </w:rPr>
                    <w:t>0</w:t>
                  </w:r>
                </w:p>
              </w:tc>
            </w:tr>
            <w:tr w:rsidR="00A34242" w:rsidRPr="007260D6" w14:paraId="7A38814B"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5C2EE70" w14:textId="783E6B8E" w:rsidR="00A34242" w:rsidRPr="00DC74D2" w:rsidRDefault="00A34242" w:rsidP="00A34242">
                  <w:pPr>
                    <w:spacing w:line="240" w:lineRule="auto"/>
                    <w:jc w:val="both"/>
                    <w:rPr>
                      <w:snapToGrid w:val="0"/>
                      <w:lang w:val="fr-FR"/>
                    </w:rPr>
                  </w:pPr>
                  <w:r w:rsidRPr="00DC74D2">
                    <w:rPr>
                      <w:snapToGrid w:val="0"/>
                      <w:lang w:val="fr-FR"/>
                    </w:rPr>
                    <w:t xml:space="preserve">Le/la soumissionnaire </w:t>
                  </w:r>
                  <w:r w:rsidR="00293DAE">
                    <w:rPr>
                      <w:snapToGrid w:val="0"/>
                      <w:lang w:val="fr-FR"/>
                    </w:rPr>
                    <w:t>a</w:t>
                  </w:r>
                  <w:r w:rsidRPr="00DC74D2">
                    <w:rPr>
                      <w:snapToGrid w:val="0"/>
                      <w:lang w:val="fr-FR"/>
                    </w:rPr>
                    <w:t>-t-il/elle</w:t>
                  </w:r>
                  <w:r>
                    <w:rPr>
                      <w:snapToGrid w:val="0"/>
                      <w:lang w:val="fr-FR"/>
                    </w:rPr>
                    <w:t xml:space="preserve"> </w:t>
                  </w:r>
                  <w:r w:rsidR="00293DAE">
                    <w:rPr>
                      <w:snapToGrid w:val="0"/>
                      <w:lang w:val="fr-FR"/>
                    </w:rPr>
                    <w:t>d</w:t>
                  </w:r>
                  <w:r w:rsidR="008F59EC">
                    <w:rPr>
                      <w:snapToGrid w:val="0"/>
                      <w:lang w:val="fr-FR"/>
                    </w:rPr>
                    <w:t>’une</w:t>
                  </w:r>
                  <w:r w:rsidR="008F59EC" w:rsidRPr="008F59EC">
                    <w:rPr>
                      <w:snapToGrid w:val="0"/>
                      <w:lang w:val="fr-FR"/>
                    </w:rPr>
                    <w:t xml:space="preserve"> expérience dans la coordination des programmes d’au moins 7 ans</w:t>
                  </w:r>
                  <w:r w:rsidR="00293DAE">
                    <w:rPr>
                      <w:snapToGrid w:val="0"/>
                      <w:lang w:val="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4207F8" w14:textId="2B59740B" w:rsidR="00A34242" w:rsidRPr="00DE5DA4" w:rsidRDefault="00293DAE" w:rsidP="00293DAE">
                  <w:pPr>
                    <w:spacing w:line="240" w:lineRule="auto"/>
                    <w:jc w:val="center"/>
                    <w:rPr>
                      <w:rFonts w:cstheme="minorHAnsi"/>
                      <w:lang w:val="fr-FR"/>
                    </w:rPr>
                  </w:pPr>
                  <w:r>
                    <w:rPr>
                      <w:rFonts w:cstheme="minorHAnsi"/>
                      <w:lang w:val="fr-FR"/>
                    </w:rPr>
                    <w:t>20</w:t>
                  </w:r>
                </w:p>
              </w:tc>
            </w:tr>
            <w:tr w:rsidR="00293DAE" w:rsidRPr="007260D6" w14:paraId="6B5E971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D7386F" w14:textId="7A984786" w:rsidR="00293DAE" w:rsidRPr="00293DAE" w:rsidRDefault="00293DAE" w:rsidP="00557E0A">
                  <w:pPr>
                    <w:spacing w:line="240" w:lineRule="auto"/>
                    <w:jc w:val="center"/>
                    <w:rPr>
                      <w:b/>
                      <w:bCs/>
                      <w:snapToGrid w:val="0"/>
                      <w:lang w:val="fr-FR"/>
                    </w:rPr>
                  </w:pPr>
                  <w:r w:rsidRPr="00293DAE">
                    <w:rPr>
                      <w:b/>
                      <w:bCs/>
                      <w:snapToGrid w:val="0"/>
                      <w:lang w:val="fr-FR"/>
                    </w:rPr>
                    <w:t>Méthodologie, approche et plan de mise en œuvre proposés</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9CD9DC" w14:textId="06F4A98A" w:rsidR="00293DAE" w:rsidRPr="00293DAE" w:rsidRDefault="00293DAE" w:rsidP="00293DAE">
                  <w:pPr>
                    <w:spacing w:line="240" w:lineRule="auto"/>
                    <w:jc w:val="center"/>
                    <w:rPr>
                      <w:rFonts w:cstheme="minorHAnsi"/>
                      <w:b/>
                      <w:bCs/>
                      <w:lang w:val="fr-FR"/>
                    </w:rPr>
                  </w:pPr>
                  <w:r w:rsidRPr="00293DAE">
                    <w:rPr>
                      <w:rFonts w:cstheme="minorHAnsi"/>
                      <w:b/>
                      <w:bCs/>
                      <w:lang w:val="fr-FR"/>
                    </w:rPr>
                    <w:t>40</w:t>
                  </w:r>
                </w:p>
              </w:tc>
            </w:tr>
            <w:tr w:rsidR="00A34242" w:rsidRPr="007260D6" w14:paraId="616DD7D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F6DA79" w14:textId="2F421037" w:rsidR="00A34242" w:rsidRPr="00DC74D2" w:rsidRDefault="00A34242" w:rsidP="00A34242">
                  <w:pPr>
                    <w:spacing w:line="240" w:lineRule="auto"/>
                    <w:jc w:val="both"/>
                    <w:rPr>
                      <w:snapToGrid w:val="0"/>
                      <w:lang w:val="fr-FR"/>
                    </w:rPr>
                  </w:pPr>
                  <w:r w:rsidRPr="00DC74D2">
                    <w:rPr>
                      <w:snapToGrid w:val="0"/>
                      <w:lang w:val="fr-FR"/>
                    </w:rPr>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2855BB" w14:textId="52E3B9BC" w:rsidR="00A34242" w:rsidRPr="00DE5DA4" w:rsidRDefault="00293DAE" w:rsidP="00293DAE">
                  <w:pPr>
                    <w:spacing w:line="240" w:lineRule="auto"/>
                    <w:jc w:val="center"/>
                    <w:rPr>
                      <w:rFonts w:cstheme="minorHAnsi"/>
                      <w:lang w:val="fr-FR"/>
                    </w:rPr>
                  </w:pPr>
                  <w:r>
                    <w:rPr>
                      <w:rFonts w:cstheme="minorHAnsi"/>
                      <w:lang w:val="fr-FR"/>
                    </w:rPr>
                    <w:t>20</w:t>
                  </w:r>
                </w:p>
              </w:tc>
            </w:tr>
            <w:tr w:rsidR="00A34242" w:rsidRPr="00EC386A" w14:paraId="45609235"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C8F0BAF" w14:textId="1474C894" w:rsidR="00A34242" w:rsidRPr="00DC74D2" w:rsidRDefault="00A34242" w:rsidP="00A34242">
                  <w:pPr>
                    <w:spacing w:line="240" w:lineRule="auto"/>
                    <w:jc w:val="both"/>
                    <w:rPr>
                      <w:snapToGrid w:val="0"/>
                      <w:lang w:val="fr-FR"/>
                    </w:rPr>
                  </w:pPr>
                  <w:r w:rsidRPr="00DC74D2">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C02BE3" w14:textId="7A25148F" w:rsidR="00A34242" w:rsidRPr="00DC74D2" w:rsidRDefault="00A34242" w:rsidP="00293DAE">
                  <w:pPr>
                    <w:spacing w:line="240" w:lineRule="auto"/>
                    <w:jc w:val="center"/>
                    <w:rPr>
                      <w:rFonts w:cstheme="minorHAnsi"/>
                      <w:color w:val="000000"/>
                      <w:lang w:val="fr-FR"/>
                    </w:rPr>
                  </w:pPr>
                  <w:r>
                    <w:rPr>
                      <w:rFonts w:cstheme="minorHAnsi"/>
                      <w:color w:val="000000"/>
                      <w:lang w:val="fr-FR"/>
                    </w:rPr>
                    <w:t>20</w:t>
                  </w:r>
                </w:p>
              </w:tc>
            </w:tr>
            <w:tr w:rsidR="00A34242" w:rsidRPr="00EC386A" w14:paraId="0EAA2C76" w14:textId="77777777" w:rsidTr="005F0A94">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C4C47C" w14:textId="77777777" w:rsidR="00A34242" w:rsidRPr="007260D6" w:rsidRDefault="00A34242" w:rsidP="00A34242">
                  <w:pPr>
                    <w:spacing w:line="240" w:lineRule="auto"/>
                    <w:jc w:val="both"/>
                    <w:rPr>
                      <w:rFonts w:cstheme="minorHAnsi"/>
                      <w:b/>
                      <w:bCs/>
                      <w:snapToGrid w:val="0"/>
                      <w:lang w:val="fr-FR"/>
                    </w:rPr>
                  </w:pPr>
                  <w:r w:rsidRPr="007260D6">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B2927A" w14:textId="77777777" w:rsidR="00A34242" w:rsidRPr="007260D6" w:rsidRDefault="00A34242" w:rsidP="00A34242">
                  <w:pPr>
                    <w:spacing w:line="240" w:lineRule="auto"/>
                    <w:jc w:val="both"/>
                    <w:rPr>
                      <w:rFonts w:cstheme="minorHAnsi"/>
                      <w:b/>
                      <w:bCs/>
                      <w:color w:val="000000"/>
                      <w:lang w:val="fr-FR"/>
                    </w:rPr>
                  </w:pPr>
                  <w:r w:rsidRPr="007260D6">
                    <w:rPr>
                      <w:rFonts w:cstheme="minorHAnsi"/>
                      <w:b/>
                      <w:bCs/>
                      <w:color w:val="000000"/>
                      <w:lang w:val="fr-FR"/>
                    </w:rPr>
                    <w:t>100</w:t>
                  </w:r>
                </w:p>
              </w:tc>
            </w:tr>
          </w:tbl>
          <w:p w14:paraId="3178720D" w14:textId="77777777" w:rsidR="003230F4" w:rsidRPr="007260D6" w:rsidRDefault="003230F4" w:rsidP="003230F4">
            <w:pPr>
              <w:jc w:val="both"/>
              <w:rPr>
                <w:rFonts w:eastAsia="Times New Roman" w:cstheme="minorHAnsi"/>
                <w:bCs/>
                <w:lang w:val="fr-FR" w:eastAsia="rw-RW"/>
              </w:rPr>
            </w:pPr>
          </w:p>
          <w:p w14:paraId="74BC25A0" w14:textId="11AB4404" w:rsidR="00E41813" w:rsidRPr="00F30D52" w:rsidRDefault="00E41813" w:rsidP="00E41813">
            <w:pPr>
              <w:jc w:val="both"/>
              <w:rPr>
                <w:rFonts w:cstheme="minorHAnsi"/>
                <w:bCs/>
                <w:lang w:val="fr-FR"/>
              </w:rPr>
            </w:pPr>
            <w:r w:rsidRPr="00F30D52">
              <w:rPr>
                <w:rFonts w:cstheme="minorHAnsi"/>
                <w:bCs/>
                <w:lang w:val="fr-FR"/>
              </w:rPr>
              <w:t>Seront jugées qualifiées, les propositions techniques qui obtiendront 70% de la note maximale de 100 points</w:t>
            </w:r>
            <w:r w:rsidR="00F30D52">
              <w:rPr>
                <w:rFonts w:cstheme="minorHAnsi"/>
                <w:bCs/>
                <w:lang w:val="fr-FR"/>
              </w:rPr>
              <w:t xml:space="preserve">, </w:t>
            </w:r>
            <w:r w:rsidRPr="00F30D52">
              <w:rPr>
                <w:rFonts w:cstheme="minorHAnsi"/>
                <w:bCs/>
                <w:lang w:val="fr-FR"/>
              </w:rPr>
              <w:t>cette note technique sera pondérée a 70%.</w:t>
            </w:r>
          </w:p>
          <w:p w14:paraId="70FC6136" w14:textId="77777777" w:rsidR="00E41813" w:rsidRPr="007260D6" w:rsidRDefault="00E41813" w:rsidP="00E41813">
            <w:pPr>
              <w:jc w:val="both"/>
              <w:rPr>
                <w:rFonts w:cstheme="minorHAnsi"/>
                <w:b/>
                <w:lang w:val="fr-FR"/>
              </w:rPr>
            </w:pPr>
          </w:p>
          <w:p w14:paraId="3CA1AC6A" w14:textId="77777777" w:rsidR="003A195C" w:rsidRPr="00F30D52" w:rsidRDefault="003A195C" w:rsidP="003A195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 xml:space="preserve">Les propositions </w:t>
            </w:r>
            <w:proofErr w:type="spellStart"/>
            <w:r w:rsidRPr="00F30D52">
              <w:rPr>
                <w:rFonts w:eastAsia="Times New Roman" w:cstheme="minorHAnsi"/>
                <w:b/>
                <w:bCs/>
                <w:i/>
                <w:u w:val="single"/>
                <w:lang w:eastAsia="rw-RW"/>
              </w:rPr>
              <w:t>financières</w:t>
            </w:r>
            <w:proofErr w:type="spellEnd"/>
          </w:p>
          <w:p w14:paraId="216041A4" w14:textId="77777777" w:rsidR="003A195C" w:rsidRPr="004273E0" w:rsidRDefault="003A195C" w:rsidP="003A195C">
            <w:pPr>
              <w:jc w:val="both"/>
              <w:rPr>
                <w:rFonts w:eastAsia="Times New Roman" w:cstheme="minorHAnsi"/>
                <w:bCs/>
                <w:lang w:eastAsia="rw-RW"/>
              </w:rPr>
            </w:pPr>
          </w:p>
          <w:p w14:paraId="04C2EFF9" w14:textId="725CF7C9" w:rsidR="003A195C" w:rsidRDefault="003A195C" w:rsidP="003A195C">
            <w:pPr>
              <w:jc w:val="both"/>
              <w:rPr>
                <w:rFonts w:eastAsia="Times New Roman" w:cstheme="minorHAnsi"/>
                <w:lang w:val="fr-FR" w:eastAsia="rw-RW"/>
              </w:rPr>
            </w:pPr>
            <w:r w:rsidRPr="004273E0">
              <w:rPr>
                <w:rFonts w:eastAsia="Times New Roman" w:cstheme="minorHAnsi"/>
                <w:lang w:val="fr-FR" w:eastAsia="rw-RW"/>
              </w:rPr>
              <w:t>Dans une deuxième étape du processus d’évaluation, les enveloppes financières seront ouvertes et les offres financières comparées</w:t>
            </w:r>
            <w:r>
              <w:rPr>
                <w:rFonts w:eastAsia="Times New Roman" w:cstheme="minorHAnsi"/>
                <w:lang w:val="fr-FR" w:eastAsia="rw-RW"/>
              </w:rPr>
              <w:t>. U</w:t>
            </w:r>
            <w:r w:rsidRPr="004273E0">
              <w:rPr>
                <w:rFonts w:eastAsia="Times New Roman" w:cstheme="minorHAnsi"/>
                <w:lang w:val="fr-FR" w:eastAsia="rw-RW"/>
              </w:rPr>
              <w:t>ne note financière sera calculée pour chaque proposition sur la base de la formule :</w:t>
            </w:r>
          </w:p>
          <w:p w14:paraId="739ACBE8" w14:textId="77777777" w:rsidR="00F30D52" w:rsidRPr="004273E0" w:rsidRDefault="00F30D52" w:rsidP="003A195C">
            <w:pPr>
              <w:jc w:val="both"/>
              <w:rPr>
                <w:rFonts w:eastAsia="Times New Roman" w:cstheme="minorHAnsi"/>
                <w:lang w:val="fr-FR" w:eastAsia="rw-RW"/>
              </w:rPr>
            </w:pPr>
          </w:p>
          <w:p w14:paraId="457CCA32" w14:textId="1493C0E7" w:rsidR="003A195C" w:rsidRDefault="003A195C" w:rsidP="003A195C">
            <w:pPr>
              <w:pStyle w:val="Paragraphedeliste"/>
              <w:numPr>
                <w:ilvl w:val="0"/>
                <w:numId w:val="23"/>
              </w:numPr>
              <w:jc w:val="both"/>
              <w:rPr>
                <w:rFonts w:eastAsia="Times New Roman" w:cstheme="minorHAnsi"/>
                <w:b/>
                <w:i/>
                <w:lang w:val="fr-FR" w:eastAsia="rw-RW"/>
              </w:rPr>
            </w:pPr>
            <w:r w:rsidRPr="004273E0">
              <w:rPr>
                <w:rFonts w:eastAsia="Times New Roman" w:cstheme="minorHAnsi"/>
                <w:b/>
                <w:i/>
                <w:lang w:val="fr-FR" w:eastAsia="rw-RW"/>
              </w:rPr>
              <w:lastRenderedPageBreak/>
              <w:t xml:space="preserve">Note financière A = [(Offre financière la moins </w:t>
            </w:r>
            <w:proofErr w:type="spellStart"/>
            <w:r w:rsidRPr="004273E0">
              <w:rPr>
                <w:rFonts w:eastAsia="Times New Roman" w:cstheme="minorHAnsi"/>
                <w:b/>
                <w:i/>
                <w:lang w:val="fr-FR" w:eastAsia="rw-RW"/>
              </w:rPr>
              <w:t>disante</w:t>
            </w:r>
            <w:proofErr w:type="spellEnd"/>
            <w:r w:rsidRPr="004273E0">
              <w:rPr>
                <w:rFonts w:eastAsia="Times New Roman" w:cstheme="minorHAnsi"/>
                <w:b/>
                <w:i/>
                <w:lang w:val="fr-FR" w:eastAsia="rw-RW"/>
              </w:rPr>
              <w:t>) /Offre financière de A] x 30</w:t>
            </w:r>
          </w:p>
          <w:p w14:paraId="035C269A" w14:textId="77777777" w:rsidR="003A195C" w:rsidRPr="004273E0" w:rsidRDefault="003A195C" w:rsidP="003A195C">
            <w:pPr>
              <w:pStyle w:val="Paragraphedeliste"/>
              <w:jc w:val="both"/>
              <w:rPr>
                <w:rFonts w:eastAsia="Times New Roman" w:cstheme="minorHAnsi"/>
                <w:b/>
                <w:i/>
                <w:lang w:val="fr-FR" w:eastAsia="rw-RW"/>
              </w:rPr>
            </w:pPr>
          </w:p>
          <w:p w14:paraId="5F65B67B" w14:textId="77777777" w:rsidR="003A195C" w:rsidRPr="004273E0" w:rsidRDefault="003A195C" w:rsidP="003A195C">
            <w:pPr>
              <w:jc w:val="both"/>
              <w:rPr>
                <w:rFonts w:eastAsia="Times New Roman" w:cstheme="minorHAnsi"/>
                <w:b/>
                <w:lang w:val="fr-FR" w:eastAsia="rw-RW"/>
              </w:rPr>
            </w:pPr>
            <w:r w:rsidRPr="004273E0">
              <w:rPr>
                <w:rFonts w:eastAsia="Times New Roman" w:cstheme="minorHAnsi"/>
                <w:b/>
                <w:lang w:val="fr-FR" w:eastAsia="rw-RW"/>
              </w:rPr>
              <w:t>Le/la Consultant (e) avec le cumul de notes (Technique + Financière) le plus élevé sera retenu pour le contrat.</w:t>
            </w:r>
          </w:p>
          <w:p w14:paraId="5C16701D" w14:textId="77777777" w:rsidR="003A195C" w:rsidRPr="004273E0" w:rsidRDefault="003A195C" w:rsidP="003A195C">
            <w:pPr>
              <w:jc w:val="both"/>
              <w:rPr>
                <w:rFonts w:cstheme="minorHAnsi"/>
                <w:b/>
                <w:i/>
                <w:lang w:val="fr-FR"/>
              </w:rPr>
            </w:pPr>
          </w:p>
          <w:p w14:paraId="63D7E3CC" w14:textId="77777777" w:rsidR="003A195C" w:rsidRPr="004273E0" w:rsidRDefault="003A195C" w:rsidP="003A195C">
            <w:pPr>
              <w:jc w:val="both"/>
              <w:rPr>
                <w:rFonts w:eastAsia="Times New Roman"/>
                <w:bCs/>
                <w:lang w:val="fr-FR" w:eastAsia="rw-RW"/>
              </w:rPr>
            </w:pPr>
            <w:r w:rsidRPr="004273E0">
              <w:rPr>
                <w:rFonts w:eastAsia="Times New Roman"/>
                <w:bCs/>
                <w:lang w:val="fr-FR" w:eastAsia="rw-RW"/>
              </w:rPr>
              <w:t>Le/la Consultant(e) fait sa proposition financière suivant le Tableau des coûts dans l´Annexe II (Lettre de soumission au PNUD). Il doit proposer un montant forfaitaire et présenter</w:t>
            </w:r>
            <w:r w:rsidRPr="004273E0">
              <w:rPr>
                <w:rFonts w:eastAsia="Times New Roman"/>
                <w:bCs/>
                <w:color w:val="00B050"/>
                <w:lang w:val="fr-FR" w:eastAsia="rw-RW"/>
              </w:rPr>
              <w:t>,</w:t>
            </w:r>
            <w:r w:rsidRPr="004273E0">
              <w:rPr>
                <w:rFonts w:eastAsia="Times New Roman"/>
                <w:bCs/>
                <w:lang w:val="fr-FR" w:eastAsia="rw-RW"/>
              </w:rPr>
              <w:t xml:space="preserve"> dans le Tableau des coûts</w:t>
            </w:r>
            <w:r w:rsidRPr="004273E0">
              <w:rPr>
                <w:rFonts w:eastAsia="Times New Roman"/>
                <w:bCs/>
                <w:color w:val="00B050"/>
                <w:lang w:val="fr-FR" w:eastAsia="rw-RW"/>
              </w:rPr>
              <w:t>,</w:t>
            </w:r>
            <w:r w:rsidRPr="004273E0">
              <w:rPr>
                <w:rFonts w:eastAsia="Times New Roman"/>
                <w:bCs/>
                <w:lang w:val="fr-FR" w:eastAsia="rw-RW"/>
              </w:rPr>
              <w:t xml:space="preserve"> la ventilation de ce montant forfaitaire.</w:t>
            </w:r>
          </w:p>
          <w:p w14:paraId="6C4AEC16" w14:textId="77777777" w:rsidR="003A195C" w:rsidRPr="004273E0" w:rsidRDefault="003A195C" w:rsidP="003A195C">
            <w:pPr>
              <w:jc w:val="both"/>
              <w:rPr>
                <w:rFonts w:eastAsia="Times New Roman"/>
                <w:bCs/>
                <w:lang w:val="fr-FR" w:eastAsia="rw-RW"/>
              </w:rPr>
            </w:pPr>
          </w:p>
          <w:p w14:paraId="5C981D38" w14:textId="34F90911" w:rsidR="00EF31F4" w:rsidRDefault="003A195C" w:rsidP="003A195C">
            <w:pPr>
              <w:jc w:val="both"/>
              <w:rPr>
                <w:rFonts w:eastAsia="Times New Roman"/>
                <w:bCs/>
                <w:lang w:val="fr-FR" w:eastAsia="rw-RW"/>
              </w:rPr>
            </w:pPr>
            <w:r w:rsidRPr="004273E0">
              <w:rPr>
                <w:rFonts w:eastAsia="Times New Roman"/>
                <w:bCs/>
                <w:lang w:val="fr-FR" w:eastAsia="rw-RW"/>
              </w:rPr>
              <w:t xml:space="preserve">Le/la consultant/e devra inclure tous les frais lui permettant d’exécuter la mission suivant la durée prévue. </w:t>
            </w:r>
          </w:p>
          <w:p w14:paraId="40C25A9D" w14:textId="77777777" w:rsidR="00EF31F4" w:rsidRDefault="00EF31F4" w:rsidP="003A195C">
            <w:pPr>
              <w:jc w:val="both"/>
              <w:rPr>
                <w:rFonts w:eastAsia="Times New Roman"/>
                <w:bCs/>
                <w:lang w:val="fr-FR" w:eastAsia="rw-RW"/>
              </w:rPr>
            </w:pPr>
          </w:p>
          <w:p w14:paraId="1150062D" w14:textId="52A5E155" w:rsidR="003A195C" w:rsidRPr="004273E0" w:rsidRDefault="003A195C" w:rsidP="003A195C">
            <w:pPr>
              <w:jc w:val="both"/>
              <w:rPr>
                <w:rFonts w:eastAsia="Times New Roman"/>
                <w:bCs/>
                <w:lang w:val="fr-FR" w:eastAsia="rw-RW"/>
              </w:rPr>
            </w:pPr>
            <w:r w:rsidRPr="004273E0">
              <w:rPr>
                <w:rFonts w:eastAsia="Times New Roman"/>
                <w:bCs/>
                <w:lang w:val="fr-FR" w:eastAsia="rw-RW"/>
              </w:rPr>
              <w:t>Les paiements seront effectués sur la base de la production des livrables tels que mentionné dans la Section 3 – Livrables et Tranches de Paiement</w:t>
            </w:r>
            <w:r>
              <w:rPr>
                <w:rFonts w:eastAsia="Times New Roman"/>
                <w:bCs/>
                <w:lang w:val="fr-FR" w:eastAsia="rw-RW"/>
              </w:rPr>
              <w:t>.</w:t>
            </w:r>
          </w:p>
          <w:p w14:paraId="46099B54" w14:textId="77777777" w:rsidR="003A195C" w:rsidRPr="004273E0" w:rsidRDefault="003A195C" w:rsidP="003A195C">
            <w:pPr>
              <w:jc w:val="both"/>
              <w:rPr>
                <w:rFonts w:cstheme="minorHAnsi"/>
                <w:b/>
                <w:i/>
                <w:lang w:val="fr-FR"/>
              </w:rPr>
            </w:pPr>
          </w:p>
          <w:p w14:paraId="67F13CA9" w14:textId="7998BB15" w:rsidR="00443E94" w:rsidRPr="007260D6" w:rsidRDefault="003A195C" w:rsidP="003A195C">
            <w:pPr>
              <w:jc w:val="both"/>
              <w:rPr>
                <w:rFonts w:cstheme="minorHAnsi"/>
                <w:b/>
                <w:i/>
                <w:lang w:val="fr-FR"/>
              </w:rPr>
            </w:pPr>
            <w:r w:rsidRPr="004273E0">
              <w:rPr>
                <w:rFonts w:cstheme="minorHAnsi"/>
                <w:b/>
                <w:i/>
                <w:lang w:val="fr-FR"/>
              </w:rPr>
              <w:t>Seulement les candidats ayant obtenu la note minimale combinée de 70/100 à l´évaluation technique seront considérés pour l’évaluation financière.</w:t>
            </w:r>
          </w:p>
        </w:tc>
      </w:tr>
    </w:tbl>
    <w:p w14:paraId="2F261440" w14:textId="77777777" w:rsidR="00AF4A69" w:rsidRPr="00BD7CD8" w:rsidRDefault="00AF4A69" w:rsidP="00C3053C">
      <w:pPr>
        <w:rPr>
          <w:rFonts w:cstheme="minorHAnsi"/>
          <w:b/>
          <w:lang w:val="fr-FR"/>
        </w:rPr>
      </w:pPr>
    </w:p>
    <w:p w14:paraId="4A14E738" w14:textId="1635D0D6" w:rsidR="00C3053C" w:rsidRPr="007260D6" w:rsidRDefault="002C0148" w:rsidP="00C3053C">
      <w:pPr>
        <w:rPr>
          <w:rFonts w:cstheme="minorHAnsi"/>
          <w:b/>
          <w:lang w:val="fr-FR"/>
        </w:rPr>
      </w:pPr>
      <w:r>
        <w:rPr>
          <w:rFonts w:cstheme="minorHAnsi"/>
          <w:b/>
        </w:rPr>
        <w:t>7</w:t>
      </w:r>
      <w:r w:rsidR="00C3053C" w:rsidRPr="007260D6">
        <w:rPr>
          <w:rFonts w:cstheme="minorHAnsi"/>
          <w:b/>
        </w:rPr>
        <w:t xml:space="preserve">. </w:t>
      </w:r>
      <w:r w:rsidR="00C3053C" w:rsidRPr="007260D6">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350"/>
      </w:tblGrid>
      <w:tr w:rsidR="00C3053C" w:rsidRPr="00EC386A" w14:paraId="42896A12" w14:textId="77777777" w:rsidTr="003A195C">
        <w:trPr>
          <w:trHeight w:val="2006"/>
        </w:trPr>
        <w:tc>
          <w:tcPr>
            <w:tcW w:w="9576" w:type="dxa"/>
          </w:tcPr>
          <w:p w14:paraId="1EF7382C" w14:textId="77777777" w:rsidR="00C3053C" w:rsidRPr="007260D6" w:rsidRDefault="00C3053C" w:rsidP="00C3053C">
            <w:pPr>
              <w:rPr>
                <w:rFonts w:cstheme="minorHAnsi"/>
                <w:lang w:val="fr-FR"/>
              </w:rPr>
            </w:pPr>
            <w:r w:rsidRPr="007260D6">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D32A7E2" w14:textId="77777777" w:rsidR="00C3053C" w:rsidRPr="007260D6" w:rsidRDefault="00C3053C" w:rsidP="00C3053C">
            <w:pPr>
              <w:rPr>
                <w:rFonts w:cstheme="minorHAnsi"/>
                <w:lang w:val="fr-FR"/>
              </w:rPr>
            </w:pPr>
          </w:p>
          <w:p w14:paraId="6B5F4FE8" w14:textId="77777777" w:rsidR="00C3053C" w:rsidRPr="007260D6" w:rsidRDefault="00C3053C" w:rsidP="00DC6C23">
            <w:pPr>
              <w:rPr>
                <w:rFonts w:cstheme="minorHAnsi"/>
                <w:lang w:val="fr-FR"/>
              </w:rPr>
            </w:pPr>
            <w:r w:rsidRPr="007260D6">
              <w:rPr>
                <w:rFonts w:cstheme="minorHAnsi"/>
                <w:lang w:val="fr-FR"/>
              </w:rPr>
              <w:t xml:space="preserve">Le consultant retenu devra prendre toutes les dispositions nécessaires pour faire les </w:t>
            </w:r>
            <w:r w:rsidRPr="007260D6">
              <w:rPr>
                <w:rFonts w:cstheme="minorHAnsi"/>
                <w:b/>
                <w:lang w:val="fr-FR"/>
              </w:rPr>
              <w:t xml:space="preserve">formations sécuritaires requises </w:t>
            </w:r>
            <w:r w:rsidRPr="007260D6">
              <w:rPr>
                <w:rFonts w:cstheme="minorHAnsi"/>
                <w:lang w:val="fr-FR"/>
              </w:rPr>
              <w:t>avant tout démarrage de mission (ces certificats sont obtenus en ligne, le PNUD fournira tous les détails au consultant retenu au moment de l´attribution du contrat).</w:t>
            </w:r>
          </w:p>
        </w:tc>
      </w:tr>
    </w:tbl>
    <w:p w14:paraId="143820B2" w14:textId="77777777" w:rsidR="00AF4A69" w:rsidRDefault="00AF4A69" w:rsidP="00A24134">
      <w:pPr>
        <w:rPr>
          <w:rFonts w:cstheme="minorHAnsi"/>
          <w:b/>
          <w:lang w:val="fr-FR"/>
        </w:rPr>
      </w:pPr>
    </w:p>
    <w:p w14:paraId="7D25DA8C" w14:textId="4E50FE49" w:rsidR="00103276" w:rsidRPr="007260D6" w:rsidRDefault="0082245E" w:rsidP="00A24134">
      <w:pPr>
        <w:rPr>
          <w:rFonts w:cstheme="minorHAnsi"/>
          <w:b/>
          <w:lang w:val="fr-FR"/>
        </w:rPr>
      </w:pPr>
      <w:r w:rsidRPr="007260D6">
        <w:rPr>
          <w:rFonts w:cstheme="minorHAnsi"/>
          <w:b/>
          <w:lang w:val="fr-FR"/>
        </w:rPr>
        <w:t>ANNEX</w:t>
      </w:r>
      <w:r w:rsidR="003A195C">
        <w:rPr>
          <w:rFonts w:cstheme="minorHAnsi"/>
          <w:b/>
          <w:lang w:val="fr-FR"/>
        </w:rPr>
        <w:t>E</w:t>
      </w:r>
      <w:r w:rsidRPr="007260D6">
        <w:rPr>
          <w:rFonts w:cstheme="minorHAnsi"/>
          <w:b/>
          <w:lang w:val="fr-FR"/>
        </w:rPr>
        <w:t xml:space="preserve"> 1</w:t>
      </w:r>
      <w:r w:rsidR="00167362" w:rsidRPr="007260D6">
        <w:rPr>
          <w:rFonts w:cstheme="minorHAnsi"/>
          <w:b/>
          <w:lang w:val="fr-FR"/>
        </w:rPr>
        <w:t xml:space="preserve"> – Termes et Conditions des contrats IC (</w:t>
      </w:r>
      <w:proofErr w:type="spellStart"/>
      <w:r w:rsidR="00167362" w:rsidRPr="007260D6">
        <w:rPr>
          <w:rFonts w:cstheme="minorHAnsi"/>
          <w:b/>
          <w:lang w:val="fr-FR"/>
        </w:rPr>
        <w:t>Individual</w:t>
      </w:r>
      <w:proofErr w:type="spellEnd"/>
      <w:r w:rsidR="00167362" w:rsidRPr="007260D6">
        <w:rPr>
          <w:rFonts w:cstheme="minorHAnsi"/>
          <w:b/>
          <w:lang w:val="fr-FR"/>
        </w:rPr>
        <w:t xml:space="preserve"> </w:t>
      </w:r>
      <w:proofErr w:type="spellStart"/>
      <w:r w:rsidR="00167362" w:rsidRPr="007260D6">
        <w:rPr>
          <w:rFonts w:cstheme="minorHAnsi"/>
          <w:b/>
          <w:lang w:val="fr-FR"/>
        </w:rPr>
        <w:t>Contracts</w:t>
      </w:r>
      <w:proofErr w:type="spellEnd"/>
      <w:r w:rsidR="00167362" w:rsidRPr="007260D6">
        <w:rPr>
          <w:rFonts w:cstheme="minorHAnsi"/>
          <w:b/>
          <w:lang w:val="fr-FR"/>
        </w:rPr>
        <w:t>)</w:t>
      </w:r>
    </w:p>
    <w:bookmarkStart w:id="10" w:name="_MON_1440321617"/>
    <w:bookmarkEnd w:id="10"/>
    <w:p w14:paraId="303E17C9" w14:textId="77777777" w:rsidR="004B1614" w:rsidRPr="007260D6" w:rsidRDefault="00A24A6D" w:rsidP="00A24134">
      <w:pPr>
        <w:rPr>
          <w:rFonts w:cstheme="minorHAnsi"/>
          <w:b/>
          <w:lang w:val="fr-FR"/>
        </w:rPr>
      </w:pPr>
      <w:r w:rsidRPr="007260D6">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75pt;height:50.25pt;mso-width-percent:0;mso-height-percent:0;mso-width-percent:0;mso-height-percent:0" o:ole="">
            <v:imagedata r:id="rId13" o:title=""/>
          </v:shape>
          <o:OLEObject Type="Embed" ProgID="Word.Document.12" ShapeID="_x0000_i1025" DrawAspect="Icon" ObjectID="_1667120430" r:id="rId14">
            <o:FieldCodes>\s</o:FieldCodes>
          </o:OLEObject>
        </w:object>
      </w:r>
    </w:p>
    <w:p w14:paraId="0EF7A4FD" w14:textId="0AE0906C" w:rsidR="003A195C" w:rsidRPr="004273E0" w:rsidRDefault="003A195C" w:rsidP="003A195C">
      <w:pPr>
        <w:rPr>
          <w:rFonts w:eastAsia="Times New Roman" w:cstheme="minorHAnsi"/>
          <w:b/>
          <w:noProof/>
          <w:lang w:val="fr-FR" w:eastAsia="rw-RW"/>
        </w:rPr>
      </w:pPr>
      <w:r w:rsidRPr="004273E0">
        <w:rPr>
          <w:rFonts w:cstheme="minorHAnsi"/>
          <w:b/>
          <w:lang w:val="fr-FR"/>
        </w:rPr>
        <w:t>ANNEX</w:t>
      </w:r>
      <w:r>
        <w:rPr>
          <w:rFonts w:cstheme="minorHAnsi"/>
          <w:b/>
          <w:lang w:val="fr-FR"/>
        </w:rPr>
        <w:t>E</w:t>
      </w:r>
      <w:r w:rsidRPr="004273E0">
        <w:rPr>
          <w:rFonts w:cstheme="minorHAnsi"/>
          <w:b/>
          <w:lang w:val="fr-FR"/>
        </w:rPr>
        <w:t xml:space="preserve"> 2 – Lettre de soumission au PNUD confirmant l´intérêt et la disponibilité du prestataire individuel (IC) pour la mission (y compris le tableau des couts)</w:t>
      </w:r>
    </w:p>
    <w:bookmarkStart w:id="11" w:name="_MON_1642487187"/>
    <w:bookmarkEnd w:id="11"/>
    <w:p w14:paraId="4D81453E" w14:textId="77777777" w:rsidR="003A195C" w:rsidRDefault="003A195C" w:rsidP="003A195C">
      <w:pPr>
        <w:rPr>
          <w:rFonts w:cstheme="minorHAnsi"/>
          <w:b/>
          <w:noProof/>
          <w:lang w:val="fr-FR"/>
        </w:rPr>
      </w:pPr>
      <w:r w:rsidRPr="004273E0">
        <w:rPr>
          <w:rFonts w:cstheme="minorHAnsi"/>
          <w:b/>
          <w:noProof/>
          <w:lang w:val="fr-FR"/>
        </w:rPr>
        <w:object w:dxaOrig="1478" w:dyaOrig="973" w14:anchorId="0ADE588C">
          <v:shape id="_x0000_i1026" type="#_x0000_t75" style="width:1in;height:50.25pt" o:ole="">
            <v:imagedata r:id="rId15" o:title=""/>
          </v:shape>
          <o:OLEObject Type="Embed" ProgID="Word.Document.12" ShapeID="_x0000_i1026" DrawAspect="Icon" ObjectID="_1667120431" r:id="rId16">
            <o:FieldCodes>\s</o:FieldCodes>
          </o:OLEObject>
        </w:object>
      </w:r>
    </w:p>
    <w:p w14:paraId="36C0255C" w14:textId="72D25A47" w:rsidR="00240981" w:rsidRPr="00C94C3F" w:rsidRDefault="00240981" w:rsidP="00C3053C">
      <w:pPr>
        <w:rPr>
          <w:rFonts w:cstheme="minorHAnsi"/>
          <w:b/>
          <w:lang w:val="fr-FR"/>
        </w:rPr>
      </w:pPr>
    </w:p>
    <w:sectPr w:rsidR="00240981" w:rsidRPr="00C94C3F" w:rsidSect="008429D1">
      <w:headerReference w:type="default" r:id="rId17"/>
      <w:footerReference w:type="default" r:id="rId18"/>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910B1" w14:textId="77777777" w:rsidR="0090251B" w:rsidRDefault="0090251B" w:rsidP="00A24134">
      <w:pPr>
        <w:spacing w:after="0" w:line="240" w:lineRule="auto"/>
      </w:pPr>
      <w:r>
        <w:separator/>
      </w:r>
    </w:p>
  </w:endnote>
  <w:endnote w:type="continuationSeparator" w:id="0">
    <w:p w14:paraId="6AA93B09" w14:textId="77777777" w:rsidR="0090251B" w:rsidRDefault="0090251B"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DB8CA" w14:textId="213BABE4" w:rsidR="003343CB" w:rsidRPr="003F640F" w:rsidRDefault="00AF4A69" w:rsidP="003F640F">
    <w:pPr>
      <w:pStyle w:val="Pieddepage"/>
    </w:pPr>
    <w:r>
      <w:rPr>
        <w:rFonts w:eastAsia="Times New Roman" w:cstheme="minorHAnsi"/>
        <w:b/>
        <w:lang w:val="fr-FR" w:eastAsia="rw-RW"/>
      </w:rPr>
      <w:t>23</w:t>
    </w:r>
    <w:r w:rsidR="00B9034E">
      <w:rPr>
        <w:rFonts w:eastAsia="Times New Roman" w:cstheme="minorHAnsi"/>
        <w:b/>
        <w:lang w:val="fr-FR" w:eastAsia="rw-RW"/>
      </w:rPr>
      <w:t>6</w:t>
    </w:r>
    <w:r w:rsidR="005F0A94" w:rsidRPr="005F0A94">
      <w:rPr>
        <w:rFonts w:eastAsia="Times New Roman" w:cstheme="minorHAnsi"/>
        <w:b/>
        <w:lang w:val="fr-FR" w:eastAsia="rw-RW"/>
      </w:rPr>
      <w:t>/IC/</w:t>
    </w:r>
    <w:r w:rsidR="005E5645">
      <w:rPr>
        <w:rFonts w:eastAsia="Times New Roman" w:cstheme="minorHAnsi"/>
        <w:b/>
        <w:lang w:val="fr-FR" w:eastAsia="rw-RW"/>
      </w:rPr>
      <w:t>CIDD_</w:t>
    </w:r>
    <w:r>
      <w:rPr>
        <w:rFonts w:eastAsia="Times New Roman" w:cstheme="minorHAnsi"/>
        <w:b/>
        <w:lang w:val="fr-FR" w:eastAsia="rw-RW"/>
      </w:rPr>
      <w:t>MED</w:t>
    </w:r>
    <w:r w:rsidR="005F0A94" w:rsidRPr="005F0A94">
      <w:rPr>
        <w:rFonts w:eastAsia="Times New Roman" w:cstheme="minorHAnsi"/>
        <w:b/>
        <w:lang w:val="fr-FR" w:eastAsia="rw-RW"/>
      </w:rPr>
      <w:t>/2020</w:t>
    </w:r>
    <w:r w:rsidR="005A1999">
      <w:rPr>
        <w:rFonts w:eastAsia="Times New Roman" w:cstheme="minorHAnsi"/>
        <w:b/>
        <w:lang w:val="fr-FR" w:eastAsia="rw-RW"/>
      </w:rPr>
      <w: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9D597" w14:textId="77777777" w:rsidR="0090251B" w:rsidRDefault="0090251B" w:rsidP="00A24134">
      <w:pPr>
        <w:spacing w:after="0" w:line="240" w:lineRule="auto"/>
      </w:pPr>
      <w:r>
        <w:separator/>
      </w:r>
    </w:p>
  </w:footnote>
  <w:footnote w:type="continuationSeparator" w:id="0">
    <w:p w14:paraId="1B98667C" w14:textId="77777777" w:rsidR="0090251B" w:rsidRDefault="0090251B" w:rsidP="00A24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185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7C5C"/>
    <w:multiLevelType w:val="hybridMultilevel"/>
    <w:tmpl w:val="AF2E02EE"/>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
    <w:nsid w:val="071C7435"/>
    <w:multiLevelType w:val="hybridMultilevel"/>
    <w:tmpl w:val="BD96D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
    <w:nsid w:val="0EFA3D8B"/>
    <w:multiLevelType w:val="hybridMultilevel"/>
    <w:tmpl w:val="5D7CC75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F18509C"/>
    <w:multiLevelType w:val="hybridMultilevel"/>
    <w:tmpl w:val="4E9A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E02EE"/>
    <w:multiLevelType w:val="hybridMultilevel"/>
    <w:tmpl w:val="8BB2C948"/>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6856DA"/>
    <w:multiLevelType w:val="hybridMultilevel"/>
    <w:tmpl w:val="B1188D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FA2C01"/>
    <w:multiLevelType w:val="hybridMultilevel"/>
    <w:tmpl w:val="DB8063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4BC6C4A"/>
    <w:multiLevelType w:val="hybridMultilevel"/>
    <w:tmpl w:val="690687EA"/>
    <w:lvl w:ilvl="0" w:tplc="04090001">
      <w:start w:val="1"/>
      <w:numFmt w:val="bullet"/>
      <w:lvlText w:val=""/>
      <w:lvlJc w:val="left"/>
      <w:pPr>
        <w:ind w:left="622" w:hanging="360"/>
      </w:pPr>
      <w:rPr>
        <w:rFonts w:ascii="Symbol" w:hAnsi="Symbol"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1">
    <w:nsid w:val="2A111325"/>
    <w:multiLevelType w:val="hybridMultilevel"/>
    <w:tmpl w:val="690C5D3E"/>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0807E1"/>
    <w:multiLevelType w:val="hybridMultilevel"/>
    <w:tmpl w:val="B12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C122CE"/>
    <w:multiLevelType w:val="hybridMultilevel"/>
    <w:tmpl w:val="F9EC68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BB76FAD"/>
    <w:multiLevelType w:val="hybridMultilevel"/>
    <w:tmpl w:val="39549E2A"/>
    <w:lvl w:ilvl="0" w:tplc="15F824E8">
      <w:start w:val="3"/>
      <w:numFmt w:val="bullet"/>
      <w:lvlText w:val="-"/>
      <w:lvlJc w:val="left"/>
      <w:pPr>
        <w:ind w:left="1060" w:hanging="700"/>
      </w:pPr>
      <w:rPr>
        <w:rFonts w:ascii="Candara" w:eastAsiaTheme="minorEastAsia" w:hAnsi="Candar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7">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F96D57"/>
    <w:multiLevelType w:val="hybridMultilevel"/>
    <w:tmpl w:val="ED9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7A653D1"/>
    <w:multiLevelType w:val="hybridMultilevel"/>
    <w:tmpl w:val="948675B4"/>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2">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AC38DE"/>
    <w:multiLevelType w:val="hybridMultilevel"/>
    <w:tmpl w:val="8ACE86C6"/>
    <w:lvl w:ilvl="0" w:tplc="0409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EBD5650"/>
    <w:multiLevelType w:val="hybridMultilevel"/>
    <w:tmpl w:val="C9D236AC"/>
    <w:lvl w:ilvl="0" w:tplc="040C000F">
      <w:start w:val="1"/>
      <w:numFmt w:val="decimal"/>
      <w:lvlText w:val="%1."/>
      <w:lvlJc w:val="left"/>
      <w:pPr>
        <w:ind w:left="720" w:hanging="360"/>
      </w:pPr>
      <w:rPr>
        <w:rFonts w:hint="default"/>
      </w:rPr>
    </w:lvl>
    <w:lvl w:ilvl="1" w:tplc="E392F55E">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FB1302"/>
    <w:multiLevelType w:val="hybridMultilevel"/>
    <w:tmpl w:val="686A2312"/>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8">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CA4723"/>
    <w:multiLevelType w:val="hybridMultilevel"/>
    <w:tmpl w:val="74FA025A"/>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42403E"/>
    <w:multiLevelType w:val="hybridMultilevel"/>
    <w:tmpl w:val="A202D3AC"/>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1">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2">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2E168F3"/>
    <w:multiLevelType w:val="hybridMultilevel"/>
    <w:tmpl w:val="E6AE3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
  </w:num>
  <w:num w:numId="4">
    <w:abstractNumId w:val="9"/>
  </w:num>
  <w:num w:numId="5">
    <w:abstractNumId w:val="19"/>
  </w:num>
  <w:num w:numId="6">
    <w:abstractNumId w:val="5"/>
  </w:num>
  <w:num w:numId="7">
    <w:abstractNumId w:val="34"/>
  </w:num>
  <w:num w:numId="8">
    <w:abstractNumId w:val="17"/>
  </w:num>
  <w:num w:numId="9">
    <w:abstractNumId w:val="23"/>
  </w:num>
  <w:num w:numId="10">
    <w:abstractNumId w:val="12"/>
  </w:num>
  <w:num w:numId="11">
    <w:abstractNumId w:val="18"/>
  </w:num>
  <w:num w:numId="12">
    <w:abstractNumId w:val="26"/>
  </w:num>
  <w:num w:numId="13">
    <w:abstractNumId w:val="24"/>
  </w:num>
  <w:num w:numId="14">
    <w:abstractNumId w:val="33"/>
  </w:num>
  <w:num w:numId="15">
    <w:abstractNumId w:val="8"/>
  </w:num>
  <w:num w:numId="16">
    <w:abstractNumId w:val="27"/>
  </w:num>
  <w:num w:numId="17">
    <w:abstractNumId w:val="15"/>
  </w:num>
  <w:num w:numId="18">
    <w:abstractNumId w:val="13"/>
  </w:num>
  <w:num w:numId="19">
    <w:abstractNumId w:val="10"/>
  </w:num>
  <w:num w:numId="20">
    <w:abstractNumId w:val="28"/>
  </w:num>
  <w:num w:numId="21">
    <w:abstractNumId w:val="4"/>
  </w:num>
  <w:num w:numId="22">
    <w:abstractNumId w:val="31"/>
  </w:num>
  <w:num w:numId="23">
    <w:abstractNumId w:val="14"/>
  </w:num>
  <w:num w:numId="24">
    <w:abstractNumId w:val="3"/>
  </w:num>
  <w:num w:numId="25">
    <w:abstractNumId w:val="16"/>
  </w:num>
  <w:num w:numId="26">
    <w:abstractNumId w:val="7"/>
  </w:num>
  <w:num w:numId="27">
    <w:abstractNumId w:val="32"/>
  </w:num>
  <w:num w:numId="28">
    <w:abstractNumId w:val="21"/>
  </w:num>
  <w:num w:numId="29">
    <w:abstractNumId w:val="6"/>
  </w:num>
  <w:num w:numId="30">
    <w:abstractNumId w:val="25"/>
  </w:num>
  <w:num w:numId="31">
    <w:abstractNumId w:val="29"/>
  </w:num>
  <w:num w:numId="32">
    <w:abstractNumId w:val="11"/>
  </w:num>
  <w:num w:numId="33">
    <w:abstractNumId w:val="1"/>
  </w:num>
  <w:num w:numId="34">
    <w:abstractNumId w:val="30"/>
  </w:num>
  <w:num w:numId="3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3CF1"/>
    <w:rsid w:val="00005A87"/>
    <w:rsid w:val="0001012F"/>
    <w:rsid w:val="000121F0"/>
    <w:rsid w:val="0001469E"/>
    <w:rsid w:val="00023420"/>
    <w:rsid w:val="0002396D"/>
    <w:rsid w:val="000247EB"/>
    <w:rsid w:val="000440EC"/>
    <w:rsid w:val="00057DA8"/>
    <w:rsid w:val="00076BC5"/>
    <w:rsid w:val="0008283A"/>
    <w:rsid w:val="000853CD"/>
    <w:rsid w:val="00086485"/>
    <w:rsid w:val="00092DBB"/>
    <w:rsid w:val="000964DE"/>
    <w:rsid w:val="00096893"/>
    <w:rsid w:val="00097CE8"/>
    <w:rsid w:val="000A6993"/>
    <w:rsid w:val="000B254C"/>
    <w:rsid w:val="000B57AC"/>
    <w:rsid w:val="000D2201"/>
    <w:rsid w:val="000D7BD3"/>
    <w:rsid w:val="000E1EB5"/>
    <w:rsid w:val="000E2C6B"/>
    <w:rsid w:val="000E45E5"/>
    <w:rsid w:val="000E6FDF"/>
    <w:rsid w:val="000F367B"/>
    <w:rsid w:val="00103276"/>
    <w:rsid w:val="00116518"/>
    <w:rsid w:val="00121461"/>
    <w:rsid w:val="00123982"/>
    <w:rsid w:val="001262DF"/>
    <w:rsid w:val="00134850"/>
    <w:rsid w:val="00134A66"/>
    <w:rsid w:val="001354D5"/>
    <w:rsid w:val="00135961"/>
    <w:rsid w:val="001446F6"/>
    <w:rsid w:val="00144DE7"/>
    <w:rsid w:val="001473B3"/>
    <w:rsid w:val="00151CC7"/>
    <w:rsid w:val="00157D70"/>
    <w:rsid w:val="001608DE"/>
    <w:rsid w:val="00160CAC"/>
    <w:rsid w:val="00164555"/>
    <w:rsid w:val="00167362"/>
    <w:rsid w:val="00170654"/>
    <w:rsid w:val="00170915"/>
    <w:rsid w:val="00173BB8"/>
    <w:rsid w:val="00174B83"/>
    <w:rsid w:val="00180DF8"/>
    <w:rsid w:val="0018325D"/>
    <w:rsid w:val="00185026"/>
    <w:rsid w:val="001922DD"/>
    <w:rsid w:val="001922FE"/>
    <w:rsid w:val="001A0DCE"/>
    <w:rsid w:val="001A7B70"/>
    <w:rsid w:val="001C10E0"/>
    <w:rsid w:val="001C2F5F"/>
    <w:rsid w:val="001C7567"/>
    <w:rsid w:val="001D4432"/>
    <w:rsid w:val="001D6CD5"/>
    <w:rsid w:val="001E0176"/>
    <w:rsid w:val="001E22BC"/>
    <w:rsid w:val="001E30BA"/>
    <w:rsid w:val="00200AA0"/>
    <w:rsid w:val="00210248"/>
    <w:rsid w:val="0021101E"/>
    <w:rsid w:val="00213A46"/>
    <w:rsid w:val="00213D4A"/>
    <w:rsid w:val="00215236"/>
    <w:rsid w:val="00221BAA"/>
    <w:rsid w:val="002223E0"/>
    <w:rsid w:val="00240981"/>
    <w:rsid w:val="002526AF"/>
    <w:rsid w:val="002574C3"/>
    <w:rsid w:val="00270AEA"/>
    <w:rsid w:val="002778D9"/>
    <w:rsid w:val="00277E8A"/>
    <w:rsid w:val="00287F49"/>
    <w:rsid w:val="00293DAE"/>
    <w:rsid w:val="002A0E25"/>
    <w:rsid w:val="002A1486"/>
    <w:rsid w:val="002A40BE"/>
    <w:rsid w:val="002A4B23"/>
    <w:rsid w:val="002A57CC"/>
    <w:rsid w:val="002A5E51"/>
    <w:rsid w:val="002A6182"/>
    <w:rsid w:val="002A64C5"/>
    <w:rsid w:val="002A7413"/>
    <w:rsid w:val="002B0A5E"/>
    <w:rsid w:val="002B197A"/>
    <w:rsid w:val="002B3E24"/>
    <w:rsid w:val="002B60E4"/>
    <w:rsid w:val="002C0148"/>
    <w:rsid w:val="002C2C8E"/>
    <w:rsid w:val="002C745A"/>
    <w:rsid w:val="002D4965"/>
    <w:rsid w:val="002D6025"/>
    <w:rsid w:val="002E057C"/>
    <w:rsid w:val="002E6AFF"/>
    <w:rsid w:val="002F799A"/>
    <w:rsid w:val="002F7B77"/>
    <w:rsid w:val="00301ADA"/>
    <w:rsid w:val="003021DD"/>
    <w:rsid w:val="00314F51"/>
    <w:rsid w:val="00316359"/>
    <w:rsid w:val="003230F4"/>
    <w:rsid w:val="003231AD"/>
    <w:rsid w:val="00325928"/>
    <w:rsid w:val="0033218C"/>
    <w:rsid w:val="003322B0"/>
    <w:rsid w:val="00332354"/>
    <w:rsid w:val="0033411B"/>
    <w:rsid w:val="003343CB"/>
    <w:rsid w:val="00336E59"/>
    <w:rsid w:val="00336EF8"/>
    <w:rsid w:val="00343717"/>
    <w:rsid w:val="00343852"/>
    <w:rsid w:val="00343A62"/>
    <w:rsid w:val="0034697D"/>
    <w:rsid w:val="003505F2"/>
    <w:rsid w:val="00354655"/>
    <w:rsid w:val="00374D57"/>
    <w:rsid w:val="00374F58"/>
    <w:rsid w:val="003754C3"/>
    <w:rsid w:val="00376BDD"/>
    <w:rsid w:val="0037729A"/>
    <w:rsid w:val="00377996"/>
    <w:rsid w:val="0038031A"/>
    <w:rsid w:val="003812A9"/>
    <w:rsid w:val="003836C0"/>
    <w:rsid w:val="00393024"/>
    <w:rsid w:val="00394B99"/>
    <w:rsid w:val="003A195C"/>
    <w:rsid w:val="003A22D4"/>
    <w:rsid w:val="003A7D2F"/>
    <w:rsid w:val="003B0C3C"/>
    <w:rsid w:val="003B189C"/>
    <w:rsid w:val="003B1D08"/>
    <w:rsid w:val="003B21EF"/>
    <w:rsid w:val="003B29A4"/>
    <w:rsid w:val="003E5BA9"/>
    <w:rsid w:val="003F0258"/>
    <w:rsid w:val="003F640F"/>
    <w:rsid w:val="004068DF"/>
    <w:rsid w:val="004124E0"/>
    <w:rsid w:val="00414A4F"/>
    <w:rsid w:val="00431ED4"/>
    <w:rsid w:val="00432027"/>
    <w:rsid w:val="00440ECE"/>
    <w:rsid w:val="004421AF"/>
    <w:rsid w:val="00443E94"/>
    <w:rsid w:val="00445903"/>
    <w:rsid w:val="00453FF4"/>
    <w:rsid w:val="00464661"/>
    <w:rsid w:val="00473B49"/>
    <w:rsid w:val="004758AA"/>
    <w:rsid w:val="004762C8"/>
    <w:rsid w:val="0048306B"/>
    <w:rsid w:val="004830B9"/>
    <w:rsid w:val="00486A5A"/>
    <w:rsid w:val="00497F1C"/>
    <w:rsid w:val="004A2B79"/>
    <w:rsid w:val="004A59DB"/>
    <w:rsid w:val="004B0399"/>
    <w:rsid w:val="004B1614"/>
    <w:rsid w:val="004B45B4"/>
    <w:rsid w:val="004D3F24"/>
    <w:rsid w:val="004D4E60"/>
    <w:rsid w:val="004E1860"/>
    <w:rsid w:val="004E6556"/>
    <w:rsid w:val="004F4F1B"/>
    <w:rsid w:val="004F50EA"/>
    <w:rsid w:val="00503510"/>
    <w:rsid w:val="00504B1D"/>
    <w:rsid w:val="005063F9"/>
    <w:rsid w:val="005131C5"/>
    <w:rsid w:val="005141F6"/>
    <w:rsid w:val="00526069"/>
    <w:rsid w:val="005342F9"/>
    <w:rsid w:val="00540BD0"/>
    <w:rsid w:val="00550CF0"/>
    <w:rsid w:val="00550F68"/>
    <w:rsid w:val="0055219C"/>
    <w:rsid w:val="00552801"/>
    <w:rsid w:val="00557E0A"/>
    <w:rsid w:val="00557FCC"/>
    <w:rsid w:val="0056423A"/>
    <w:rsid w:val="00566D16"/>
    <w:rsid w:val="005843A0"/>
    <w:rsid w:val="00586970"/>
    <w:rsid w:val="005A1999"/>
    <w:rsid w:val="005B00D9"/>
    <w:rsid w:val="005B038A"/>
    <w:rsid w:val="005B06EA"/>
    <w:rsid w:val="005C1B66"/>
    <w:rsid w:val="005C2FEA"/>
    <w:rsid w:val="005C5B19"/>
    <w:rsid w:val="005E5645"/>
    <w:rsid w:val="005E7853"/>
    <w:rsid w:val="005F0A94"/>
    <w:rsid w:val="005F1B65"/>
    <w:rsid w:val="005F1C17"/>
    <w:rsid w:val="005F5DD8"/>
    <w:rsid w:val="005F64C1"/>
    <w:rsid w:val="00605B7A"/>
    <w:rsid w:val="006060A5"/>
    <w:rsid w:val="00615FB7"/>
    <w:rsid w:val="0061692B"/>
    <w:rsid w:val="00627043"/>
    <w:rsid w:val="0063063C"/>
    <w:rsid w:val="0063524A"/>
    <w:rsid w:val="00637859"/>
    <w:rsid w:val="00642CC7"/>
    <w:rsid w:val="0064492C"/>
    <w:rsid w:val="006503AE"/>
    <w:rsid w:val="00650FEE"/>
    <w:rsid w:val="00653D95"/>
    <w:rsid w:val="0065681E"/>
    <w:rsid w:val="0065710B"/>
    <w:rsid w:val="0066198E"/>
    <w:rsid w:val="00662312"/>
    <w:rsid w:val="00666EED"/>
    <w:rsid w:val="00671528"/>
    <w:rsid w:val="00676AD5"/>
    <w:rsid w:val="00676F6B"/>
    <w:rsid w:val="006822FB"/>
    <w:rsid w:val="00682EC3"/>
    <w:rsid w:val="0068404C"/>
    <w:rsid w:val="00684307"/>
    <w:rsid w:val="00687F7C"/>
    <w:rsid w:val="006A58C1"/>
    <w:rsid w:val="006B5946"/>
    <w:rsid w:val="006C491D"/>
    <w:rsid w:val="006C5D0B"/>
    <w:rsid w:val="006E0E23"/>
    <w:rsid w:val="006E1090"/>
    <w:rsid w:val="006E4092"/>
    <w:rsid w:val="006E4DAC"/>
    <w:rsid w:val="006F32E7"/>
    <w:rsid w:val="006F4513"/>
    <w:rsid w:val="0070241B"/>
    <w:rsid w:val="00711A47"/>
    <w:rsid w:val="00711F0F"/>
    <w:rsid w:val="00714D65"/>
    <w:rsid w:val="00717476"/>
    <w:rsid w:val="0072066E"/>
    <w:rsid w:val="007222BB"/>
    <w:rsid w:val="00724CB4"/>
    <w:rsid w:val="007260D6"/>
    <w:rsid w:val="00726A53"/>
    <w:rsid w:val="00733BAA"/>
    <w:rsid w:val="007354EA"/>
    <w:rsid w:val="00741FDD"/>
    <w:rsid w:val="0074230B"/>
    <w:rsid w:val="00746650"/>
    <w:rsid w:val="00763D8C"/>
    <w:rsid w:val="00764FD8"/>
    <w:rsid w:val="007650C2"/>
    <w:rsid w:val="007654A8"/>
    <w:rsid w:val="00765B08"/>
    <w:rsid w:val="00776FB1"/>
    <w:rsid w:val="00782936"/>
    <w:rsid w:val="007A00F5"/>
    <w:rsid w:val="007A59A5"/>
    <w:rsid w:val="007B467A"/>
    <w:rsid w:val="007B4EEB"/>
    <w:rsid w:val="007B6AE2"/>
    <w:rsid w:val="007C4235"/>
    <w:rsid w:val="007C60BB"/>
    <w:rsid w:val="007D1783"/>
    <w:rsid w:val="007D382E"/>
    <w:rsid w:val="007E26CE"/>
    <w:rsid w:val="007E3539"/>
    <w:rsid w:val="007E4F76"/>
    <w:rsid w:val="007F0FD3"/>
    <w:rsid w:val="00803E8D"/>
    <w:rsid w:val="00806135"/>
    <w:rsid w:val="00810FC3"/>
    <w:rsid w:val="00816B78"/>
    <w:rsid w:val="0081777B"/>
    <w:rsid w:val="008221DF"/>
    <w:rsid w:val="0082245E"/>
    <w:rsid w:val="008346A5"/>
    <w:rsid w:val="00834D1A"/>
    <w:rsid w:val="0083711D"/>
    <w:rsid w:val="00837F09"/>
    <w:rsid w:val="008429D1"/>
    <w:rsid w:val="00845D5B"/>
    <w:rsid w:val="00852471"/>
    <w:rsid w:val="008567E4"/>
    <w:rsid w:val="00856D05"/>
    <w:rsid w:val="008757BA"/>
    <w:rsid w:val="00875DF3"/>
    <w:rsid w:val="008800F4"/>
    <w:rsid w:val="00881645"/>
    <w:rsid w:val="00882780"/>
    <w:rsid w:val="00885D39"/>
    <w:rsid w:val="0088741C"/>
    <w:rsid w:val="008A0260"/>
    <w:rsid w:val="008A277A"/>
    <w:rsid w:val="008A4E69"/>
    <w:rsid w:val="008A6F73"/>
    <w:rsid w:val="008A74CB"/>
    <w:rsid w:val="008B33D2"/>
    <w:rsid w:val="008B4DB7"/>
    <w:rsid w:val="008B6321"/>
    <w:rsid w:val="008D024C"/>
    <w:rsid w:val="008E10A2"/>
    <w:rsid w:val="008E128B"/>
    <w:rsid w:val="008E21EC"/>
    <w:rsid w:val="008E2EA0"/>
    <w:rsid w:val="008E31C7"/>
    <w:rsid w:val="008E4FFB"/>
    <w:rsid w:val="008F0E6F"/>
    <w:rsid w:val="008F46FD"/>
    <w:rsid w:val="008F59EC"/>
    <w:rsid w:val="008F751B"/>
    <w:rsid w:val="009002C2"/>
    <w:rsid w:val="0090251B"/>
    <w:rsid w:val="00916940"/>
    <w:rsid w:val="00916E2F"/>
    <w:rsid w:val="009208E8"/>
    <w:rsid w:val="00922409"/>
    <w:rsid w:val="00922731"/>
    <w:rsid w:val="00935DF2"/>
    <w:rsid w:val="00944F40"/>
    <w:rsid w:val="0094614C"/>
    <w:rsid w:val="0094779C"/>
    <w:rsid w:val="00950C7B"/>
    <w:rsid w:val="00950F59"/>
    <w:rsid w:val="009546DB"/>
    <w:rsid w:val="0095565B"/>
    <w:rsid w:val="00961E79"/>
    <w:rsid w:val="009630B9"/>
    <w:rsid w:val="009723CE"/>
    <w:rsid w:val="00976D3C"/>
    <w:rsid w:val="00976E13"/>
    <w:rsid w:val="00977742"/>
    <w:rsid w:val="009912B9"/>
    <w:rsid w:val="00991B76"/>
    <w:rsid w:val="00991F1B"/>
    <w:rsid w:val="00993D9D"/>
    <w:rsid w:val="00993E07"/>
    <w:rsid w:val="0099678D"/>
    <w:rsid w:val="009A611D"/>
    <w:rsid w:val="009B45BD"/>
    <w:rsid w:val="009B61EA"/>
    <w:rsid w:val="009B761F"/>
    <w:rsid w:val="009C4961"/>
    <w:rsid w:val="009C7263"/>
    <w:rsid w:val="009C7D23"/>
    <w:rsid w:val="009D41A5"/>
    <w:rsid w:val="009D4722"/>
    <w:rsid w:val="009E2B22"/>
    <w:rsid w:val="009E74E7"/>
    <w:rsid w:val="009F3333"/>
    <w:rsid w:val="00A030A0"/>
    <w:rsid w:val="00A04203"/>
    <w:rsid w:val="00A04F9B"/>
    <w:rsid w:val="00A0735A"/>
    <w:rsid w:val="00A24134"/>
    <w:rsid w:val="00A24A6D"/>
    <w:rsid w:val="00A33A9F"/>
    <w:rsid w:val="00A34242"/>
    <w:rsid w:val="00A35C84"/>
    <w:rsid w:val="00A4217E"/>
    <w:rsid w:val="00A538B9"/>
    <w:rsid w:val="00A56880"/>
    <w:rsid w:val="00A62FDC"/>
    <w:rsid w:val="00A6756E"/>
    <w:rsid w:val="00A7215E"/>
    <w:rsid w:val="00A766AD"/>
    <w:rsid w:val="00A83454"/>
    <w:rsid w:val="00A84AEE"/>
    <w:rsid w:val="00A85364"/>
    <w:rsid w:val="00A90D06"/>
    <w:rsid w:val="00A91D81"/>
    <w:rsid w:val="00A932C0"/>
    <w:rsid w:val="00A9494D"/>
    <w:rsid w:val="00A97E38"/>
    <w:rsid w:val="00AA449A"/>
    <w:rsid w:val="00AA4872"/>
    <w:rsid w:val="00AA5957"/>
    <w:rsid w:val="00AA5BAE"/>
    <w:rsid w:val="00AA7114"/>
    <w:rsid w:val="00AA76B6"/>
    <w:rsid w:val="00AB24DE"/>
    <w:rsid w:val="00AB3424"/>
    <w:rsid w:val="00AB6727"/>
    <w:rsid w:val="00AB7DDE"/>
    <w:rsid w:val="00AC6EA2"/>
    <w:rsid w:val="00AC6F4C"/>
    <w:rsid w:val="00AD129C"/>
    <w:rsid w:val="00AD5158"/>
    <w:rsid w:val="00AF1B68"/>
    <w:rsid w:val="00AF28E5"/>
    <w:rsid w:val="00AF3C0C"/>
    <w:rsid w:val="00AF4A69"/>
    <w:rsid w:val="00AF6929"/>
    <w:rsid w:val="00B00EF2"/>
    <w:rsid w:val="00B060AE"/>
    <w:rsid w:val="00B138A9"/>
    <w:rsid w:val="00B21311"/>
    <w:rsid w:val="00B2445F"/>
    <w:rsid w:val="00B24D48"/>
    <w:rsid w:val="00B27593"/>
    <w:rsid w:val="00B27830"/>
    <w:rsid w:val="00B3038B"/>
    <w:rsid w:val="00B31E98"/>
    <w:rsid w:val="00B33B7F"/>
    <w:rsid w:val="00B376C7"/>
    <w:rsid w:val="00B42DD4"/>
    <w:rsid w:val="00B438A3"/>
    <w:rsid w:val="00B43A67"/>
    <w:rsid w:val="00B4412E"/>
    <w:rsid w:val="00B460B2"/>
    <w:rsid w:val="00B47624"/>
    <w:rsid w:val="00B47D9C"/>
    <w:rsid w:val="00B5352D"/>
    <w:rsid w:val="00B53585"/>
    <w:rsid w:val="00B60FD8"/>
    <w:rsid w:val="00B667C2"/>
    <w:rsid w:val="00B66CC9"/>
    <w:rsid w:val="00B703AD"/>
    <w:rsid w:val="00B7066E"/>
    <w:rsid w:val="00B85129"/>
    <w:rsid w:val="00B871A7"/>
    <w:rsid w:val="00B879BD"/>
    <w:rsid w:val="00B9034E"/>
    <w:rsid w:val="00BB4318"/>
    <w:rsid w:val="00BC623E"/>
    <w:rsid w:val="00BC64B8"/>
    <w:rsid w:val="00BD09E0"/>
    <w:rsid w:val="00BD43E5"/>
    <w:rsid w:val="00BD46D7"/>
    <w:rsid w:val="00BD7CD8"/>
    <w:rsid w:val="00BE514F"/>
    <w:rsid w:val="00BE6FC2"/>
    <w:rsid w:val="00BF32D9"/>
    <w:rsid w:val="00BF3F19"/>
    <w:rsid w:val="00BF6263"/>
    <w:rsid w:val="00C03793"/>
    <w:rsid w:val="00C05F12"/>
    <w:rsid w:val="00C13782"/>
    <w:rsid w:val="00C15FE4"/>
    <w:rsid w:val="00C22E07"/>
    <w:rsid w:val="00C2339D"/>
    <w:rsid w:val="00C3053C"/>
    <w:rsid w:val="00C40A32"/>
    <w:rsid w:val="00C528A1"/>
    <w:rsid w:val="00C564EB"/>
    <w:rsid w:val="00C615FD"/>
    <w:rsid w:val="00C62F49"/>
    <w:rsid w:val="00C64099"/>
    <w:rsid w:val="00C641FE"/>
    <w:rsid w:val="00C65EA1"/>
    <w:rsid w:val="00C73042"/>
    <w:rsid w:val="00C74855"/>
    <w:rsid w:val="00C75B64"/>
    <w:rsid w:val="00C76D0D"/>
    <w:rsid w:val="00C82325"/>
    <w:rsid w:val="00C94C3F"/>
    <w:rsid w:val="00C95583"/>
    <w:rsid w:val="00C978E6"/>
    <w:rsid w:val="00CA2CE9"/>
    <w:rsid w:val="00CB0DEA"/>
    <w:rsid w:val="00CB68B7"/>
    <w:rsid w:val="00CC1E8E"/>
    <w:rsid w:val="00CD14E5"/>
    <w:rsid w:val="00CD41C8"/>
    <w:rsid w:val="00CE691E"/>
    <w:rsid w:val="00CF1020"/>
    <w:rsid w:val="00CF522C"/>
    <w:rsid w:val="00D0095F"/>
    <w:rsid w:val="00D02344"/>
    <w:rsid w:val="00D1513C"/>
    <w:rsid w:val="00D17475"/>
    <w:rsid w:val="00D20044"/>
    <w:rsid w:val="00D2659A"/>
    <w:rsid w:val="00D4402B"/>
    <w:rsid w:val="00D50C2F"/>
    <w:rsid w:val="00D54A05"/>
    <w:rsid w:val="00D56C11"/>
    <w:rsid w:val="00D56C66"/>
    <w:rsid w:val="00D660DE"/>
    <w:rsid w:val="00D72CA7"/>
    <w:rsid w:val="00D746A9"/>
    <w:rsid w:val="00D758FB"/>
    <w:rsid w:val="00D92FCE"/>
    <w:rsid w:val="00DA646F"/>
    <w:rsid w:val="00DA6EEB"/>
    <w:rsid w:val="00DB0EB6"/>
    <w:rsid w:val="00DB13D3"/>
    <w:rsid w:val="00DB4E3B"/>
    <w:rsid w:val="00DB77DD"/>
    <w:rsid w:val="00DB7F57"/>
    <w:rsid w:val="00DC2CB2"/>
    <w:rsid w:val="00DC74D2"/>
    <w:rsid w:val="00DD3BA3"/>
    <w:rsid w:val="00DE1432"/>
    <w:rsid w:val="00DE5DA4"/>
    <w:rsid w:val="00DF1DC4"/>
    <w:rsid w:val="00DF61A0"/>
    <w:rsid w:val="00E1301D"/>
    <w:rsid w:val="00E1553B"/>
    <w:rsid w:val="00E33760"/>
    <w:rsid w:val="00E3478B"/>
    <w:rsid w:val="00E35467"/>
    <w:rsid w:val="00E41813"/>
    <w:rsid w:val="00E430E5"/>
    <w:rsid w:val="00E43E7F"/>
    <w:rsid w:val="00E44214"/>
    <w:rsid w:val="00E533DA"/>
    <w:rsid w:val="00E53AB2"/>
    <w:rsid w:val="00E54A8B"/>
    <w:rsid w:val="00E56341"/>
    <w:rsid w:val="00E57459"/>
    <w:rsid w:val="00E6390C"/>
    <w:rsid w:val="00E67628"/>
    <w:rsid w:val="00E73D68"/>
    <w:rsid w:val="00E75675"/>
    <w:rsid w:val="00E76CD1"/>
    <w:rsid w:val="00E8310E"/>
    <w:rsid w:val="00E849D6"/>
    <w:rsid w:val="00E84CA5"/>
    <w:rsid w:val="00E90323"/>
    <w:rsid w:val="00E94857"/>
    <w:rsid w:val="00E94CCB"/>
    <w:rsid w:val="00EA2186"/>
    <w:rsid w:val="00EA50D0"/>
    <w:rsid w:val="00EA697D"/>
    <w:rsid w:val="00EB1B71"/>
    <w:rsid w:val="00EB217C"/>
    <w:rsid w:val="00EC2E68"/>
    <w:rsid w:val="00EC386A"/>
    <w:rsid w:val="00ED319C"/>
    <w:rsid w:val="00ED649B"/>
    <w:rsid w:val="00ED7C12"/>
    <w:rsid w:val="00EF151F"/>
    <w:rsid w:val="00EF31F4"/>
    <w:rsid w:val="00F06319"/>
    <w:rsid w:val="00F113EE"/>
    <w:rsid w:val="00F22E57"/>
    <w:rsid w:val="00F2411C"/>
    <w:rsid w:val="00F24494"/>
    <w:rsid w:val="00F30D52"/>
    <w:rsid w:val="00F31E7E"/>
    <w:rsid w:val="00F32CF6"/>
    <w:rsid w:val="00F35A73"/>
    <w:rsid w:val="00F40EEB"/>
    <w:rsid w:val="00F4765B"/>
    <w:rsid w:val="00F54D7A"/>
    <w:rsid w:val="00F64848"/>
    <w:rsid w:val="00F65F9E"/>
    <w:rsid w:val="00F66064"/>
    <w:rsid w:val="00F662A3"/>
    <w:rsid w:val="00F75DB1"/>
    <w:rsid w:val="00F7753E"/>
    <w:rsid w:val="00F824B4"/>
    <w:rsid w:val="00F84875"/>
    <w:rsid w:val="00F9130D"/>
    <w:rsid w:val="00F918E6"/>
    <w:rsid w:val="00F92DEC"/>
    <w:rsid w:val="00F940BC"/>
    <w:rsid w:val="00FA34D0"/>
    <w:rsid w:val="00FA6913"/>
    <w:rsid w:val="00FB00F8"/>
    <w:rsid w:val="00FB0472"/>
    <w:rsid w:val="00FB2748"/>
    <w:rsid w:val="00FC096F"/>
    <w:rsid w:val="00FC2EB1"/>
    <w:rsid w:val="00FC5CF1"/>
    <w:rsid w:val="00FC6116"/>
    <w:rsid w:val="00FD5024"/>
    <w:rsid w:val="00FD63F5"/>
    <w:rsid w:val="00FE0AD6"/>
    <w:rsid w:val="00FE7440"/>
    <w:rsid w:val="00FE7C9D"/>
    <w:rsid w:val="00FF06CC"/>
    <w:rsid w:val="00FF0CD6"/>
    <w:rsid w:val="00FF1660"/>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29A"/>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UnresolvedMention">
    <w:name w:val="Unresolved Mention"/>
    <w:basedOn w:val="Policepardfaut"/>
    <w:uiPriority w:val="99"/>
    <w:semiHidden/>
    <w:unhideWhenUsed/>
    <w:rsid w:val="00C76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mission.info@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Document_Microsoft_Word2.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oumission.cd@undp.org"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Document_Microsoft_Word1.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32A53C686944FA4AE66FEA393C65D" ma:contentTypeVersion="13" ma:contentTypeDescription="Create a new document." ma:contentTypeScope="" ma:versionID="a449a1e203afaecf3d2aa3a233b52d84">
  <xsd:schema xmlns:xsd="http://www.w3.org/2001/XMLSchema" xmlns:xs="http://www.w3.org/2001/XMLSchema" xmlns:p="http://schemas.microsoft.com/office/2006/metadata/properties" xmlns:ns3="ae2b185d-a7a7-4a7e-8540-615fcb47c7dd" xmlns:ns4="3c8b5596-36d7-4b92-8132-184dbc4978b4" targetNamespace="http://schemas.microsoft.com/office/2006/metadata/properties" ma:root="true" ma:fieldsID="33f29cd56888c7c9d248043939c83578" ns3:_="" ns4:_="">
    <xsd:import namespace="ae2b185d-a7a7-4a7e-8540-615fcb47c7dd"/>
    <xsd:import namespace="3c8b5596-36d7-4b92-8132-184dbc4978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b185d-a7a7-4a7e-8540-615fcb47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b5596-36d7-4b92-8132-184dbc4978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188A-3C9A-43F8-B8BD-570760179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b185d-a7a7-4a7e-8540-615fcb47c7dd"/>
    <ds:schemaRef ds:uri="3c8b5596-36d7-4b92-8132-184dbc49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7F4419-4F20-47C8-B982-48E76966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3266</Words>
  <Characters>17967</Characters>
  <Application>Microsoft Office Word</Application>
  <DocSecurity>0</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21191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Grace H. Botey</dc:creator>
  <cp:keywords/>
  <dc:description/>
  <cp:lastModifiedBy>MCN_Jacques</cp:lastModifiedBy>
  <cp:revision>2</cp:revision>
  <cp:lastPrinted>2011-03-24T14:16:00Z</cp:lastPrinted>
  <dcterms:created xsi:type="dcterms:W3CDTF">2020-11-17T11:14:00Z</dcterms:created>
  <dcterms:modified xsi:type="dcterms:W3CDTF">2020-11-17T11:14:00Z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0x010100FF832A53C686944FA4AE66FEA393C65D</vt:lpwstr>
  </property>
  <property fmtid="{D5CDD505-2E9C-101B-9397-08002B2CF9AE}" pid="3" name="_dlc_DocIdItemGuid">
    <vt:lpwstr>74e1aabb-d21d-4391-abeb-a032a7565b67</vt:lpwstr>
  </property>
</Properties>
</file>