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762F2" w14:textId="77777777" w:rsidR="00D56C11" w:rsidRPr="007260D6" w:rsidRDefault="00D56C11" w:rsidP="007260D6">
      <w:pPr>
        <w:tabs>
          <w:tab w:val="left" w:pos="1410"/>
        </w:tabs>
        <w:spacing w:after="0" w:line="240" w:lineRule="auto"/>
        <w:jc w:val="center"/>
        <w:rPr>
          <w:rFonts w:cstheme="minorHAnsi"/>
          <w:b/>
          <w:lang w:val="fr-FR"/>
        </w:rPr>
      </w:pPr>
      <w:r w:rsidRPr="007260D6">
        <w:rPr>
          <w:rFonts w:cstheme="minorHAnsi"/>
          <w:b/>
          <w:lang w:val="fr-FR"/>
        </w:rPr>
        <w:t>NOTICE DE SELECTION</w:t>
      </w:r>
    </w:p>
    <w:p w14:paraId="782BB281" w14:textId="77777777" w:rsidR="007A00F5" w:rsidRPr="007260D6" w:rsidRDefault="007A00F5" w:rsidP="00E94CCB">
      <w:pPr>
        <w:tabs>
          <w:tab w:val="left" w:pos="1410"/>
        </w:tabs>
        <w:spacing w:after="0" w:line="240" w:lineRule="auto"/>
        <w:jc w:val="center"/>
        <w:rPr>
          <w:rFonts w:cstheme="minorHAnsi"/>
          <w:b/>
          <w:lang w:val="fr-FR"/>
        </w:rPr>
      </w:pPr>
    </w:p>
    <w:p w14:paraId="01112939" w14:textId="22F1B364" w:rsidR="00876D2A" w:rsidRDefault="00D26DF2" w:rsidP="005C61F1">
      <w:pPr>
        <w:spacing w:after="0" w:line="240" w:lineRule="auto"/>
        <w:jc w:val="center"/>
        <w:rPr>
          <w:rFonts w:eastAsia="Times New Roman" w:cstheme="minorHAnsi"/>
          <w:b/>
          <w:bCs/>
          <w:lang w:val="fr-FR"/>
        </w:rPr>
      </w:pPr>
      <w:bookmarkStart w:id="0" w:name="_Hlk48737704"/>
      <w:bookmarkStart w:id="1" w:name="_Hlk39055636"/>
      <w:r w:rsidRPr="00D26DF2">
        <w:rPr>
          <w:rFonts w:eastAsia="Times New Roman" w:cstheme="minorHAnsi"/>
          <w:b/>
          <w:bCs/>
          <w:lang w:val="fr-FR"/>
        </w:rPr>
        <w:t>Recrutement d</w:t>
      </w:r>
      <w:r w:rsidR="005563BE">
        <w:rPr>
          <w:rFonts w:eastAsia="Times New Roman" w:cstheme="minorHAnsi"/>
          <w:b/>
          <w:bCs/>
          <w:lang w:val="fr-FR"/>
        </w:rPr>
        <w:t>’un (e)</w:t>
      </w:r>
      <w:r w:rsidRPr="00D26DF2">
        <w:rPr>
          <w:rFonts w:eastAsia="Times New Roman" w:cstheme="minorHAnsi"/>
          <w:b/>
          <w:bCs/>
          <w:lang w:val="fr-FR"/>
        </w:rPr>
        <w:t xml:space="preserve"> Consultant (e)s d’expertise nationale chargé (e) s de réaliser l'état des lieux du CSM et des organes de discipline et de contrôle de conduite des acteurs de la chaine pénale. </w:t>
      </w:r>
    </w:p>
    <w:bookmarkEnd w:id="0"/>
    <w:bookmarkEnd w:id="1"/>
    <w:p w14:paraId="04279378" w14:textId="77777777" w:rsidR="00876D2A" w:rsidRDefault="00876D2A" w:rsidP="00D56C11">
      <w:pPr>
        <w:spacing w:after="0" w:line="240" w:lineRule="auto"/>
        <w:jc w:val="center"/>
        <w:rPr>
          <w:rFonts w:eastAsia="Times New Roman" w:cstheme="minorHAnsi"/>
          <w:b/>
          <w:lang w:val="fr-FR" w:eastAsia="rw-RW"/>
        </w:rPr>
      </w:pPr>
    </w:p>
    <w:p w14:paraId="6FCBAC2C" w14:textId="0FE3B371" w:rsidR="00D56C11" w:rsidRPr="007260D6" w:rsidRDefault="00D56C11" w:rsidP="00D56C11">
      <w:pPr>
        <w:spacing w:after="0" w:line="240" w:lineRule="auto"/>
        <w:jc w:val="center"/>
        <w:rPr>
          <w:rFonts w:eastAsia="Times New Roman" w:cstheme="minorHAnsi"/>
          <w:b/>
          <w:lang w:val="fr-FR" w:eastAsia="fr-FR"/>
        </w:rPr>
      </w:pPr>
      <w:r w:rsidRPr="007260D6">
        <w:rPr>
          <w:rFonts w:eastAsia="Times New Roman" w:cstheme="minorHAnsi"/>
          <w:b/>
          <w:lang w:val="fr-FR" w:eastAsia="rw-RW"/>
        </w:rPr>
        <w:t xml:space="preserve">Référence du dossier : </w:t>
      </w:r>
      <w:bookmarkStart w:id="2" w:name="_Hlk39055610"/>
      <w:r w:rsidR="00876D2A" w:rsidRPr="00876D2A">
        <w:rPr>
          <w:rFonts w:eastAsia="Times New Roman" w:cstheme="minorHAnsi"/>
          <w:b/>
          <w:lang w:val="fr-FR" w:eastAsia="rw-RW"/>
        </w:rPr>
        <w:t>09</w:t>
      </w:r>
      <w:r w:rsidR="00D26DF2">
        <w:rPr>
          <w:rFonts w:eastAsia="Times New Roman" w:cstheme="minorHAnsi"/>
          <w:b/>
          <w:lang w:val="fr-FR" w:eastAsia="rw-RW"/>
        </w:rPr>
        <w:t>5</w:t>
      </w:r>
      <w:r w:rsidR="00876D2A" w:rsidRPr="00876D2A">
        <w:rPr>
          <w:rFonts w:eastAsia="Times New Roman" w:cstheme="minorHAnsi"/>
          <w:b/>
          <w:lang w:val="fr-FR" w:eastAsia="rw-RW"/>
        </w:rPr>
        <w:t>/IC_N</w:t>
      </w:r>
      <w:r w:rsidR="00D26DF2">
        <w:rPr>
          <w:rFonts w:eastAsia="Times New Roman" w:cstheme="minorHAnsi"/>
          <w:b/>
          <w:lang w:val="fr-FR" w:eastAsia="rw-RW"/>
        </w:rPr>
        <w:t>A</w:t>
      </w:r>
      <w:r w:rsidR="00876D2A" w:rsidRPr="00876D2A">
        <w:rPr>
          <w:rFonts w:eastAsia="Times New Roman" w:cstheme="minorHAnsi"/>
          <w:b/>
          <w:lang w:val="fr-FR" w:eastAsia="rw-RW"/>
        </w:rPr>
        <w:t>T/</w:t>
      </w:r>
      <w:r w:rsidR="002A49F8">
        <w:rPr>
          <w:rFonts w:eastAsia="Times New Roman" w:cstheme="minorHAnsi"/>
          <w:b/>
          <w:lang w:val="fr-FR" w:eastAsia="rw-RW"/>
        </w:rPr>
        <w:t>JUSTICE</w:t>
      </w:r>
      <w:r w:rsidR="00876D2A" w:rsidRPr="00876D2A">
        <w:rPr>
          <w:rFonts w:eastAsia="Times New Roman" w:cstheme="minorHAnsi"/>
          <w:b/>
          <w:lang w:val="fr-FR" w:eastAsia="rw-RW"/>
        </w:rPr>
        <w:t xml:space="preserve">/2021  </w:t>
      </w:r>
      <w:r w:rsidR="005C61F1" w:rsidRPr="005C61F1">
        <w:rPr>
          <w:rFonts w:eastAsia="Times New Roman" w:cstheme="minorHAnsi"/>
          <w:b/>
          <w:lang w:val="fr-FR" w:eastAsia="rw-RW"/>
        </w:rPr>
        <w:t xml:space="preserve">  </w:t>
      </w:r>
      <w:bookmarkEnd w:id="2"/>
    </w:p>
    <w:p w14:paraId="7399166F" w14:textId="681C23F9" w:rsidR="00167362" w:rsidRPr="007C29F9" w:rsidRDefault="005C61F1" w:rsidP="005C61F1">
      <w:pPr>
        <w:spacing w:after="0" w:line="240" w:lineRule="auto"/>
        <w:jc w:val="both"/>
        <w:rPr>
          <w:rFonts w:cstheme="minorHAnsi"/>
          <w:b/>
          <w:sz w:val="28"/>
          <w:szCs w:val="28"/>
          <w:u w:val="single"/>
          <w:lang w:val="fr-FR"/>
        </w:rPr>
      </w:pPr>
      <w:r>
        <w:rPr>
          <w:rFonts w:eastAsia="Times New Roman" w:cstheme="minorHAnsi"/>
          <w:b/>
          <w:lang w:val="fr-FR" w:eastAsia="fr-FR"/>
        </w:rPr>
        <w:tab/>
      </w:r>
    </w:p>
    <w:p w14:paraId="52FE834E" w14:textId="7BC5BE63" w:rsidR="003F640F" w:rsidRPr="007260D6" w:rsidRDefault="00D56C11" w:rsidP="003F640F">
      <w:pPr>
        <w:spacing w:after="0" w:line="240" w:lineRule="auto"/>
        <w:jc w:val="right"/>
        <w:rPr>
          <w:rFonts w:eastAsia="Times New Roman" w:cstheme="minorHAnsi"/>
          <w:lang w:val="fr-FR" w:eastAsia="rw-RW"/>
        </w:rPr>
      </w:pPr>
      <w:r w:rsidRPr="007260D6">
        <w:rPr>
          <w:rFonts w:eastAsia="Times New Roman" w:cstheme="minorHAnsi"/>
          <w:lang w:val="fr-FR" w:eastAsia="rw-RW"/>
        </w:rPr>
        <w:t xml:space="preserve">Date : </w:t>
      </w:r>
      <w:r w:rsidR="00876D2A">
        <w:rPr>
          <w:rFonts w:eastAsia="Times New Roman" w:cstheme="minorHAnsi"/>
          <w:lang w:val="fr-FR" w:eastAsia="rw-RW"/>
        </w:rPr>
        <w:t>2</w:t>
      </w:r>
      <w:r w:rsidR="002A49F8">
        <w:rPr>
          <w:rFonts w:eastAsia="Times New Roman" w:cstheme="minorHAnsi"/>
          <w:lang w:val="fr-FR" w:eastAsia="rw-RW"/>
        </w:rPr>
        <w:t>7</w:t>
      </w:r>
      <w:r w:rsidRPr="007260D6">
        <w:rPr>
          <w:rFonts w:eastAsia="Times New Roman" w:cstheme="minorHAnsi"/>
          <w:lang w:val="fr-FR" w:eastAsia="rw-RW"/>
        </w:rPr>
        <w:t>/</w:t>
      </w:r>
      <w:r w:rsidR="005C61F1">
        <w:rPr>
          <w:rFonts w:eastAsia="Times New Roman" w:cstheme="minorHAnsi"/>
          <w:lang w:val="fr-FR" w:eastAsia="rw-RW"/>
        </w:rPr>
        <w:t>05</w:t>
      </w:r>
      <w:r w:rsidRPr="007260D6">
        <w:rPr>
          <w:rFonts w:eastAsia="Times New Roman" w:cstheme="minorHAnsi"/>
          <w:lang w:val="fr-FR" w:eastAsia="rw-RW"/>
        </w:rPr>
        <w:t>/20</w:t>
      </w:r>
      <w:r w:rsidR="00724CB4">
        <w:rPr>
          <w:rFonts w:eastAsia="Times New Roman" w:cstheme="minorHAnsi"/>
          <w:lang w:val="fr-FR" w:eastAsia="rw-RW"/>
        </w:rPr>
        <w:t>2</w:t>
      </w:r>
      <w:r w:rsidR="005C61F1">
        <w:rPr>
          <w:rFonts w:eastAsia="Times New Roman" w:cstheme="minorHAnsi"/>
          <w:lang w:val="fr-FR" w:eastAsia="rw-RW"/>
        </w:rPr>
        <w:t>1</w:t>
      </w:r>
    </w:p>
    <w:p w14:paraId="09001F3B" w14:textId="77777777" w:rsidR="009E2B22" w:rsidRPr="007260D6" w:rsidRDefault="00DA6EEB" w:rsidP="009E2B22">
      <w:pPr>
        <w:tabs>
          <w:tab w:val="left" w:pos="1410"/>
        </w:tabs>
        <w:rPr>
          <w:rFonts w:cstheme="minorHAnsi"/>
          <w:b/>
          <w:lang w:val="fr-FR"/>
        </w:rPr>
      </w:pPr>
      <w:r w:rsidRPr="007260D6">
        <w:rPr>
          <w:rFonts w:cstheme="minorHAnsi"/>
          <w:b/>
          <w:noProof/>
          <w:lang w:val="fr-FR" w:eastAsia="fr-FR"/>
        </w:rPr>
        <mc:AlternateContent>
          <mc:Choice Requires="wps">
            <w:drawing>
              <wp:anchor distT="0" distB="0" distL="114300" distR="114300" simplePos="0" relativeHeight="251658240" behindDoc="0" locked="0" layoutInCell="1" allowOverlap="1" wp14:anchorId="04660D39" wp14:editId="5A15EC2B">
                <wp:simplePos x="0" y="0"/>
                <wp:positionH relativeFrom="column">
                  <wp:posOffset>-9525</wp:posOffset>
                </wp:positionH>
                <wp:positionV relativeFrom="paragraph">
                  <wp:posOffset>86995</wp:posOffset>
                </wp:positionV>
                <wp:extent cx="6638925" cy="0"/>
                <wp:effectExtent l="28575" t="30480" r="28575" b="361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6CF09E" id="_x0000_t32" coordsize="21600,21600" o:spt="32" o:oned="t" path="m,l21600,21600e" filled="f">
                <v:path arrowok="t" fillok="f" o:connecttype="none"/>
                <o:lock v:ext="edit" shapetype="t"/>
              </v:shapetype>
              <v:shape id="AutoShape 3" o:spid="_x0000_s1026" type="#_x0000_t32" style="position:absolute;margin-left:-.75pt;margin-top:6.85pt;width:52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" strokecolor="blue" strokeweight="4.5pt"/>
            </w:pict>
          </mc:Fallback>
        </mc:AlternateContent>
      </w:r>
    </w:p>
    <w:p w14:paraId="64BAD061" w14:textId="6D19D1C4" w:rsidR="0065710B" w:rsidRPr="00724CB4" w:rsidRDefault="009630B9" w:rsidP="0065710B">
      <w:pPr>
        <w:tabs>
          <w:tab w:val="left" w:pos="1410"/>
        </w:tabs>
        <w:rPr>
          <w:rFonts w:cstheme="minorHAnsi"/>
          <w:lang w:val="fr-FR"/>
        </w:rPr>
      </w:pPr>
      <w:r w:rsidRPr="007260D6">
        <w:rPr>
          <w:rFonts w:cstheme="minorHAnsi"/>
          <w:b/>
          <w:lang w:val="fr-FR"/>
        </w:rPr>
        <w:t>Pays :</w:t>
      </w:r>
      <w:r w:rsidR="00FC5CF1" w:rsidRPr="007260D6">
        <w:rPr>
          <w:rFonts w:cstheme="minorHAnsi"/>
          <w:b/>
          <w:lang w:val="fr-FR"/>
        </w:rPr>
        <w:t xml:space="preserve"> </w:t>
      </w:r>
      <w:r w:rsidR="00E75675" w:rsidRPr="007260D6">
        <w:rPr>
          <w:rFonts w:cstheme="minorHAnsi"/>
          <w:lang w:val="fr-FR"/>
        </w:rPr>
        <w:t>République Démocratique du Congo</w:t>
      </w:r>
    </w:p>
    <w:p w14:paraId="3B6FE435" w14:textId="75D2D7FA" w:rsidR="008800F4" w:rsidRDefault="009630B9" w:rsidP="00803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Cs/>
          <w:lang w:val="fr-FR"/>
        </w:rPr>
      </w:pPr>
      <w:r w:rsidRPr="007260D6">
        <w:rPr>
          <w:rFonts w:cstheme="minorHAnsi"/>
          <w:b/>
          <w:lang w:val="fr-FR"/>
        </w:rPr>
        <w:t>Description de la mission</w:t>
      </w:r>
      <w:r w:rsidR="00164555" w:rsidRPr="007260D6">
        <w:rPr>
          <w:rFonts w:cstheme="minorHAnsi"/>
          <w:b/>
          <w:lang w:val="fr-FR"/>
        </w:rPr>
        <w:t xml:space="preserve"> : </w:t>
      </w:r>
      <w:r w:rsidR="00301ADA" w:rsidRPr="00301ADA">
        <w:rPr>
          <w:rFonts w:cstheme="minorHAnsi"/>
          <w:bCs/>
          <w:lang w:val="fr-FR"/>
        </w:rPr>
        <w:t xml:space="preserve">Un(e) </w:t>
      </w:r>
      <w:r w:rsidR="00876D2A" w:rsidRPr="00876D2A">
        <w:rPr>
          <w:rFonts w:cstheme="minorHAnsi"/>
          <w:bCs/>
          <w:lang w:val="fr-FR"/>
        </w:rPr>
        <w:t>Consultant (e) d’expertise nationale chargé (e) d'élaborer une stratégie intégrée de digitalisation de la chaîne pénale.</w:t>
      </w:r>
      <w:r w:rsidR="00876D2A">
        <w:rPr>
          <w:rFonts w:cstheme="minorHAnsi"/>
          <w:bCs/>
          <w:lang w:val="fr-FR"/>
        </w:rPr>
        <w:t xml:space="preserve"> </w:t>
      </w:r>
    </w:p>
    <w:p w14:paraId="058043AE" w14:textId="77777777" w:rsidR="00876D2A" w:rsidRDefault="00876D2A" w:rsidP="00803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lang w:val="fr-FR"/>
        </w:rPr>
      </w:pPr>
    </w:p>
    <w:p w14:paraId="447517BF" w14:textId="02765C98" w:rsidR="00876D2A" w:rsidRPr="00301ADA" w:rsidRDefault="00876D2A" w:rsidP="00803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bCs/>
          <w:lang w:val="fr-FR" w:eastAsia="fr-FR"/>
        </w:rPr>
      </w:pPr>
      <w:r w:rsidRPr="007260D6">
        <w:rPr>
          <w:rFonts w:cstheme="minorHAnsi"/>
          <w:b/>
          <w:lang w:val="fr-FR"/>
        </w:rPr>
        <w:t>N</w:t>
      </w:r>
      <w:r>
        <w:rPr>
          <w:rFonts w:cstheme="minorHAnsi"/>
          <w:b/>
          <w:lang w:val="fr-FR"/>
        </w:rPr>
        <w:t>ombre</w:t>
      </w:r>
      <w:r w:rsidRPr="007260D6">
        <w:rPr>
          <w:rFonts w:cstheme="minorHAnsi"/>
          <w:b/>
          <w:lang w:val="fr-FR"/>
        </w:rPr>
        <w:t xml:space="preserve"> de poste</w:t>
      </w:r>
      <w:r>
        <w:rPr>
          <w:rFonts w:cstheme="minorHAnsi"/>
          <w:b/>
          <w:lang w:val="fr-FR"/>
        </w:rPr>
        <w:t xml:space="preserve"> : </w:t>
      </w:r>
      <w:r w:rsidR="005563BE">
        <w:rPr>
          <w:rFonts w:cstheme="minorHAnsi"/>
          <w:bCs/>
          <w:lang w:val="fr-FR"/>
        </w:rPr>
        <w:t>1</w:t>
      </w:r>
    </w:p>
    <w:p w14:paraId="30E918C6" w14:textId="77777777" w:rsidR="00E3478B" w:rsidRPr="00E3478B" w:rsidRDefault="00E3478B" w:rsidP="00E3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lang w:val="fr-FR" w:eastAsia="fr-FR"/>
        </w:rPr>
      </w:pPr>
    </w:p>
    <w:p w14:paraId="6A10ABD6" w14:textId="08F05B15" w:rsidR="00D56C11" w:rsidRPr="007260D6" w:rsidRDefault="00D56C11" w:rsidP="00293DAE">
      <w:pPr>
        <w:rPr>
          <w:rFonts w:cstheme="minorHAnsi"/>
          <w:lang w:val="fr-FR"/>
        </w:rPr>
      </w:pPr>
      <w:bookmarkStart w:id="3" w:name="_Hlk72780962"/>
      <w:r w:rsidRPr="007260D6">
        <w:rPr>
          <w:rFonts w:cstheme="minorHAnsi"/>
          <w:b/>
          <w:lang w:val="fr-FR"/>
        </w:rPr>
        <w:t xml:space="preserve">Niveau de poste </w:t>
      </w:r>
      <w:bookmarkEnd w:id="3"/>
      <w:r w:rsidRPr="007260D6">
        <w:rPr>
          <w:rFonts w:cstheme="minorHAnsi"/>
          <w:b/>
          <w:lang w:val="fr-FR"/>
        </w:rPr>
        <w:t>et d’expérience :</w:t>
      </w:r>
      <w:r w:rsidRPr="007260D6">
        <w:rPr>
          <w:rFonts w:cstheme="minorHAnsi"/>
          <w:lang w:val="fr-FR"/>
        </w:rPr>
        <w:t xml:space="preserve"> </w:t>
      </w:r>
      <w:r w:rsidR="001D2541" w:rsidRPr="001D2541">
        <w:rPr>
          <w:rFonts w:cstheme="minorHAnsi"/>
          <w:lang w:val="fr-FR"/>
        </w:rPr>
        <w:t xml:space="preserve">Consultant d’expertise nationale </w:t>
      </w:r>
    </w:p>
    <w:p w14:paraId="53B0D980" w14:textId="3E89DAD2" w:rsidR="00D56C11" w:rsidRPr="00D66429" w:rsidRDefault="009630B9" w:rsidP="00D56C11">
      <w:pPr>
        <w:tabs>
          <w:tab w:val="left" w:pos="1410"/>
        </w:tabs>
        <w:rPr>
          <w:rFonts w:cstheme="minorHAnsi"/>
          <w:bCs/>
          <w:lang w:val="fr-FR"/>
        </w:rPr>
      </w:pPr>
      <w:r w:rsidRPr="007260D6">
        <w:rPr>
          <w:rFonts w:cstheme="minorHAnsi"/>
          <w:b/>
          <w:lang w:val="fr-FR"/>
        </w:rPr>
        <w:t xml:space="preserve">Durée de la </w:t>
      </w:r>
      <w:r w:rsidR="00164555" w:rsidRPr="007260D6">
        <w:rPr>
          <w:rFonts w:cstheme="minorHAnsi"/>
          <w:b/>
          <w:lang w:val="fr-FR"/>
        </w:rPr>
        <w:t xml:space="preserve">mission </w:t>
      </w:r>
      <w:r w:rsidR="00164555" w:rsidRPr="00803E8D">
        <w:rPr>
          <w:rFonts w:cstheme="minorHAnsi"/>
          <w:bCs/>
          <w:lang w:val="fr-FR"/>
        </w:rPr>
        <w:t xml:space="preserve">: </w:t>
      </w:r>
      <w:r w:rsidR="00803E8D" w:rsidRPr="00803E8D">
        <w:rPr>
          <w:rFonts w:cstheme="minorHAnsi"/>
          <w:bCs/>
          <w:lang w:val="fr-FR"/>
        </w:rPr>
        <w:t xml:space="preserve">La mission est programmée pour </w:t>
      </w:r>
      <w:r w:rsidR="00D26DF2">
        <w:rPr>
          <w:rFonts w:cstheme="minorHAnsi"/>
          <w:bCs/>
          <w:lang w:val="fr-FR"/>
        </w:rPr>
        <w:t>9</w:t>
      </w:r>
      <w:r w:rsidR="00876D2A" w:rsidRPr="00876D2A">
        <w:rPr>
          <w:rFonts w:cstheme="minorHAnsi"/>
          <w:bCs/>
          <w:lang w:val="fr-FR"/>
        </w:rPr>
        <w:t xml:space="preserve">0 jours ouvrables </w:t>
      </w:r>
      <w:r w:rsidR="00F9340D">
        <w:rPr>
          <w:rFonts w:cstheme="minorHAnsi"/>
          <w:bCs/>
          <w:lang w:val="fr-FR"/>
        </w:rPr>
        <w:t xml:space="preserve"> </w:t>
      </w:r>
    </w:p>
    <w:p w14:paraId="0D5CA887" w14:textId="2354CA36" w:rsidR="00FB00F8" w:rsidRPr="001D2541" w:rsidRDefault="00FB00F8" w:rsidP="00D56C11">
      <w:pPr>
        <w:tabs>
          <w:tab w:val="left" w:pos="1410"/>
        </w:tabs>
        <w:rPr>
          <w:rFonts w:cstheme="minorHAnsi"/>
          <w:bCs/>
          <w:lang w:val="fr-FR"/>
        </w:rPr>
      </w:pPr>
      <w:r>
        <w:rPr>
          <w:rFonts w:cstheme="minorHAnsi"/>
          <w:b/>
          <w:lang w:val="fr-FR"/>
        </w:rPr>
        <w:t>Lieu d</w:t>
      </w:r>
      <w:r w:rsidR="005230EF">
        <w:rPr>
          <w:rFonts w:cstheme="minorHAnsi"/>
          <w:b/>
          <w:lang w:val="fr-FR"/>
        </w:rPr>
        <w:t>’affectation</w:t>
      </w:r>
      <w:r>
        <w:rPr>
          <w:rFonts w:cstheme="minorHAnsi"/>
          <w:b/>
          <w:lang w:val="fr-FR"/>
        </w:rPr>
        <w:t xml:space="preserve"> : </w:t>
      </w:r>
      <w:r w:rsidR="002A2E44">
        <w:rPr>
          <w:rFonts w:cstheme="minorHAnsi"/>
          <w:b/>
          <w:lang w:val="fr-FR"/>
        </w:rPr>
        <w:t xml:space="preserve"> </w:t>
      </w:r>
      <w:r w:rsidR="002A49F8">
        <w:rPr>
          <w:rFonts w:cstheme="minorHAnsi"/>
          <w:b/>
          <w:lang w:val="fr-FR"/>
        </w:rPr>
        <w:t>Kinshasa</w:t>
      </w:r>
      <w:r w:rsidR="00876D2A" w:rsidRPr="00876D2A">
        <w:rPr>
          <w:rFonts w:cstheme="minorHAnsi"/>
          <w:bCs/>
          <w:lang w:val="fr-FR"/>
        </w:rPr>
        <w:t xml:space="preserve">, </w:t>
      </w:r>
      <w:r w:rsidR="001D2541" w:rsidRPr="00876D2A">
        <w:rPr>
          <w:rFonts w:cstheme="minorHAnsi"/>
          <w:bCs/>
          <w:lang w:val="fr-FR"/>
        </w:rPr>
        <w:t>République</w:t>
      </w:r>
      <w:r w:rsidR="001D2541" w:rsidRPr="001D2541">
        <w:rPr>
          <w:rFonts w:cstheme="minorHAnsi"/>
          <w:bCs/>
          <w:lang w:val="fr-FR"/>
        </w:rPr>
        <w:t xml:space="preserve"> Démocratique du Congo</w:t>
      </w:r>
    </w:p>
    <w:p w14:paraId="4294F1B8" w14:textId="1FE021A7" w:rsidR="00D56C11" w:rsidRPr="003A7D2F" w:rsidRDefault="00D56C11" w:rsidP="003505F2">
      <w:pPr>
        <w:spacing w:after="0" w:line="240" w:lineRule="auto"/>
        <w:jc w:val="both"/>
        <w:rPr>
          <w:rFonts w:eastAsia="Times New Roman" w:cstheme="minorHAnsi"/>
          <w:b/>
          <w:bCs/>
          <w:lang w:val="fr-FR" w:eastAsia="rw-RW"/>
        </w:rPr>
      </w:pPr>
      <w:r w:rsidRPr="003A7D2F">
        <w:rPr>
          <w:rFonts w:eastAsia="Times New Roman" w:cstheme="minorHAnsi"/>
          <w:b/>
          <w:bCs/>
          <w:lang w:val="fr-FR" w:eastAsia="rw-RW"/>
        </w:rPr>
        <w:t xml:space="preserve">Prière envoyer vos propositions (propositions technique et financière) dûment signées à l’adresse e-mail </w:t>
      </w:r>
      <w:r w:rsidR="003F640F" w:rsidRPr="003A7D2F">
        <w:rPr>
          <w:rStyle w:val="Lienhypertexte"/>
          <w:rFonts w:eastAsia="Times New Roman" w:cstheme="minorHAnsi"/>
          <w:b/>
          <w:bCs/>
          <w:lang w:val="fr-FR" w:eastAsia="rw-RW"/>
        </w:rPr>
        <w:t>ic.soumission.cd@undp.org</w:t>
      </w:r>
      <w:r w:rsidRPr="003A7D2F">
        <w:rPr>
          <w:rFonts w:eastAsia="Times New Roman" w:cstheme="minorHAnsi"/>
          <w:b/>
          <w:bCs/>
          <w:lang w:val="fr-FR" w:eastAsia="rw-RW"/>
        </w:rPr>
        <w:t xml:space="preserve"> </w:t>
      </w:r>
      <w:r w:rsidR="003A7D2F" w:rsidRPr="00E06E56">
        <w:rPr>
          <w:rFonts w:eastAsia="Times New Roman" w:cstheme="minorHAnsi"/>
          <w:b/>
          <w:bCs/>
          <w:lang w:val="fr-FR" w:eastAsia="rw-RW"/>
        </w:rPr>
        <w:t>avec mention de la référence et intitulé du dossier « </w:t>
      </w:r>
      <w:r w:rsidR="00876D2A" w:rsidRPr="00876D2A">
        <w:rPr>
          <w:rFonts w:eastAsia="Times New Roman" w:cstheme="minorHAnsi"/>
          <w:b/>
          <w:bCs/>
          <w:lang w:val="fr-FR" w:eastAsia="rw-RW"/>
        </w:rPr>
        <w:t>09</w:t>
      </w:r>
      <w:r w:rsidR="00D26DF2">
        <w:rPr>
          <w:rFonts w:eastAsia="Times New Roman" w:cstheme="minorHAnsi"/>
          <w:b/>
          <w:bCs/>
          <w:lang w:val="fr-FR" w:eastAsia="rw-RW"/>
        </w:rPr>
        <w:t>5</w:t>
      </w:r>
      <w:r w:rsidR="00876D2A" w:rsidRPr="00876D2A">
        <w:rPr>
          <w:rFonts w:eastAsia="Times New Roman" w:cstheme="minorHAnsi"/>
          <w:b/>
          <w:bCs/>
          <w:lang w:val="fr-FR" w:eastAsia="rw-RW"/>
        </w:rPr>
        <w:t>/IC_N</w:t>
      </w:r>
      <w:r w:rsidR="00D26DF2">
        <w:rPr>
          <w:rFonts w:eastAsia="Times New Roman" w:cstheme="minorHAnsi"/>
          <w:b/>
          <w:bCs/>
          <w:lang w:val="fr-FR" w:eastAsia="rw-RW"/>
        </w:rPr>
        <w:t>A</w:t>
      </w:r>
      <w:r w:rsidR="00876D2A" w:rsidRPr="00876D2A">
        <w:rPr>
          <w:rFonts w:eastAsia="Times New Roman" w:cstheme="minorHAnsi"/>
          <w:b/>
          <w:bCs/>
          <w:lang w:val="fr-FR" w:eastAsia="rw-RW"/>
        </w:rPr>
        <w:t>T/</w:t>
      </w:r>
      <w:r w:rsidR="002A49F8">
        <w:rPr>
          <w:rFonts w:eastAsia="Times New Roman" w:cstheme="minorHAnsi"/>
          <w:b/>
          <w:bCs/>
          <w:lang w:val="fr-FR" w:eastAsia="rw-RW"/>
        </w:rPr>
        <w:t>JUSTICE</w:t>
      </w:r>
      <w:r w:rsidR="00876D2A" w:rsidRPr="00876D2A">
        <w:rPr>
          <w:rFonts w:eastAsia="Times New Roman" w:cstheme="minorHAnsi"/>
          <w:b/>
          <w:bCs/>
          <w:lang w:val="fr-FR" w:eastAsia="rw-RW"/>
        </w:rPr>
        <w:t>/202</w:t>
      </w:r>
      <w:r w:rsidR="00876D2A">
        <w:rPr>
          <w:rFonts w:eastAsia="Times New Roman" w:cstheme="minorHAnsi"/>
          <w:b/>
          <w:bCs/>
          <w:lang w:val="fr-FR" w:eastAsia="rw-RW"/>
        </w:rPr>
        <w:t>1</w:t>
      </w:r>
      <w:r w:rsidR="003A7D2F">
        <w:rPr>
          <w:rFonts w:eastAsia="Times New Roman" w:cstheme="minorHAnsi"/>
          <w:b/>
          <w:bCs/>
          <w:lang w:val="fr-FR" w:eastAsia="rw-RW"/>
        </w:rPr>
        <w:t>–</w:t>
      </w:r>
      <w:r w:rsidR="003A7D2F" w:rsidRPr="00E06E56">
        <w:rPr>
          <w:rFonts w:eastAsia="Times New Roman" w:cstheme="minorHAnsi"/>
          <w:b/>
          <w:bCs/>
          <w:lang w:val="fr-FR" w:eastAsia="rw-RW"/>
        </w:rPr>
        <w:t xml:space="preserve"> </w:t>
      </w:r>
      <w:bookmarkStart w:id="4" w:name="_Hlk50698593"/>
      <w:r w:rsidR="00D26DF2" w:rsidRPr="00D26DF2">
        <w:rPr>
          <w:rFonts w:eastAsia="Times New Roman" w:cstheme="minorHAnsi"/>
          <w:b/>
          <w:bCs/>
          <w:lang w:val="fr-FR" w:eastAsia="rw-RW"/>
        </w:rPr>
        <w:t>Recrutement d</w:t>
      </w:r>
      <w:r w:rsidR="0009778F">
        <w:rPr>
          <w:rFonts w:eastAsia="Times New Roman" w:cstheme="minorHAnsi"/>
          <w:b/>
          <w:bCs/>
          <w:lang w:val="fr-FR" w:eastAsia="rw-RW"/>
        </w:rPr>
        <w:t xml:space="preserve">’un (1) </w:t>
      </w:r>
      <w:r w:rsidR="00D26DF2" w:rsidRPr="00D26DF2">
        <w:rPr>
          <w:rFonts w:eastAsia="Times New Roman" w:cstheme="minorHAnsi"/>
          <w:b/>
          <w:bCs/>
          <w:lang w:val="fr-FR" w:eastAsia="rw-RW"/>
        </w:rPr>
        <w:t>Consultant (e) d’expertise nationale chargé (e) s de réaliser l'état des lieux du CSM et des organes de discipline et de contrôle de conduite des acteurs de la chaine pénale</w:t>
      </w:r>
      <w:r w:rsidR="00D26DF2" w:rsidRPr="005C61F1">
        <w:rPr>
          <w:rFonts w:eastAsia="Times New Roman" w:cstheme="minorHAnsi"/>
          <w:b/>
          <w:bCs/>
          <w:lang w:val="fr-FR" w:eastAsia="rw-RW"/>
        </w:rPr>
        <w:t>.</w:t>
      </w:r>
      <w:r w:rsidR="00D26DF2">
        <w:rPr>
          <w:rFonts w:eastAsia="Times New Roman" w:cstheme="minorHAnsi"/>
          <w:b/>
          <w:bCs/>
          <w:lang w:val="fr-FR" w:eastAsia="rw-RW"/>
        </w:rPr>
        <w:t xml:space="preserve"> »</w:t>
      </w:r>
    </w:p>
    <w:bookmarkEnd w:id="4"/>
    <w:p w14:paraId="2D27CDB0" w14:textId="77777777" w:rsidR="004124E0" w:rsidRPr="00687F7C" w:rsidRDefault="004124E0" w:rsidP="00D56C11">
      <w:pPr>
        <w:spacing w:after="0" w:line="240" w:lineRule="auto"/>
        <w:jc w:val="both"/>
        <w:rPr>
          <w:rFonts w:ascii="Times New Roman" w:hAnsi="Times New Roman" w:cs="Times New Roman"/>
          <w:b/>
          <w:bCs/>
          <w:i/>
          <w:iCs/>
          <w:sz w:val="24"/>
          <w:szCs w:val="24"/>
          <w:highlight w:val="yellow"/>
          <w:u w:val="single"/>
          <w:lang w:val="fr-CD"/>
        </w:rPr>
      </w:pPr>
    </w:p>
    <w:p w14:paraId="2E9CE2E5" w14:textId="0D8C721C" w:rsidR="00C76D0D" w:rsidRDefault="00C76D0D" w:rsidP="00D56C11">
      <w:pPr>
        <w:spacing w:after="0" w:line="240" w:lineRule="auto"/>
        <w:jc w:val="both"/>
        <w:rPr>
          <w:rFonts w:ascii="Times New Roman" w:hAnsi="Times New Roman" w:cs="Times New Roman"/>
          <w:b/>
          <w:bCs/>
          <w:i/>
          <w:iCs/>
          <w:sz w:val="24"/>
          <w:szCs w:val="24"/>
          <w:u w:val="single"/>
          <w:lang w:val="fr-CD"/>
        </w:rPr>
      </w:pPr>
      <w:r w:rsidRPr="00C76D0D">
        <w:rPr>
          <w:rFonts w:ascii="Times New Roman" w:hAnsi="Times New Roman" w:cs="Times New Roman"/>
          <w:b/>
          <w:bCs/>
          <w:i/>
          <w:iCs/>
          <w:sz w:val="24"/>
          <w:szCs w:val="24"/>
          <w:highlight w:val="yellow"/>
          <w:u w:val="single"/>
          <w:lang w:val="fr-CD"/>
        </w:rPr>
        <w:t xml:space="preserve">Veuillez noter qu´il est obligatoire d´indiquer cette référence dans l´objet du message et de respecter l’adresse e-mail </w:t>
      </w:r>
      <w:hyperlink r:id="rId11" w:history="1">
        <w:r w:rsidRPr="00C76D0D">
          <w:rPr>
            <w:rStyle w:val="Lienhypertexte"/>
            <w:rFonts w:ascii="Times New Roman" w:hAnsi="Times New Roman" w:cs="Times New Roman"/>
            <w:b/>
            <w:bCs/>
            <w:i/>
            <w:iCs/>
            <w:sz w:val="24"/>
            <w:szCs w:val="24"/>
            <w:highlight w:val="yellow"/>
            <w:lang w:val="fr-CD"/>
          </w:rPr>
          <w:t>ic.soumission.cd@undp.org</w:t>
        </w:r>
      </w:hyperlink>
      <w:r w:rsidRPr="00C76D0D">
        <w:rPr>
          <w:rFonts w:ascii="Times New Roman" w:hAnsi="Times New Roman" w:cs="Times New Roman"/>
          <w:b/>
          <w:bCs/>
          <w:i/>
          <w:iCs/>
          <w:sz w:val="24"/>
          <w:szCs w:val="24"/>
          <w:highlight w:val="yellow"/>
          <w:u w:val="single"/>
          <w:lang w:val="fr-CD"/>
        </w:rPr>
        <w:t xml:space="preserve"> </w:t>
      </w:r>
      <w:r>
        <w:rPr>
          <w:rFonts w:ascii="Times New Roman" w:hAnsi="Times New Roman" w:cs="Times New Roman"/>
          <w:b/>
          <w:bCs/>
          <w:i/>
          <w:iCs/>
          <w:sz w:val="24"/>
          <w:szCs w:val="24"/>
          <w:highlight w:val="yellow"/>
          <w:u w:val="single"/>
          <w:lang w:val="fr-CD"/>
        </w:rPr>
        <w:t>pour la</w:t>
      </w:r>
      <w:r w:rsidRPr="00C76D0D">
        <w:rPr>
          <w:rFonts w:ascii="Times New Roman" w:hAnsi="Times New Roman" w:cs="Times New Roman"/>
          <w:b/>
          <w:bCs/>
          <w:i/>
          <w:iCs/>
          <w:sz w:val="24"/>
          <w:szCs w:val="24"/>
          <w:highlight w:val="yellow"/>
          <w:u w:val="single"/>
          <w:lang w:val="fr-CD"/>
        </w:rPr>
        <w:t xml:space="preserve"> soumission des offres. Les propositions transmises sans indiquer la référence correcte du dossier ni transmise à l’adresse e-mail indiquée pourraient ne pas être prises en compte</w:t>
      </w:r>
    </w:p>
    <w:p w14:paraId="267B8084" w14:textId="17C93200" w:rsidR="004124E0" w:rsidRDefault="004124E0" w:rsidP="00D56C11">
      <w:pPr>
        <w:spacing w:after="0" w:line="240" w:lineRule="auto"/>
        <w:jc w:val="both"/>
        <w:rPr>
          <w:rFonts w:cstheme="minorHAnsi"/>
          <w:b/>
          <w:lang w:val="fr-FR"/>
        </w:rPr>
      </w:pPr>
    </w:p>
    <w:p w14:paraId="670A0119" w14:textId="0258DF4F" w:rsidR="00D56C11" w:rsidRDefault="00682EC3" w:rsidP="00D56C11">
      <w:pPr>
        <w:spacing w:after="0" w:line="240" w:lineRule="auto"/>
        <w:jc w:val="both"/>
        <w:rPr>
          <w:rFonts w:cstheme="minorHAnsi"/>
          <w:b/>
          <w:lang w:val="fr-FR"/>
        </w:rPr>
      </w:pPr>
      <w:r w:rsidRPr="00682EC3">
        <w:rPr>
          <w:rFonts w:cstheme="minorHAnsi"/>
          <w:b/>
          <w:lang w:val="fr-FR"/>
        </w:rPr>
        <w:t>Votre soumission doit être rédigée en Français et assortie d’une durée de validité minimum de 120 (cent-vingt) jours.</w:t>
      </w:r>
    </w:p>
    <w:p w14:paraId="01E706E8" w14:textId="77777777" w:rsidR="00682EC3" w:rsidRPr="007260D6" w:rsidRDefault="00682EC3" w:rsidP="00D56C11">
      <w:pPr>
        <w:spacing w:after="0" w:line="240" w:lineRule="auto"/>
        <w:jc w:val="both"/>
        <w:rPr>
          <w:rFonts w:cstheme="minorHAnsi"/>
          <w:b/>
          <w:lang w:val="fr-FR"/>
        </w:rPr>
      </w:pPr>
    </w:p>
    <w:p w14:paraId="05D91372" w14:textId="68EB8333" w:rsidR="00D56C11" w:rsidRPr="00F92DEC" w:rsidRDefault="00D56C11" w:rsidP="00D56C11">
      <w:pPr>
        <w:spacing w:after="0" w:line="240" w:lineRule="auto"/>
        <w:jc w:val="both"/>
        <w:rPr>
          <w:rFonts w:cstheme="minorHAnsi"/>
          <w:b/>
          <w:u w:val="single"/>
          <w:lang w:val="fr-FR"/>
        </w:rPr>
      </w:pPr>
      <w:r w:rsidRPr="007260D6">
        <w:rPr>
          <w:rFonts w:cstheme="minorHAnsi"/>
          <w:b/>
          <w:lang w:val="fr-FR"/>
        </w:rPr>
        <w:t xml:space="preserve">Votre proposition devra être reçue au plus tard </w:t>
      </w:r>
      <w:r w:rsidR="00F9340D">
        <w:rPr>
          <w:rFonts w:cstheme="minorHAnsi"/>
          <w:b/>
          <w:highlight w:val="yellow"/>
          <w:u w:val="single"/>
          <w:lang w:val="fr-FR"/>
        </w:rPr>
        <w:t>vendre</w:t>
      </w:r>
      <w:r w:rsidR="001608DE">
        <w:rPr>
          <w:rFonts w:cstheme="minorHAnsi"/>
          <w:b/>
          <w:highlight w:val="yellow"/>
          <w:u w:val="single"/>
          <w:lang w:val="fr-FR"/>
        </w:rPr>
        <w:t>di</w:t>
      </w:r>
      <w:r w:rsidR="00803E8D">
        <w:rPr>
          <w:rFonts w:cstheme="minorHAnsi"/>
          <w:b/>
          <w:highlight w:val="yellow"/>
          <w:u w:val="single"/>
          <w:lang w:val="fr-FR"/>
        </w:rPr>
        <w:t xml:space="preserve"> </w:t>
      </w:r>
      <w:r w:rsidR="002A49F8">
        <w:rPr>
          <w:rFonts w:cstheme="minorHAnsi"/>
          <w:b/>
          <w:highlight w:val="yellow"/>
          <w:u w:val="single"/>
          <w:lang w:val="fr-FR"/>
        </w:rPr>
        <w:t>03 J</w:t>
      </w:r>
      <w:r w:rsidR="00876D2A">
        <w:rPr>
          <w:rFonts w:cstheme="minorHAnsi"/>
          <w:b/>
          <w:highlight w:val="yellow"/>
          <w:u w:val="single"/>
          <w:lang w:val="fr-FR"/>
        </w:rPr>
        <w:t>uin</w:t>
      </w:r>
      <w:r w:rsidR="00F9340D">
        <w:rPr>
          <w:rFonts w:cstheme="minorHAnsi"/>
          <w:b/>
          <w:highlight w:val="yellow"/>
          <w:u w:val="single"/>
          <w:lang w:val="fr-FR"/>
        </w:rPr>
        <w:t xml:space="preserve"> 2021</w:t>
      </w:r>
      <w:r w:rsidRPr="008F46FD">
        <w:rPr>
          <w:rFonts w:cstheme="minorHAnsi"/>
          <w:b/>
          <w:highlight w:val="yellow"/>
          <w:u w:val="single"/>
          <w:lang w:val="fr-FR"/>
        </w:rPr>
        <w:t xml:space="preserve"> à </w:t>
      </w:r>
      <w:r w:rsidR="00876D2A">
        <w:rPr>
          <w:rFonts w:cstheme="minorHAnsi"/>
          <w:b/>
          <w:highlight w:val="yellow"/>
          <w:u w:val="single"/>
          <w:lang w:val="fr-FR"/>
        </w:rPr>
        <w:t>23</w:t>
      </w:r>
      <w:r w:rsidRPr="008F46FD">
        <w:rPr>
          <w:rFonts w:cstheme="minorHAnsi"/>
          <w:b/>
          <w:highlight w:val="yellow"/>
          <w:u w:val="single"/>
          <w:lang w:val="fr-FR"/>
        </w:rPr>
        <w:t xml:space="preserve"> </w:t>
      </w:r>
      <w:r w:rsidR="00503510" w:rsidRPr="008F46FD">
        <w:rPr>
          <w:rFonts w:cstheme="minorHAnsi"/>
          <w:b/>
          <w:highlight w:val="yellow"/>
          <w:u w:val="single"/>
          <w:lang w:val="fr-FR"/>
        </w:rPr>
        <w:t>heures</w:t>
      </w:r>
      <w:r w:rsidR="00503510">
        <w:rPr>
          <w:rFonts w:cstheme="minorHAnsi"/>
          <w:b/>
          <w:highlight w:val="yellow"/>
          <w:u w:val="single"/>
          <w:lang w:val="fr-FR"/>
        </w:rPr>
        <w:t>,</w:t>
      </w:r>
      <w:r w:rsidR="008F46FD">
        <w:rPr>
          <w:rFonts w:cstheme="minorHAnsi"/>
          <w:b/>
          <w:highlight w:val="yellow"/>
          <w:u w:val="single"/>
          <w:lang w:val="fr-FR"/>
        </w:rPr>
        <w:t xml:space="preserve"> heure</w:t>
      </w:r>
      <w:r w:rsidRPr="008F46FD">
        <w:rPr>
          <w:rFonts w:cstheme="minorHAnsi"/>
          <w:b/>
          <w:highlight w:val="yellow"/>
          <w:u w:val="single"/>
          <w:lang w:val="fr-FR"/>
        </w:rPr>
        <w:t xml:space="preserve"> de </w:t>
      </w:r>
      <w:r w:rsidR="00170915" w:rsidRPr="008F46FD">
        <w:rPr>
          <w:rFonts w:cstheme="minorHAnsi"/>
          <w:b/>
          <w:highlight w:val="yellow"/>
          <w:u w:val="single"/>
          <w:lang w:val="fr-FR"/>
        </w:rPr>
        <w:t>Kinshasa</w:t>
      </w:r>
    </w:p>
    <w:p w14:paraId="73CBBD73" w14:textId="77777777" w:rsidR="002E6AFF" w:rsidRPr="007260D6" w:rsidRDefault="002E6AFF" w:rsidP="002E6AFF">
      <w:pPr>
        <w:spacing w:after="0" w:line="240" w:lineRule="auto"/>
        <w:jc w:val="both"/>
        <w:rPr>
          <w:rFonts w:cstheme="minorHAnsi"/>
          <w:b/>
          <w:lang w:val="fr-FR"/>
        </w:rPr>
      </w:pPr>
      <w:r w:rsidRPr="007260D6">
        <w:rPr>
          <w:rStyle w:val="lev"/>
          <w:rFonts w:cstheme="minorHAnsi"/>
          <w:lang w:val="fr-FR"/>
        </w:rPr>
        <w:t>Toute offre soumise après ce délai sera automatiquement rejetée.</w:t>
      </w:r>
    </w:p>
    <w:p w14:paraId="597FD8A4" w14:textId="77777777" w:rsidR="004124E0" w:rsidRPr="007260D6" w:rsidRDefault="004124E0" w:rsidP="00D56C11">
      <w:pPr>
        <w:spacing w:after="0" w:line="240" w:lineRule="auto"/>
        <w:jc w:val="both"/>
        <w:rPr>
          <w:rFonts w:cstheme="minorHAnsi"/>
          <w:lang w:val="fr-FR"/>
        </w:rPr>
      </w:pPr>
    </w:p>
    <w:p w14:paraId="4881D92D" w14:textId="77777777" w:rsidR="00D56C11" w:rsidRPr="007260D6" w:rsidRDefault="00D56C11" w:rsidP="00D56C11">
      <w:pPr>
        <w:pStyle w:val="Retraitcorpsdetexte"/>
        <w:ind w:left="0"/>
        <w:jc w:val="both"/>
        <w:rPr>
          <w:rFonts w:asciiTheme="minorHAnsi" w:hAnsiTheme="minorHAnsi" w:cstheme="minorHAnsi"/>
          <w:sz w:val="22"/>
          <w:szCs w:val="22"/>
        </w:rPr>
      </w:pPr>
      <w:r w:rsidRPr="007260D6">
        <w:rPr>
          <w:rFonts w:asciiTheme="minorHAnsi" w:hAnsiTheme="minorHAnsi" w:cstheme="minorHAnsi"/>
          <w:sz w:val="22"/>
          <w:szCs w:val="22"/>
        </w:rPr>
        <w:t xml:space="preserve">N’hésitez pas à écrire à l’adresse </w:t>
      </w:r>
      <w:hyperlink r:id="rId12" w:history="1">
        <w:r w:rsidR="004B1614" w:rsidRPr="007260D6">
          <w:rPr>
            <w:rStyle w:val="Lienhypertexte"/>
            <w:rFonts w:asciiTheme="minorHAnsi" w:hAnsiTheme="minorHAnsi" w:cstheme="minorHAnsi"/>
            <w:sz w:val="22"/>
            <w:szCs w:val="22"/>
          </w:rPr>
          <w:t>soumission.info@undp.org</w:t>
        </w:r>
      </w:hyperlink>
      <w:r w:rsidRPr="007260D6">
        <w:rPr>
          <w:rFonts w:asciiTheme="minorHAnsi" w:hAnsiTheme="minorHAnsi" w:cstheme="minorHAnsi"/>
          <w:sz w:val="22"/>
          <w:szCs w:val="22"/>
        </w:rPr>
        <w:t xml:space="preserve"> pour toute information complémentaire avant la date limite de dépôt des offres. </w:t>
      </w:r>
    </w:p>
    <w:p w14:paraId="1E7AB95A" w14:textId="3A2A301A" w:rsidR="001262DF" w:rsidRPr="001262DF" w:rsidRDefault="001262DF" w:rsidP="00D56C11">
      <w:pPr>
        <w:spacing w:after="0" w:line="240" w:lineRule="auto"/>
        <w:jc w:val="both"/>
        <w:rPr>
          <w:rFonts w:cstheme="minorHAnsi"/>
          <w:b/>
          <w:color w:val="0000FF"/>
          <w:sz w:val="40"/>
          <w:szCs w:val="40"/>
          <w:u w:val="single"/>
          <w:lang w:val="fr-FR"/>
        </w:rPr>
      </w:pPr>
      <w:r w:rsidRPr="001262DF">
        <w:rPr>
          <w:rFonts w:cstheme="minorHAnsi"/>
          <w:b/>
          <w:color w:val="0000FF"/>
          <w:sz w:val="40"/>
          <w:szCs w:val="40"/>
          <w:u w:val="single"/>
          <w:lang w:val="fr-FR"/>
        </w:rPr>
        <w:t>Les candidatures féminines sont vivement encouragées</w:t>
      </w:r>
    </w:p>
    <w:p w14:paraId="05687D1A" w14:textId="7A2A94B6" w:rsidR="009E2B22" w:rsidRPr="007260D6" w:rsidRDefault="00DA6EEB" w:rsidP="009E2B22">
      <w:pPr>
        <w:tabs>
          <w:tab w:val="left" w:pos="1410"/>
        </w:tabs>
        <w:rPr>
          <w:rFonts w:cstheme="minorHAnsi"/>
          <w:lang w:val="fr-FR"/>
        </w:rPr>
      </w:pPr>
      <w:r w:rsidRPr="007260D6">
        <w:rPr>
          <w:rFonts w:cstheme="minorHAnsi"/>
          <w:noProof/>
          <w:lang w:val="fr-FR" w:eastAsia="fr-FR"/>
        </w:rPr>
        <mc:AlternateContent>
          <mc:Choice Requires="wps">
            <w:drawing>
              <wp:anchor distT="0" distB="0" distL="114300" distR="114300" simplePos="0" relativeHeight="251659264" behindDoc="0" locked="0" layoutInCell="1" allowOverlap="1" wp14:anchorId="16120AC3" wp14:editId="4D3385D9">
                <wp:simplePos x="0" y="0"/>
                <wp:positionH relativeFrom="column">
                  <wp:posOffset>-9525</wp:posOffset>
                </wp:positionH>
                <wp:positionV relativeFrom="paragraph">
                  <wp:posOffset>108585</wp:posOffset>
                </wp:positionV>
                <wp:extent cx="6638925" cy="0"/>
                <wp:effectExtent l="28575" t="31115" r="28575" b="355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66203" id="AutoShape 4" o:spid="_x0000_s1026" type="#_x0000_t32" style="position:absolute;margin-left:-.75pt;margin-top:8.55pt;width:52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" strokecolor="blue" strokeweight="4.5pt"/>
            </w:pict>
          </mc:Fallback>
        </mc:AlternateContent>
      </w:r>
    </w:p>
    <w:p w14:paraId="13E55A30" w14:textId="77777777" w:rsidR="004068DF" w:rsidRPr="00B060AE" w:rsidRDefault="004068DF" w:rsidP="009E2B22">
      <w:pPr>
        <w:tabs>
          <w:tab w:val="left" w:pos="1410"/>
        </w:tabs>
        <w:rPr>
          <w:rFonts w:cstheme="minorHAnsi"/>
          <w:b/>
          <w:u w:val="single"/>
          <w:lang w:val="fr-CD"/>
        </w:rPr>
      </w:pPr>
    </w:p>
    <w:p w14:paraId="1493FC61" w14:textId="7BAE8D56" w:rsidR="009E2B22" w:rsidRPr="003A7D2F" w:rsidRDefault="009E2B22" w:rsidP="009E2B22">
      <w:pPr>
        <w:tabs>
          <w:tab w:val="left" w:pos="1410"/>
        </w:tabs>
        <w:rPr>
          <w:rFonts w:cstheme="minorHAnsi"/>
          <w:b/>
          <w:u w:val="single"/>
          <w:lang w:val="fr-FR"/>
        </w:rPr>
      </w:pPr>
      <w:r w:rsidRPr="003A7D2F">
        <w:rPr>
          <w:rFonts w:cstheme="minorHAnsi"/>
          <w:b/>
          <w:u w:val="single"/>
          <w:lang w:val="fr-FR"/>
        </w:rPr>
        <w:t xml:space="preserve">1. </w:t>
      </w:r>
      <w:r w:rsidR="00213A46" w:rsidRPr="003A7D2F">
        <w:rPr>
          <w:rFonts w:cstheme="minorHAnsi"/>
          <w:b/>
          <w:u w:val="single"/>
          <w:lang w:val="fr-FR"/>
        </w:rPr>
        <w:t xml:space="preserve">Contexte </w:t>
      </w:r>
      <w:r w:rsidR="00C5504F">
        <w:rPr>
          <w:rFonts w:cstheme="minorHAnsi"/>
          <w:b/>
          <w:u w:val="single"/>
          <w:lang w:val="fr-FR"/>
        </w:rPr>
        <w:t>et justification</w:t>
      </w:r>
    </w:p>
    <w:tbl>
      <w:tblPr>
        <w:tblStyle w:val="Grilledutableau"/>
        <w:tblW w:w="0" w:type="auto"/>
        <w:tblLook w:val="04A0" w:firstRow="1" w:lastRow="0" w:firstColumn="1" w:lastColumn="0" w:noHBand="0" w:noVBand="1"/>
      </w:tblPr>
      <w:tblGrid>
        <w:gridCol w:w="9350"/>
      </w:tblGrid>
      <w:tr w:rsidR="002A57CC" w:rsidRPr="00D66429" w14:paraId="60EECF8A" w14:textId="77777777" w:rsidTr="00174B83">
        <w:tc>
          <w:tcPr>
            <w:tcW w:w="9350" w:type="dxa"/>
          </w:tcPr>
          <w:p w14:paraId="1AD585DD" w14:textId="77777777" w:rsidR="00AE66AE" w:rsidRDefault="00AE66AE" w:rsidP="001608DE">
            <w:pPr>
              <w:jc w:val="both"/>
              <w:rPr>
                <w:rFonts w:ascii="Times New Roman" w:hAnsi="Times New Roman"/>
                <w:bCs/>
                <w:color w:val="000000" w:themeColor="text1"/>
                <w:lang w:val="fr-FR"/>
              </w:rPr>
            </w:pPr>
          </w:p>
          <w:p w14:paraId="40DA4D10" w14:textId="77777777" w:rsidR="00D26DF2" w:rsidRP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t>La Constitution du 18 février 2006 érige la République Démocratique du Congo (RDC) en un Etat de droit, respectueux des droits de l’homme tant civils que politiques, économiques, sociaux, culturels et catégoriels. Elle prévoit une restructuration de l'ensemble du système judiciaire à travers : la création de deux ordres de juridictions (judiciaires et administratifs) et d’une Cour Constitutionnelle ;  l'inclusion des juridictions militaires dans l’ordre judiciaire, sous la supervision de la Cour de Cassation ; l'affirmation du principe de l’indépendance de la magistrature confortée par la consécration de l’inamovibilité des juges, qui trouve son expression dans le statut des magistrats et par l’institution du Conseil Supérieur de la Magistrature (CSM), ce dernier devenant l’organe de gestion du pouvoir judiciaire (gestion de la carrière des magistrats, leur formation professionnelle et l’élaboration des budgets de l’institution judiciaire) ; la compétence concurrente entre le pouvoir central et les provinces, notamment en ce qui concerne l’administration des cours et tribunaux, des maisons d’arrêt et de correction ainsi que des prisons .</w:t>
            </w:r>
          </w:p>
          <w:p w14:paraId="11CB2F10" w14:textId="77777777" w:rsidR="00D26DF2" w:rsidRP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t xml:space="preserve">Pour concrétiser cet idéal, il est nécessaire de consolider une justice de qualité pour tous, indépendante, performante et protectrice des droits humains et, partant, rassurante. Par ailleurs, si l’indépendance du pouvoir judiciaire est largement consacrée tant par la Constitution que par les engagements internationaux de la RDC et les lois subséquentes ainsi que l’existence d’un CSM rénové, force est de constater que, dans la pratique, elle continue à se heurter à quelques obstacles. La faiblesse de la dotation budgétaire allouée au pouvoir judiciaire, les ingérences supposées ou réelles de l’exécutif dans l’administration de la justice, les faiblesses organisationnelles du CSM, l’impunité de certains magistrats corrompus ou auteurs d’autres infractions, la faible redevabilité de quelques acteurs judiciaires et les conditions de travail pour le moins inadéquates de ceux-ci constituent autant de contraintes pesant sur l’indépendance du pouvoir judiciaire en RDC. </w:t>
            </w:r>
          </w:p>
          <w:p w14:paraId="3AD940E5" w14:textId="77777777" w:rsidR="00D26DF2" w:rsidRP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t>Ainsi, pour rendre effectifs les mécanismes existants et prévus par le législateur il est primordial de renforcer les capacités du CSM qui est le garant du pouvoir judiciaire, de faire un plaidoyer de haut niveau en faveur de l’augmentation des budgets suffisants pour mener une réelle réforme de la justice tout en renforçant la redevabilité des magistrats.</w:t>
            </w:r>
          </w:p>
          <w:p w14:paraId="3B9B60FE" w14:textId="77777777" w:rsidR="00D26DF2" w:rsidRP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t xml:space="preserve">C’est dans cette perspective que le Système des Nations Unies (SNU), à travers le Programme conjoint des Nations Unies d’appui à la réforme de la justice, propose de mettre en place une équipe de consultant chargé </w:t>
            </w:r>
            <w:proofErr w:type="gramStart"/>
            <w:r w:rsidRPr="00D26DF2">
              <w:rPr>
                <w:rFonts w:ascii="Times New Roman" w:hAnsi="Times New Roman"/>
                <w:bCs/>
                <w:color w:val="000000" w:themeColor="text1"/>
                <w:lang w:val="fr-FR"/>
              </w:rPr>
              <w:t>de  réaliser</w:t>
            </w:r>
            <w:proofErr w:type="gramEnd"/>
            <w:r w:rsidRPr="00D26DF2">
              <w:rPr>
                <w:rFonts w:ascii="Times New Roman" w:hAnsi="Times New Roman"/>
                <w:bCs/>
                <w:color w:val="000000" w:themeColor="text1"/>
                <w:lang w:val="fr-FR"/>
              </w:rPr>
              <w:t xml:space="preserve"> l'état des lieux du CSM  et des chambres provinciales et nationales de  discipline  assortis des plans de renforcement des capacités institutionnelles, organisationnelles et individuelles.</w:t>
            </w:r>
          </w:p>
          <w:p w14:paraId="52E4B4E8" w14:textId="77777777" w:rsidR="00D26DF2" w:rsidRP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t>II.</w:t>
            </w:r>
            <w:r w:rsidRPr="00D26DF2">
              <w:rPr>
                <w:rFonts w:ascii="Times New Roman" w:hAnsi="Times New Roman"/>
                <w:bCs/>
                <w:color w:val="000000" w:themeColor="text1"/>
                <w:lang w:val="fr-FR"/>
              </w:rPr>
              <w:tab/>
              <w:t>Objectifs de la mission</w:t>
            </w:r>
          </w:p>
          <w:p w14:paraId="2AFD10CF" w14:textId="77777777" w:rsidR="00D26DF2" w:rsidRP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t>-</w:t>
            </w:r>
            <w:r w:rsidRPr="00D26DF2">
              <w:rPr>
                <w:rFonts w:ascii="Times New Roman" w:hAnsi="Times New Roman"/>
                <w:bCs/>
                <w:color w:val="000000" w:themeColor="text1"/>
                <w:lang w:val="fr-FR"/>
              </w:rPr>
              <w:tab/>
              <w:t>Objectif global.</w:t>
            </w:r>
          </w:p>
          <w:p w14:paraId="497A9796" w14:textId="77777777" w:rsidR="00D26DF2" w:rsidRP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t>L’objectif principal de la mission est de contribuer au renforcement de l’Etat de droit en République Démocratique du Congo à travers un appui à la mise en œuvre de la Politique Nationale de Réforme de la Justice (PNRJ)et de son Plan d’Actions Prioritaires (PAP).</w:t>
            </w:r>
          </w:p>
          <w:p w14:paraId="7F162CC8" w14:textId="77777777" w:rsidR="00D26DF2" w:rsidRP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t>-</w:t>
            </w:r>
            <w:r w:rsidRPr="00D26DF2">
              <w:rPr>
                <w:rFonts w:ascii="Times New Roman" w:hAnsi="Times New Roman"/>
                <w:bCs/>
                <w:color w:val="000000" w:themeColor="text1"/>
                <w:lang w:val="fr-FR"/>
              </w:rPr>
              <w:tab/>
              <w:t xml:space="preserve">Objectif spécifique. </w:t>
            </w:r>
          </w:p>
          <w:p w14:paraId="10C0E5F3" w14:textId="77777777" w:rsidR="00D26DF2" w:rsidRP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t>L’objectif spécifique de la mission est d’appuyer le CSM à réaliser son mandat de gestion du pouvoir judiciaire. La mission veillera particulièrement à appuyer le CSM dans deux domaines prioritaires issus du Plan d’Actions Prioritaires de la Politique Nationale de Réforme de la Justice, du Plan de modernisation et de la feuille de route du pouvoir judiciaire :</w:t>
            </w:r>
          </w:p>
          <w:p w14:paraId="53426754" w14:textId="77777777" w:rsidR="00D26DF2" w:rsidRP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t>•</w:t>
            </w:r>
            <w:r w:rsidRPr="00D26DF2">
              <w:rPr>
                <w:rFonts w:ascii="Times New Roman" w:hAnsi="Times New Roman"/>
                <w:bCs/>
                <w:color w:val="000000" w:themeColor="text1"/>
                <w:lang w:val="fr-FR"/>
              </w:rPr>
              <w:tab/>
              <w:t>Renforcement de la gestion du budget du pouvoir judiciaire pour améliorer le pilotage et la mise en œuvre de la réforme de la justice ;</w:t>
            </w:r>
          </w:p>
          <w:p w14:paraId="3582E95E" w14:textId="77777777" w:rsidR="00D26DF2" w:rsidRP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t>•</w:t>
            </w:r>
            <w:r w:rsidRPr="00D26DF2">
              <w:rPr>
                <w:rFonts w:ascii="Times New Roman" w:hAnsi="Times New Roman"/>
                <w:bCs/>
                <w:color w:val="000000" w:themeColor="text1"/>
                <w:lang w:val="fr-FR"/>
              </w:rPr>
              <w:tab/>
              <w:t>Renforcement des organes internes de discipline et de contrôle de conduite des acteurs de la chaine pénale pour améliorer la redevabilité et la performance des magistrats.</w:t>
            </w:r>
          </w:p>
          <w:p w14:paraId="7A3F8B8B" w14:textId="77777777" w:rsidR="00D26DF2" w:rsidRPr="00D26DF2" w:rsidRDefault="00D26DF2" w:rsidP="00D26DF2">
            <w:pPr>
              <w:jc w:val="both"/>
              <w:rPr>
                <w:rFonts w:ascii="Times New Roman" w:hAnsi="Times New Roman"/>
                <w:bCs/>
                <w:color w:val="000000" w:themeColor="text1"/>
                <w:lang w:val="fr-FR"/>
              </w:rPr>
            </w:pPr>
          </w:p>
          <w:p w14:paraId="72D94FE0" w14:textId="77777777" w:rsidR="00D26DF2" w:rsidRP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t xml:space="preserve">III. Résultats et </w:t>
            </w:r>
            <w:proofErr w:type="gramStart"/>
            <w:r w:rsidRPr="00D26DF2">
              <w:rPr>
                <w:rFonts w:ascii="Times New Roman" w:hAnsi="Times New Roman"/>
                <w:bCs/>
                <w:color w:val="000000" w:themeColor="text1"/>
                <w:lang w:val="fr-FR"/>
              </w:rPr>
              <w:t>tâches  de</w:t>
            </w:r>
            <w:proofErr w:type="gramEnd"/>
            <w:r w:rsidRPr="00D26DF2">
              <w:rPr>
                <w:rFonts w:ascii="Times New Roman" w:hAnsi="Times New Roman"/>
                <w:bCs/>
                <w:color w:val="000000" w:themeColor="text1"/>
                <w:lang w:val="fr-FR"/>
              </w:rPr>
              <w:t xml:space="preserve"> la mission </w:t>
            </w:r>
          </w:p>
          <w:p w14:paraId="15DA324C" w14:textId="77777777" w:rsidR="00D26DF2" w:rsidRP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t xml:space="preserve">Sous l’autorité du Team </w:t>
            </w:r>
            <w:proofErr w:type="gramStart"/>
            <w:r w:rsidRPr="00D26DF2">
              <w:rPr>
                <w:rFonts w:ascii="Times New Roman" w:hAnsi="Times New Roman"/>
                <w:bCs/>
                <w:color w:val="000000" w:themeColor="text1"/>
                <w:lang w:val="fr-FR"/>
              </w:rPr>
              <w:t>Leader  du</w:t>
            </w:r>
            <w:proofErr w:type="gramEnd"/>
            <w:r w:rsidRPr="00D26DF2">
              <w:rPr>
                <w:rFonts w:ascii="Times New Roman" w:hAnsi="Times New Roman"/>
                <w:bCs/>
                <w:color w:val="000000" w:themeColor="text1"/>
                <w:lang w:val="fr-FR"/>
              </w:rPr>
              <w:t xml:space="preserve"> pilier Consolidation de la paix et renforcement de la démocratie  et la supervision directe de la Conseillère technique  principale du Programme conjoint d’appui à la réforme de la justice  , le consultant international accomplira les tâches suivantes  en étroite collaboration avec les membres du Secrétariat Permanent  du CSM ainsi que les experts techniques des institutions judiciaires :</w:t>
            </w:r>
          </w:p>
          <w:p w14:paraId="6EC85311" w14:textId="77777777" w:rsidR="00D26DF2" w:rsidRP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t xml:space="preserve">Résultat 1. Renforcement de la gestion du budget du pouvoir judiciaire pour améliorer le pilotage et la mise en œuvre de la réforme de la justice.  L’autonomie financière constitue une des conditions de l’indépendance du pouvoir judiciaire et est consacrée par le cadre juridique </w:t>
            </w:r>
            <w:proofErr w:type="gramStart"/>
            <w:r w:rsidRPr="00D26DF2">
              <w:rPr>
                <w:rFonts w:ascii="Times New Roman" w:hAnsi="Times New Roman"/>
                <w:bCs/>
                <w:color w:val="000000" w:themeColor="text1"/>
                <w:lang w:val="fr-FR"/>
              </w:rPr>
              <w:t>congolais .</w:t>
            </w:r>
            <w:proofErr w:type="gramEnd"/>
            <w:r w:rsidRPr="00D26DF2">
              <w:rPr>
                <w:rFonts w:ascii="Times New Roman" w:hAnsi="Times New Roman"/>
                <w:bCs/>
                <w:color w:val="000000" w:themeColor="text1"/>
                <w:lang w:val="fr-FR"/>
              </w:rPr>
              <w:t xml:space="preserve"> Pour autant elle n’est pas effective car c’est le Gouvernement qui est en charge de la politique budgétaire. Au niveau de la dotation budgétaire, le secteur de la Justice a reçu au cours de la dernière décennie des moyens financiers limités couvrant à peine les rémunérations des personnels judicaires, les investissements étant dans la quasi-totalité financés par les Partenaires techniques et financiers (PTF) et les crédits de fonctionnement alloués n’ont pas permis de couvrir les besoins. La part de la justice dans le budget de l’Etat demeure modeste (2,3% en 2015). Par ailleurs, le budget alloué n’a été exécuté ces dernières années qu’à concurrence de 50% diminuant de fait les ressources disponibles pour engager la réforme de la Justice.</w:t>
            </w:r>
          </w:p>
          <w:p w14:paraId="16279BA1" w14:textId="77777777" w:rsidR="00D26DF2" w:rsidRP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t xml:space="preserve">Tâches : </w:t>
            </w:r>
          </w:p>
          <w:p w14:paraId="088A2B0F" w14:textId="77777777" w:rsidR="00D26DF2" w:rsidRP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t>-</w:t>
            </w:r>
            <w:r w:rsidRPr="00D26DF2">
              <w:rPr>
                <w:rFonts w:ascii="Times New Roman" w:hAnsi="Times New Roman"/>
                <w:bCs/>
                <w:color w:val="000000" w:themeColor="text1"/>
                <w:lang w:val="fr-FR"/>
              </w:rPr>
              <w:tab/>
              <w:t xml:space="preserve">Réaliser l'état des lieux </w:t>
            </w:r>
            <w:proofErr w:type="gramStart"/>
            <w:r w:rsidRPr="00D26DF2">
              <w:rPr>
                <w:rFonts w:ascii="Times New Roman" w:hAnsi="Times New Roman"/>
                <w:bCs/>
                <w:color w:val="000000" w:themeColor="text1"/>
                <w:lang w:val="fr-FR"/>
              </w:rPr>
              <w:t>institutionnel  du</w:t>
            </w:r>
            <w:proofErr w:type="gramEnd"/>
            <w:r w:rsidRPr="00D26DF2">
              <w:rPr>
                <w:rFonts w:ascii="Times New Roman" w:hAnsi="Times New Roman"/>
                <w:bCs/>
                <w:color w:val="000000" w:themeColor="text1"/>
                <w:lang w:val="fr-FR"/>
              </w:rPr>
              <w:t xml:space="preserve">  CSM  assorti  d’un plan opérationnel  de renforcement des capacités institutionnelles, organisationnelles et individuelles ;</w:t>
            </w:r>
          </w:p>
          <w:p w14:paraId="37A2A170" w14:textId="77777777" w:rsidR="00D26DF2" w:rsidRP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t>-</w:t>
            </w:r>
            <w:r w:rsidRPr="00D26DF2">
              <w:rPr>
                <w:rFonts w:ascii="Times New Roman" w:hAnsi="Times New Roman"/>
                <w:bCs/>
                <w:color w:val="000000" w:themeColor="text1"/>
                <w:lang w:val="fr-FR"/>
              </w:rPr>
              <w:tab/>
              <w:t>Appuyer le CSM et le Ministère de la Justice dans la formulation d’un plaidoyer auprès des autorités nationales et du Parlement en vue de promouvoir une hausse progressive de la part de la justice dans le budget de l’Etat. L’objectif est de porter cette part à 4% du budget de l’Etat ;</w:t>
            </w:r>
          </w:p>
          <w:p w14:paraId="751807FF" w14:textId="77777777" w:rsidR="00D26DF2" w:rsidRP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t>-</w:t>
            </w:r>
            <w:r w:rsidRPr="00D26DF2">
              <w:rPr>
                <w:rFonts w:ascii="Times New Roman" w:hAnsi="Times New Roman"/>
                <w:bCs/>
                <w:color w:val="000000" w:themeColor="text1"/>
                <w:lang w:val="fr-FR"/>
              </w:rPr>
              <w:tab/>
              <w:t>Appuyer l’élaboration d’une stratégie de renforcement des capacités de la Direction d’Administration et Finances (DAF) ainsi que de la Cellule Finance et Budget du CSM, en matière de programmation axée sur le résultat, de planification, de budgétisation et de suivi-évaluation. Faire un état des lieux du fonctionnement du CSM et proposer une feuille de route d’amélioration des performances.</w:t>
            </w:r>
          </w:p>
          <w:p w14:paraId="35F7B853" w14:textId="77777777" w:rsidR="00D26DF2" w:rsidRP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t>Résultat 2 : La redevabilité des magistrats est améliorée dans le respect de leurs droits et de l’indépendance du pouvoir judiciaire.</w:t>
            </w:r>
          </w:p>
          <w:p w14:paraId="7B671733" w14:textId="77777777" w:rsidR="00D26DF2" w:rsidRP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t>Les chambres de discipline sont très peu fonctionnelles et elles n’ont été assurées au cours des dernières années que sur appui des PTF et dans un nombre limité de provinces. On constate également une inertie des chefs de juridictions et d’offices dans les poursuites disciplinaires à charge des magistrats sous leur autorité. De plus, il existe une persistance de pratiques de corruption et de concussion en raison des limites du dispositif disciplinaire au sein de la magistrature.</w:t>
            </w:r>
          </w:p>
          <w:p w14:paraId="3CF1F192" w14:textId="77777777" w:rsidR="00D26DF2" w:rsidRP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t>Par ailleurs, l’Inspectorat Général des Services Judiciaires et Pénitentiaires (IGSJP) soulève beaucoup de questions relatives tant à ses attributions qu’à son organisation et à son fonctionnement. En ce qui concerne ses attributions, il lui est reproché, entre autres, d’interférer dans l’exécution des décisions de justice, notamment à travers les demandes de communication des dossiers pertinents. Du point de vue de son organisation, d’aucuns s’interrogent sur la soumission de cette institution à la tutelle du Ministère de la Justice, d’une part et, d’autre part, à la faiblesse des effectifs et au grade de certains de ses membres qui ne leur permet pas de mener des investigations sur les fautes disciplinaires dont les hauts magistrats sont suspectés. Enfin, du point de vue de son fonctionnement, faute de ressources financières et logistiques conséquences, l’action de l’IGSJ n’est pas toujours à la hauteur des attentes.</w:t>
            </w:r>
          </w:p>
          <w:p w14:paraId="28CD3333" w14:textId="77777777" w:rsidR="00D26DF2" w:rsidRP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t xml:space="preserve">Tâches : </w:t>
            </w:r>
          </w:p>
          <w:p w14:paraId="6331F81A" w14:textId="77777777" w:rsidR="00D26DF2" w:rsidRP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t>-</w:t>
            </w:r>
            <w:r w:rsidRPr="00D26DF2">
              <w:rPr>
                <w:rFonts w:ascii="Times New Roman" w:hAnsi="Times New Roman"/>
                <w:bCs/>
                <w:color w:val="000000" w:themeColor="text1"/>
                <w:lang w:val="fr-FR"/>
              </w:rPr>
              <w:tab/>
              <w:t xml:space="preserve">Réaliser un état des lieux institutionnel de l’Inspectorat Général des Services Judiciaires et Pénitentiaires (IGSJP) et dégager sur la base des conclusions du diagnostic un plan de renforcement des capacités et une feuille de route de mise en œuvre à soumettre à la validation des parties prenantes lors d’un atelier. </w:t>
            </w:r>
          </w:p>
          <w:p w14:paraId="670F528B" w14:textId="77777777" w:rsidR="00D26DF2" w:rsidRDefault="00D26DF2" w:rsidP="00D26DF2">
            <w:pPr>
              <w:jc w:val="both"/>
              <w:rPr>
                <w:rFonts w:ascii="Times New Roman" w:hAnsi="Times New Roman"/>
                <w:bCs/>
                <w:color w:val="000000" w:themeColor="text1"/>
                <w:lang w:val="fr-FR"/>
              </w:rPr>
            </w:pPr>
            <w:r w:rsidRPr="00D26DF2">
              <w:rPr>
                <w:rFonts w:ascii="Times New Roman" w:hAnsi="Times New Roman"/>
                <w:bCs/>
                <w:color w:val="000000" w:themeColor="text1"/>
                <w:lang w:val="fr-FR"/>
              </w:rPr>
              <w:lastRenderedPageBreak/>
              <w:t>-</w:t>
            </w:r>
            <w:r w:rsidRPr="00D26DF2">
              <w:rPr>
                <w:rFonts w:ascii="Times New Roman" w:hAnsi="Times New Roman"/>
                <w:bCs/>
                <w:color w:val="000000" w:themeColor="text1"/>
                <w:lang w:val="fr-FR"/>
              </w:rPr>
              <w:tab/>
              <w:t xml:space="preserve">Réaliser un état des lieux du fonctionnement des chambres de discipline en étroite collaboration avec le CSM et formuler des recommandations en matière de renforcement des capacités institutionnelles, organisationnelles et individuelles. </w:t>
            </w:r>
          </w:p>
          <w:p w14:paraId="63CBB296" w14:textId="77777777" w:rsidR="00D26DF2" w:rsidRDefault="00D26DF2" w:rsidP="00D26DF2">
            <w:pPr>
              <w:jc w:val="both"/>
              <w:rPr>
                <w:rFonts w:ascii="Times New Roman" w:hAnsi="Times New Roman"/>
                <w:bCs/>
                <w:color w:val="000000" w:themeColor="text1"/>
                <w:lang w:val="fr-FR"/>
              </w:rPr>
            </w:pPr>
          </w:p>
          <w:p w14:paraId="43DC10BA" w14:textId="77777777" w:rsidR="00D26DF2" w:rsidRDefault="00D26DF2" w:rsidP="00D26DF2">
            <w:pPr>
              <w:jc w:val="both"/>
              <w:rPr>
                <w:rFonts w:ascii="Times New Roman" w:hAnsi="Times New Roman"/>
                <w:bCs/>
                <w:color w:val="000000" w:themeColor="text1"/>
                <w:lang w:val="fr-FR"/>
              </w:rPr>
            </w:pPr>
          </w:p>
          <w:p w14:paraId="02325B8D" w14:textId="07307EF7" w:rsidR="003F640F" w:rsidRPr="008F0E6F" w:rsidRDefault="003F640F" w:rsidP="00D26DF2">
            <w:pPr>
              <w:jc w:val="both"/>
              <w:rPr>
                <w:rFonts w:ascii="Times New Roman" w:hAnsi="Times New Roman"/>
                <w:bCs/>
                <w:color w:val="000000" w:themeColor="text1"/>
                <w:lang w:val="fr-FR"/>
              </w:rPr>
            </w:pPr>
          </w:p>
        </w:tc>
      </w:tr>
    </w:tbl>
    <w:p w14:paraId="343D2D63" w14:textId="49AED64A" w:rsidR="00C5504F" w:rsidRDefault="00C5504F" w:rsidP="00A62AAB">
      <w:pPr>
        <w:rPr>
          <w:rFonts w:cstheme="minorHAnsi"/>
          <w:b/>
          <w:u w:val="single"/>
          <w:lang w:val="fr-FR"/>
        </w:rPr>
      </w:pPr>
    </w:p>
    <w:p w14:paraId="16360BC5" w14:textId="7A58290E" w:rsidR="00BF6263" w:rsidRPr="003A7D2F" w:rsidRDefault="00BC107A" w:rsidP="00BF6263">
      <w:pPr>
        <w:rPr>
          <w:rFonts w:cstheme="minorHAnsi"/>
          <w:b/>
          <w:u w:val="single"/>
          <w:lang w:val="fr-FR"/>
        </w:rPr>
      </w:pPr>
      <w:r>
        <w:rPr>
          <w:rFonts w:cstheme="minorHAnsi"/>
          <w:b/>
          <w:u w:val="single"/>
          <w:lang w:val="fr-FR"/>
        </w:rPr>
        <w:t>2</w:t>
      </w:r>
      <w:r w:rsidR="00C5504F">
        <w:rPr>
          <w:rFonts w:cstheme="minorHAnsi"/>
          <w:b/>
          <w:u w:val="single"/>
          <w:lang w:val="fr-FR"/>
        </w:rPr>
        <w:t xml:space="preserve">. </w:t>
      </w:r>
      <w:r w:rsidR="00C5504F" w:rsidRPr="00D26DF2">
        <w:rPr>
          <w:rFonts w:cstheme="minorHAnsi"/>
          <w:b/>
          <w:u w:val="single"/>
          <w:lang w:val="fr-FR"/>
        </w:rPr>
        <w:t xml:space="preserve">Fonctions et </w:t>
      </w:r>
      <w:r w:rsidR="008E10A2" w:rsidRPr="00D26DF2">
        <w:rPr>
          <w:rFonts w:cstheme="minorHAnsi"/>
          <w:b/>
          <w:u w:val="single"/>
          <w:lang w:val="fr-FR"/>
        </w:rPr>
        <w:t>R</w:t>
      </w:r>
      <w:r w:rsidR="00EC2E68" w:rsidRPr="00D26DF2">
        <w:rPr>
          <w:rFonts w:cstheme="minorHAnsi"/>
          <w:b/>
          <w:u w:val="single"/>
          <w:lang w:val="fr-FR"/>
        </w:rPr>
        <w:t>esponsabilités du consultant, r</w:t>
      </w:r>
      <w:r w:rsidR="008E10A2" w:rsidRPr="00D26DF2">
        <w:rPr>
          <w:rFonts w:cstheme="minorHAnsi"/>
          <w:b/>
          <w:u w:val="single"/>
          <w:lang w:val="fr-FR"/>
        </w:rPr>
        <w:t>ésultats</w:t>
      </w:r>
      <w:r w:rsidR="00875DF3" w:rsidRPr="00D26DF2">
        <w:rPr>
          <w:rFonts w:cstheme="minorHAnsi"/>
          <w:b/>
          <w:u w:val="single"/>
          <w:lang w:val="fr-FR"/>
        </w:rPr>
        <w:t xml:space="preserve"> attendus, </w:t>
      </w:r>
      <w:bookmarkStart w:id="5" w:name="_Hlk72781680"/>
    </w:p>
    <w:bookmarkEnd w:id="5"/>
    <w:tbl>
      <w:tblPr>
        <w:tblStyle w:val="Grilledutableau"/>
        <w:tblW w:w="10254" w:type="dxa"/>
        <w:tblInd w:w="-5" w:type="dxa"/>
        <w:tblLook w:val="04A0" w:firstRow="1" w:lastRow="0" w:firstColumn="1" w:lastColumn="0" w:noHBand="0" w:noVBand="1"/>
      </w:tblPr>
      <w:tblGrid>
        <w:gridCol w:w="10254"/>
      </w:tblGrid>
      <w:tr w:rsidR="00C2339D" w:rsidRPr="00D66429" w14:paraId="2553B827" w14:textId="77777777" w:rsidTr="00BC107A">
        <w:tc>
          <w:tcPr>
            <w:tcW w:w="10254" w:type="dxa"/>
          </w:tcPr>
          <w:p w14:paraId="52F53A97" w14:textId="77777777" w:rsidR="00C2339D" w:rsidRDefault="00C2339D" w:rsidP="00C2339D">
            <w:pPr>
              <w:jc w:val="both"/>
              <w:rPr>
                <w:rFonts w:ascii="Times New Roman" w:hAnsi="Times New Roman"/>
                <w:lang w:val="fr-FR"/>
              </w:rPr>
            </w:pPr>
          </w:p>
          <w:p w14:paraId="15BF8E00" w14:textId="3DF4FB44" w:rsidR="00D26DF2" w:rsidRPr="00D26DF2" w:rsidRDefault="00D26DF2" w:rsidP="00D26DF2">
            <w:pPr>
              <w:jc w:val="both"/>
              <w:rPr>
                <w:rFonts w:ascii="Times New Roman" w:hAnsi="Times New Roman"/>
                <w:color w:val="000000" w:themeColor="text1"/>
                <w:szCs w:val="28"/>
                <w:lang w:val="fr-FR"/>
              </w:rPr>
            </w:pPr>
            <w:r w:rsidRPr="00D26DF2">
              <w:rPr>
                <w:rFonts w:ascii="Times New Roman" w:hAnsi="Times New Roman"/>
                <w:color w:val="000000" w:themeColor="text1"/>
                <w:szCs w:val="28"/>
                <w:lang w:val="fr-FR"/>
              </w:rPr>
              <w:t xml:space="preserve">Sous l’autorité du Team Leader du pilier Consolidation de la paix et renforcement de la </w:t>
            </w:r>
            <w:proofErr w:type="gramStart"/>
            <w:r w:rsidRPr="00D26DF2">
              <w:rPr>
                <w:rFonts w:ascii="Times New Roman" w:hAnsi="Times New Roman"/>
                <w:color w:val="000000" w:themeColor="text1"/>
                <w:szCs w:val="28"/>
                <w:lang w:val="fr-FR"/>
              </w:rPr>
              <w:t>démocratie  et</w:t>
            </w:r>
            <w:proofErr w:type="gramEnd"/>
            <w:r w:rsidRPr="00D26DF2">
              <w:rPr>
                <w:rFonts w:ascii="Times New Roman" w:hAnsi="Times New Roman"/>
                <w:color w:val="000000" w:themeColor="text1"/>
                <w:szCs w:val="28"/>
                <w:lang w:val="fr-FR"/>
              </w:rPr>
              <w:t xml:space="preserve"> la supervision directe de la Conseillère technique  principale du Programme conjoint d’appui à la réforme de la justice  , le consultant international accomplira les tâches suivantes  en étroite collaboration avec les membres du Secrétariat Permanent  du CSM ainsi que les experts techniques des institutions judiciaires :</w:t>
            </w:r>
          </w:p>
          <w:p w14:paraId="70B7402F" w14:textId="5DF9723E" w:rsidR="00D26DF2" w:rsidRPr="00D26DF2" w:rsidRDefault="00D26DF2" w:rsidP="00D26DF2">
            <w:pPr>
              <w:jc w:val="both"/>
              <w:rPr>
                <w:rFonts w:ascii="Times New Roman" w:hAnsi="Times New Roman"/>
                <w:color w:val="000000" w:themeColor="text1"/>
                <w:szCs w:val="28"/>
                <w:lang w:val="fr-FR"/>
              </w:rPr>
            </w:pPr>
            <w:r w:rsidRPr="00D26DF2">
              <w:rPr>
                <w:rFonts w:ascii="Times New Roman" w:hAnsi="Times New Roman"/>
                <w:color w:val="000000" w:themeColor="text1"/>
                <w:szCs w:val="28"/>
                <w:lang w:val="fr-FR"/>
              </w:rPr>
              <w:t>Résultat 1. Renforcement de la gestion du budget du pouvoir judiciaire pour améliorer le pilotage et la mise en œuvre de la réforme de la justice.  L’autonomie financière constitue une des conditions de l’indépendance du pouvoir judiciaire et est consacrée par le cadre juridique congolais. Pour autant elle n’est pas effective car c’est le Gouvernement qui est en charge de la politique budgétaire. Au niveau de la dotation budgétaire, le secteur de la Justice a reçu au cours de la dernière décennie des moyens financiers limités couvrant à peine les rémunérations des personnels judicaires, les investissements étant dans la quasi-totalité financés par les Partenaires techniques et financiers (PTF) et les crédits de fonctionnement alloués n’ont pas permis de couvrir les besoins. La part de la justice dans le budget de l’Etat demeure modeste (2,3% en 2015). Par ailleurs, le budget alloué n’a été exécuté ces dernières années qu’à concurrence de 50% diminuant de fait les ressources disponibles pour engager la réforme de la Justice.</w:t>
            </w:r>
          </w:p>
          <w:p w14:paraId="41262F07" w14:textId="77777777" w:rsidR="00D26DF2" w:rsidRPr="00D26DF2" w:rsidRDefault="00D26DF2" w:rsidP="00D26DF2">
            <w:pPr>
              <w:jc w:val="both"/>
              <w:rPr>
                <w:rFonts w:ascii="Times New Roman" w:hAnsi="Times New Roman"/>
                <w:color w:val="000000" w:themeColor="text1"/>
                <w:szCs w:val="28"/>
                <w:lang w:val="fr-FR"/>
              </w:rPr>
            </w:pPr>
            <w:r w:rsidRPr="00D26DF2">
              <w:rPr>
                <w:rFonts w:ascii="Times New Roman" w:hAnsi="Times New Roman"/>
                <w:color w:val="000000" w:themeColor="text1"/>
                <w:szCs w:val="28"/>
                <w:lang w:val="fr-FR"/>
              </w:rPr>
              <w:t xml:space="preserve">Tâches : </w:t>
            </w:r>
          </w:p>
          <w:p w14:paraId="70E7055E" w14:textId="3C12CE02" w:rsidR="00D26DF2" w:rsidRPr="00D26DF2" w:rsidRDefault="00D26DF2" w:rsidP="00D26DF2">
            <w:pPr>
              <w:jc w:val="both"/>
              <w:rPr>
                <w:rFonts w:ascii="Times New Roman" w:hAnsi="Times New Roman"/>
                <w:color w:val="000000" w:themeColor="text1"/>
                <w:szCs w:val="28"/>
                <w:lang w:val="fr-FR"/>
              </w:rPr>
            </w:pPr>
            <w:r w:rsidRPr="00D26DF2">
              <w:rPr>
                <w:rFonts w:ascii="Times New Roman" w:hAnsi="Times New Roman"/>
                <w:color w:val="000000" w:themeColor="text1"/>
                <w:szCs w:val="28"/>
                <w:lang w:val="fr-FR"/>
              </w:rPr>
              <w:t>-</w:t>
            </w:r>
            <w:r w:rsidRPr="00D26DF2">
              <w:rPr>
                <w:rFonts w:ascii="Times New Roman" w:hAnsi="Times New Roman"/>
                <w:color w:val="000000" w:themeColor="text1"/>
                <w:szCs w:val="28"/>
                <w:lang w:val="fr-FR"/>
              </w:rPr>
              <w:tab/>
              <w:t xml:space="preserve">Réaliser l'état des lieux institutionnel </w:t>
            </w:r>
            <w:r w:rsidR="002A49F8" w:rsidRPr="00D26DF2">
              <w:rPr>
                <w:rFonts w:ascii="Times New Roman" w:hAnsi="Times New Roman"/>
                <w:color w:val="000000" w:themeColor="text1"/>
                <w:szCs w:val="28"/>
                <w:lang w:val="fr-FR"/>
              </w:rPr>
              <w:t xml:space="preserve">du </w:t>
            </w:r>
            <w:proofErr w:type="gramStart"/>
            <w:r w:rsidR="002A49F8" w:rsidRPr="00D26DF2">
              <w:rPr>
                <w:rFonts w:ascii="Times New Roman" w:hAnsi="Times New Roman"/>
                <w:color w:val="000000" w:themeColor="text1"/>
                <w:szCs w:val="28"/>
                <w:lang w:val="fr-FR"/>
              </w:rPr>
              <w:t>CSM</w:t>
            </w:r>
            <w:r w:rsidRPr="00D26DF2">
              <w:rPr>
                <w:rFonts w:ascii="Times New Roman" w:hAnsi="Times New Roman"/>
                <w:color w:val="000000" w:themeColor="text1"/>
                <w:szCs w:val="28"/>
                <w:lang w:val="fr-FR"/>
              </w:rPr>
              <w:t xml:space="preserve">  assorti</w:t>
            </w:r>
            <w:proofErr w:type="gramEnd"/>
            <w:r w:rsidRPr="00D26DF2">
              <w:rPr>
                <w:rFonts w:ascii="Times New Roman" w:hAnsi="Times New Roman"/>
                <w:color w:val="000000" w:themeColor="text1"/>
                <w:szCs w:val="28"/>
                <w:lang w:val="fr-FR"/>
              </w:rPr>
              <w:t xml:space="preserve">  d’un plan opérationnel  de renforcement des capacités institutionnelles, organisationnelles et individuelles ;</w:t>
            </w:r>
          </w:p>
          <w:p w14:paraId="69C5E194" w14:textId="77777777" w:rsidR="00D26DF2" w:rsidRPr="00D26DF2" w:rsidRDefault="00D26DF2" w:rsidP="00D26DF2">
            <w:pPr>
              <w:jc w:val="both"/>
              <w:rPr>
                <w:rFonts w:ascii="Times New Roman" w:hAnsi="Times New Roman"/>
                <w:color w:val="000000" w:themeColor="text1"/>
                <w:szCs w:val="28"/>
                <w:lang w:val="fr-FR"/>
              </w:rPr>
            </w:pPr>
            <w:r w:rsidRPr="00D26DF2">
              <w:rPr>
                <w:rFonts w:ascii="Times New Roman" w:hAnsi="Times New Roman"/>
                <w:color w:val="000000" w:themeColor="text1"/>
                <w:szCs w:val="28"/>
                <w:lang w:val="fr-FR"/>
              </w:rPr>
              <w:t>-</w:t>
            </w:r>
            <w:r w:rsidRPr="00D26DF2">
              <w:rPr>
                <w:rFonts w:ascii="Times New Roman" w:hAnsi="Times New Roman"/>
                <w:color w:val="000000" w:themeColor="text1"/>
                <w:szCs w:val="28"/>
                <w:lang w:val="fr-FR"/>
              </w:rPr>
              <w:tab/>
              <w:t>Appuyer le CSM et le Ministère de la Justice dans la formulation d’un plaidoyer auprès des autorités nationales et du Parlement en vue de promouvoir une hausse progressive de la part de la justice dans le budget de l’Etat. L’objectif est de porter cette part à 4% du budget de l’Etat ;</w:t>
            </w:r>
          </w:p>
          <w:p w14:paraId="676BE379" w14:textId="77777777" w:rsidR="00D26DF2" w:rsidRPr="00D26DF2" w:rsidRDefault="00D26DF2" w:rsidP="00D26DF2">
            <w:pPr>
              <w:jc w:val="both"/>
              <w:rPr>
                <w:rFonts w:ascii="Times New Roman" w:hAnsi="Times New Roman"/>
                <w:color w:val="000000" w:themeColor="text1"/>
                <w:szCs w:val="28"/>
                <w:lang w:val="fr-FR"/>
              </w:rPr>
            </w:pPr>
            <w:r w:rsidRPr="00D26DF2">
              <w:rPr>
                <w:rFonts w:ascii="Times New Roman" w:hAnsi="Times New Roman"/>
                <w:color w:val="000000" w:themeColor="text1"/>
                <w:szCs w:val="28"/>
                <w:lang w:val="fr-FR"/>
              </w:rPr>
              <w:t>-</w:t>
            </w:r>
            <w:r w:rsidRPr="00D26DF2">
              <w:rPr>
                <w:rFonts w:ascii="Times New Roman" w:hAnsi="Times New Roman"/>
                <w:color w:val="000000" w:themeColor="text1"/>
                <w:szCs w:val="28"/>
                <w:lang w:val="fr-FR"/>
              </w:rPr>
              <w:tab/>
              <w:t>Appuyer l’élaboration d’une stratégie de renforcement des capacités de la Direction d’Administration et Finances (DAF) ainsi que de la Cellule Finance et Budget du CSM, en matière de programmation axée sur le résultat, de planification, de budgétisation et de suivi-évaluation. Faire un état des lieux du fonctionnement du CSM et proposer une feuille de route d’amélioration des performances.</w:t>
            </w:r>
          </w:p>
          <w:p w14:paraId="31028AB3" w14:textId="77777777" w:rsidR="00D26DF2" w:rsidRPr="00D26DF2" w:rsidRDefault="00D26DF2" w:rsidP="00D26DF2">
            <w:pPr>
              <w:jc w:val="both"/>
              <w:rPr>
                <w:rFonts w:ascii="Times New Roman" w:hAnsi="Times New Roman"/>
                <w:color w:val="000000" w:themeColor="text1"/>
                <w:szCs w:val="28"/>
                <w:lang w:val="fr-FR"/>
              </w:rPr>
            </w:pPr>
            <w:r w:rsidRPr="00D26DF2">
              <w:rPr>
                <w:rFonts w:ascii="Times New Roman" w:hAnsi="Times New Roman"/>
                <w:color w:val="000000" w:themeColor="text1"/>
                <w:szCs w:val="28"/>
                <w:lang w:val="fr-FR"/>
              </w:rPr>
              <w:t>Résultat 2 : La redevabilité des magistrats est améliorée dans le respect de leurs droits et de l’indépendance du pouvoir judiciaire.</w:t>
            </w:r>
          </w:p>
          <w:p w14:paraId="498FC487" w14:textId="77777777" w:rsidR="00D26DF2" w:rsidRPr="00D26DF2" w:rsidRDefault="00D26DF2" w:rsidP="00D26DF2">
            <w:pPr>
              <w:jc w:val="both"/>
              <w:rPr>
                <w:rFonts w:ascii="Times New Roman" w:hAnsi="Times New Roman"/>
                <w:color w:val="000000" w:themeColor="text1"/>
                <w:szCs w:val="28"/>
                <w:lang w:val="fr-FR"/>
              </w:rPr>
            </w:pPr>
            <w:r w:rsidRPr="00D26DF2">
              <w:rPr>
                <w:rFonts w:ascii="Times New Roman" w:hAnsi="Times New Roman"/>
                <w:color w:val="000000" w:themeColor="text1"/>
                <w:szCs w:val="28"/>
                <w:lang w:val="fr-FR"/>
              </w:rPr>
              <w:t>Les chambres de discipline sont très peu fonctionnelles et elles n’ont été assurées au cours des dernières années que sur appui des PTF et dans un nombre limité de provinces. On constate également une inertie des chefs de juridictions et d’offices dans les poursuites disciplinaires à charge des magistrats sous leur autorité. De plus, il existe une persistance de pratiques de corruption et de concussion en raison des limites du dispositif disciplinaire au sein de la magistrature.</w:t>
            </w:r>
          </w:p>
          <w:p w14:paraId="2B733E2B" w14:textId="77777777" w:rsidR="00D26DF2" w:rsidRPr="00D26DF2" w:rsidRDefault="00D26DF2" w:rsidP="00D26DF2">
            <w:pPr>
              <w:jc w:val="both"/>
              <w:rPr>
                <w:rFonts w:ascii="Times New Roman" w:hAnsi="Times New Roman"/>
                <w:color w:val="000000" w:themeColor="text1"/>
                <w:szCs w:val="28"/>
                <w:lang w:val="fr-FR"/>
              </w:rPr>
            </w:pPr>
            <w:r w:rsidRPr="00D26DF2">
              <w:rPr>
                <w:rFonts w:ascii="Times New Roman" w:hAnsi="Times New Roman"/>
                <w:color w:val="000000" w:themeColor="text1"/>
                <w:szCs w:val="28"/>
                <w:lang w:val="fr-FR"/>
              </w:rPr>
              <w:t xml:space="preserve">Par ailleurs, l’Inspectorat Général des Services Judiciaires et Pénitentiaires (IGSJP) soulève beaucoup de questions relatives tant à ses attributions qu’à son organisation et à son fonctionnement. En ce qui concerne ses attributions, il lui est reproché, entre autres, d’interférer dans l’exécution des décisions de justice, notamment à travers les demandes de communication des dossiers pertinents. Du point de vue de son organisation, d’aucuns s’interrogent sur la soumission de cette institution à la tutelle du Ministère de la Justice, d’une part et, d’autre part, à la faiblesse des effectifs et au grade de certains de ses membres qui ne leur permet pas de mener des investigations sur les </w:t>
            </w:r>
            <w:r w:rsidRPr="00D26DF2">
              <w:rPr>
                <w:rFonts w:ascii="Times New Roman" w:hAnsi="Times New Roman"/>
                <w:color w:val="000000" w:themeColor="text1"/>
                <w:szCs w:val="28"/>
                <w:lang w:val="fr-FR"/>
              </w:rPr>
              <w:lastRenderedPageBreak/>
              <w:t>fautes disciplinaires dont les hauts magistrats sont suspectés. Enfin, du point de vue de son fonctionnement, faute de ressources financières et logistiques conséquences, l’action de l’IGSJ n’est pas toujours à la hauteur des attentes.</w:t>
            </w:r>
          </w:p>
          <w:p w14:paraId="7F24CA43" w14:textId="77777777" w:rsidR="00D26DF2" w:rsidRPr="00D26DF2" w:rsidRDefault="00D26DF2" w:rsidP="00D26DF2">
            <w:pPr>
              <w:jc w:val="both"/>
              <w:rPr>
                <w:rFonts w:ascii="Times New Roman" w:hAnsi="Times New Roman"/>
                <w:color w:val="000000" w:themeColor="text1"/>
                <w:szCs w:val="28"/>
                <w:lang w:val="fr-FR"/>
              </w:rPr>
            </w:pPr>
            <w:r w:rsidRPr="00D26DF2">
              <w:rPr>
                <w:rFonts w:ascii="Times New Roman" w:hAnsi="Times New Roman"/>
                <w:color w:val="000000" w:themeColor="text1"/>
                <w:szCs w:val="28"/>
                <w:lang w:val="fr-FR"/>
              </w:rPr>
              <w:t xml:space="preserve">Tâches : </w:t>
            </w:r>
          </w:p>
          <w:p w14:paraId="417079F4" w14:textId="77777777" w:rsidR="00D26DF2" w:rsidRPr="00D26DF2" w:rsidRDefault="00D26DF2" w:rsidP="00D26DF2">
            <w:pPr>
              <w:jc w:val="both"/>
              <w:rPr>
                <w:rFonts w:ascii="Times New Roman" w:hAnsi="Times New Roman"/>
                <w:color w:val="000000" w:themeColor="text1"/>
                <w:szCs w:val="28"/>
                <w:lang w:val="fr-FR"/>
              </w:rPr>
            </w:pPr>
            <w:r w:rsidRPr="00D26DF2">
              <w:rPr>
                <w:rFonts w:ascii="Times New Roman" w:hAnsi="Times New Roman"/>
                <w:color w:val="000000" w:themeColor="text1"/>
                <w:szCs w:val="28"/>
                <w:lang w:val="fr-FR"/>
              </w:rPr>
              <w:t>-</w:t>
            </w:r>
            <w:r w:rsidRPr="00D26DF2">
              <w:rPr>
                <w:rFonts w:ascii="Times New Roman" w:hAnsi="Times New Roman"/>
                <w:color w:val="000000" w:themeColor="text1"/>
                <w:szCs w:val="28"/>
                <w:lang w:val="fr-FR"/>
              </w:rPr>
              <w:tab/>
              <w:t xml:space="preserve">Réaliser un état des lieux institutionnel de l’Inspectorat Général des Services Judiciaires et Pénitentiaires (IGSJP) et dégager sur la base des conclusions du diagnostic un plan de renforcement des capacités et une feuille de route de mise en œuvre à soumettre à la validation des parties prenantes lors d’un atelier. </w:t>
            </w:r>
          </w:p>
          <w:p w14:paraId="17A5DA65" w14:textId="77777777" w:rsidR="00D26DF2" w:rsidRDefault="00D26DF2" w:rsidP="00D26DF2">
            <w:pPr>
              <w:jc w:val="both"/>
              <w:rPr>
                <w:rFonts w:ascii="Times New Roman" w:hAnsi="Times New Roman"/>
                <w:color w:val="000000" w:themeColor="text1"/>
                <w:szCs w:val="28"/>
                <w:lang w:val="fr-FR"/>
              </w:rPr>
            </w:pPr>
            <w:r w:rsidRPr="00D26DF2">
              <w:rPr>
                <w:rFonts w:ascii="Times New Roman" w:hAnsi="Times New Roman"/>
                <w:color w:val="000000" w:themeColor="text1"/>
                <w:szCs w:val="28"/>
                <w:lang w:val="fr-FR"/>
              </w:rPr>
              <w:t>-</w:t>
            </w:r>
            <w:r w:rsidRPr="00D26DF2">
              <w:rPr>
                <w:rFonts w:ascii="Times New Roman" w:hAnsi="Times New Roman"/>
                <w:color w:val="000000" w:themeColor="text1"/>
                <w:szCs w:val="28"/>
                <w:lang w:val="fr-FR"/>
              </w:rPr>
              <w:tab/>
              <w:t xml:space="preserve">Réaliser un état des lieux du fonctionnement des chambres de discipline en étroite collaboration avec le CSM et formuler des recommandations en matière de renforcement des capacités institutionnelles, organisationnelles et individuelles. </w:t>
            </w:r>
          </w:p>
          <w:p w14:paraId="028AE3D9" w14:textId="7792B56E" w:rsidR="00A9207D" w:rsidRPr="007260D6" w:rsidRDefault="00A9207D" w:rsidP="00D26DF2">
            <w:pPr>
              <w:jc w:val="both"/>
              <w:rPr>
                <w:rFonts w:cstheme="minorHAnsi"/>
                <w:lang w:val="fr-FR"/>
              </w:rPr>
            </w:pPr>
          </w:p>
        </w:tc>
      </w:tr>
    </w:tbl>
    <w:p w14:paraId="216B03F4" w14:textId="4B30D2B2" w:rsidR="00BC107A" w:rsidRDefault="00BC107A" w:rsidP="00BC107A">
      <w:pPr>
        <w:jc w:val="both"/>
        <w:rPr>
          <w:rFonts w:cstheme="minorHAnsi"/>
          <w:b/>
          <w:u w:val="single"/>
          <w:lang w:val="fr-FR"/>
        </w:rPr>
      </w:pPr>
    </w:p>
    <w:p w14:paraId="3E99307E" w14:textId="022DAD31" w:rsidR="00BC107A" w:rsidRDefault="00BC107A" w:rsidP="00BC107A">
      <w:pPr>
        <w:jc w:val="both"/>
        <w:rPr>
          <w:rFonts w:cstheme="minorHAnsi"/>
          <w:b/>
          <w:u w:val="single"/>
          <w:lang w:val="fr-FR"/>
        </w:rPr>
      </w:pPr>
      <w:r>
        <w:rPr>
          <w:rFonts w:cstheme="minorHAnsi"/>
          <w:b/>
          <w:u w:val="single"/>
          <w:lang w:val="fr-FR"/>
        </w:rPr>
        <w:t>3. L</w:t>
      </w:r>
      <w:r w:rsidRPr="00BC107A">
        <w:rPr>
          <w:rFonts w:cstheme="minorHAnsi"/>
          <w:b/>
          <w:u w:val="single"/>
          <w:lang w:val="fr-FR"/>
        </w:rPr>
        <w:t>ivrables et tranches de paiement</w:t>
      </w:r>
    </w:p>
    <w:tbl>
      <w:tblPr>
        <w:tblStyle w:val="Grilledutableau"/>
        <w:tblW w:w="9360" w:type="dxa"/>
        <w:tblLook w:val="04A0" w:firstRow="1" w:lastRow="0" w:firstColumn="1" w:lastColumn="0" w:noHBand="0" w:noVBand="1"/>
      </w:tblPr>
      <w:tblGrid>
        <w:gridCol w:w="10254"/>
      </w:tblGrid>
      <w:tr w:rsidR="00BC107A" w:rsidRPr="007260D6" w14:paraId="6125B823" w14:textId="77777777" w:rsidTr="003B72F6">
        <w:tc>
          <w:tcPr>
            <w:tcW w:w="9360" w:type="dxa"/>
          </w:tcPr>
          <w:p w14:paraId="054805E4" w14:textId="5C418B9F" w:rsidR="000F2D52" w:rsidRPr="00BC107A" w:rsidRDefault="00D7566A" w:rsidP="00BC107A">
            <w:pPr>
              <w:jc w:val="both"/>
              <w:rPr>
                <w:rFonts w:ascii="Times New Roman" w:hAnsi="Times New Roman"/>
                <w:color w:val="000000" w:themeColor="text1"/>
                <w:szCs w:val="28"/>
                <w:lang w:val="fr-FR"/>
              </w:rPr>
            </w:pPr>
            <w:r w:rsidRPr="00D7566A">
              <w:rPr>
                <w:rFonts w:ascii="Times New Roman" w:hAnsi="Times New Roman"/>
                <w:color w:val="000000" w:themeColor="text1"/>
                <w:szCs w:val="28"/>
                <w:lang w:val="fr-FR"/>
              </w:rPr>
              <w:t>Les produits attendus, rédigés en français seront transmis au CSM et aux entités des NU impliquées dans la mise œuvre du Programme conjoint d’appui à la réforme de la justice, en 3 exemplaires papiers. Il s’agit des documents suivants :</w:t>
            </w:r>
          </w:p>
          <w:tbl>
            <w:tblPr>
              <w:tblW w:w="10018" w:type="dxa"/>
              <w:tblBorders>
                <w:top w:val="nil"/>
                <w:left w:val="nil"/>
                <w:right w:val="nil"/>
              </w:tblBorders>
              <w:tblLook w:val="0000" w:firstRow="0" w:lastRow="0" w:firstColumn="0" w:lastColumn="0" w:noHBand="0" w:noVBand="0"/>
            </w:tblPr>
            <w:tblGrid>
              <w:gridCol w:w="5803"/>
              <w:gridCol w:w="2310"/>
              <w:gridCol w:w="1905"/>
            </w:tblGrid>
            <w:tr w:rsidR="00BC107A" w:rsidRPr="00B62950" w14:paraId="18B2970C" w14:textId="77777777" w:rsidTr="003B72F6">
              <w:trPr>
                <w:trHeight w:val="489"/>
              </w:trPr>
              <w:tc>
                <w:tcPr>
                  <w:tcW w:w="2896" w:type="pct"/>
                  <w:tcBorders>
                    <w:top w:val="single" w:sz="8" w:space="0" w:color="000000"/>
                    <w:left w:val="single" w:sz="8" w:space="0" w:color="000000"/>
                    <w:bottom w:val="single" w:sz="8" w:space="0" w:color="000000"/>
                    <w:right w:val="single" w:sz="8" w:space="0" w:color="000000"/>
                  </w:tcBorders>
                  <w:shd w:val="clear" w:color="auto" w:fill="EAE8DA"/>
                  <w:tcMar>
                    <w:top w:w="20" w:type="nil"/>
                    <w:left w:w="20" w:type="nil"/>
                    <w:bottom w:w="20" w:type="nil"/>
                    <w:right w:w="20" w:type="nil"/>
                  </w:tcMar>
                  <w:vAlign w:val="center"/>
                </w:tcPr>
                <w:p w14:paraId="04850579" w14:textId="77777777" w:rsidR="00BC107A" w:rsidRPr="00C5504F" w:rsidRDefault="00BC107A" w:rsidP="00BC107A">
                  <w:pPr>
                    <w:autoSpaceDE w:val="0"/>
                    <w:autoSpaceDN w:val="0"/>
                    <w:adjustRightInd w:val="0"/>
                    <w:spacing w:after="0" w:line="240" w:lineRule="auto"/>
                    <w:rPr>
                      <w:rFonts w:ascii="Times New Roman" w:eastAsia="Times New Roman" w:hAnsi="Times New Roman" w:cs="Times New Roman"/>
                      <w:color w:val="000000" w:themeColor="text1"/>
                      <w:lang w:val="fr-FR"/>
                    </w:rPr>
                  </w:pPr>
                  <w:r w:rsidRPr="00C5504F">
                    <w:rPr>
                      <w:rFonts w:ascii="Times New Roman" w:eastAsia="Times New Roman" w:hAnsi="Times New Roman" w:cs="Times New Roman"/>
                      <w:b/>
                      <w:bCs/>
                      <w:color w:val="000000" w:themeColor="text1"/>
                      <w:lang w:val="fr-FR"/>
                    </w:rPr>
                    <w:t xml:space="preserve">Livrables /Description </w:t>
                  </w:r>
                </w:p>
              </w:tc>
              <w:tc>
                <w:tcPr>
                  <w:tcW w:w="1153" w:type="pct"/>
                  <w:tcBorders>
                    <w:top w:val="single" w:sz="8" w:space="0" w:color="000000"/>
                    <w:left w:val="single" w:sz="8" w:space="0" w:color="000000"/>
                    <w:bottom w:val="single" w:sz="8" w:space="0" w:color="000000"/>
                    <w:right w:val="single" w:sz="8" w:space="0" w:color="000000"/>
                  </w:tcBorders>
                  <w:shd w:val="clear" w:color="auto" w:fill="EAE8DA"/>
                  <w:tcMar>
                    <w:top w:w="20" w:type="nil"/>
                    <w:left w:w="20" w:type="nil"/>
                    <w:bottom w:w="20" w:type="nil"/>
                    <w:right w:w="20" w:type="nil"/>
                  </w:tcMar>
                  <w:vAlign w:val="center"/>
                </w:tcPr>
                <w:p w14:paraId="7E2F9605" w14:textId="77777777" w:rsidR="00BC107A" w:rsidRPr="00C5504F" w:rsidRDefault="00BC107A" w:rsidP="00BC107A">
                  <w:pPr>
                    <w:autoSpaceDE w:val="0"/>
                    <w:autoSpaceDN w:val="0"/>
                    <w:adjustRightInd w:val="0"/>
                    <w:spacing w:after="0" w:line="240" w:lineRule="auto"/>
                    <w:rPr>
                      <w:rFonts w:ascii="Times New Roman" w:eastAsia="Times New Roman" w:hAnsi="Times New Roman" w:cs="Times New Roman"/>
                      <w:color w:val="000000" w:themeColor="text1"/>
                      <w:lang w:val="fr-FR"/>
                    </w:rPr>
                  </w:pPr>
                  <w:r w:rsidRPr="00C5504F">
                    <w:rPr>
                      <w:rFonts w:ascii="Times New Roman" w:eastAsia="Times New Roman" w:hAnsi="Times New Roman" w:cs="Times New Roman"/>
                      <w:b/>
                      <w:bCs/>
                      <w:color w:val="000000" w:themeColor="text1"/>
                      <w:lang w:val="fr-FR"/>
                    </w:rPr>
                    <w:t>Echéance proposée</w:t>
                  </w:r>
                </w:p>
              </w:tc>
              <w:tc>
                <w:tcPr>
                  <w:tcW w:w="951" w:type="pct"/>
                  <w:tcBorders>
                    <w:top w:val="single" w:sz="8" w:space="0" w:color="000000"/>
                    <w:left w:val="single" w:sz="8" w:space="0" w:color="000000"/>
                    <w:bottom w:val="single" w:sz="8" w:space="0" w:color="000000"/>
                    <w:right w:val="single" w:sz="8" w:space="0" w:color="000000"/>
                  </w:tcBorders>
                  <w:shd w:val="clear" w:color="auto" w:fill="EAE8DA"/>
                  <w:tcMar>
                    <w:top w:w="20" w:type="nil"/>
                    <w:left w:w="20" w:type="nil"/>
                    <w:bottom w:w="20" w:type="nil"/>
                    <w:right w:w="20" w:type="nil"/>
                  </w:tcMar>
                  <w:vAlign w:val="center"/>
                </w:tcPr>
                <w:p w14:paraId="029B3E53" w14:textId="77777777" w:rsidR="00BC107A" w:rsidRPr="00C5504F" w:rsidRDefault="00BC107A" w:rsidP="00BC107A">
                  <w:pPr>
                    <w:autoSpaceDE w:val="0"/>
                    <w:autoSpaceDN w:val="0"/>
                    <w:adjustRightInd w:val="0"/>
                    <w:spacing w:after="0" w:line="240" w:lineRule="auto"/>
                    <w:rPr>
                      <w:rFonts w:ascii="Times New Roman" w:eastAsia="Times New Roman" w:hAnsi="Times New Roman" w:cs="Times New Roman"/>
                      <w:b/>
                      <w:bCs/>
                      <w:color w:val="000000" w:themeColor="text1"/>
                      <w:lang w:val="fr-FR"/>
                    </w:rPr>
                  </w:pPr>
                  <w:r w:rsidRPr="00C5504F">
                    <w:rPr>
                      <w:rFonts w:ascii="Times New Roman" w:eastAsia="Times New Roman" w:hAnsi="Times New Roman" w:cs="Times New Roman"/>
                      <w:b/>
                      <w:bCs/>
                      <w:color w:val="000000" w:themeColor="text1"/>
                      <w:lang w:val="fr-FR"/>
                    </w:rPr>
                    <w:t>Tranche de paiement</w:t>
                  </w:r>
                </w:p>
              </w:tc>
            </w:tr>
            <w:tr w:rsidR="00BC107A" w:rsidRPr="00B62950" w14:paraId="1BB0EB11" w14:textId="77777777" w:rsidTr="003B72F6">
              <w:tblPrEx>
                <w:tblBorders>
                  <w:top w:val="none" w:sz="0" w:space="0" w:color="auto"/>
                </w:tblBorders>
              </w:tblPrEx>
              <w:trPr>
                <w:trHeight w:val="739"/>
              </w:trPr>
              <w:tc>
                <w:tcPr>
                  <w:tcW w:w="289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59773D" w14:textId="39E67E0E" w:rsidR="00BC107A" w:rsidRPr="00C5504F" w:rsidRDefault="00BC107A" w:rsidP="00BC107A">
                  <w:pPr>
                    <w:spacing w:after="0" w:line="240" w:lineRule="auto"/>
                    <w:rPr>
                      <w:rFonts w:ascii="Times New Roman" w:eastAsia="Calibri" w:hAnsi="Times New Roman" w:cs="Times New Roman"/>
                      <w:color w:val="000000" w:themeColor="text1"/>
                      <w:lang w:val="fr-FR"/>
                    </w:rPr>
                  </w:pPr>
                  <w:r w:rsidRPr="00BC107A">
                    <w:rPr>
                      <w:rFonts w:ascii="Times New Roman" w:eastAsia="Calibri" w:hAnsi="Times New Roman" w:cs="Times New Roman"/>
                      <w:b/>
                      <w:bCs/>
                      <w:color w:val="000000" w:themeColor="text1"/>
                      <w:lang w:val="fr-FR"/>
                    </w:rPr>
                    <w:t xml:space="preserve">Livrable 1 </w:t>
                  </w:r>
                  <w:r w:rsidR="005166E0" w:rsidRPr="005166E0">
                    <w:rPr>
                      <w:rFonts w:ascii="Times New Roman" w:eastAsia="Calibri" w:hAnsi="Times New Roman" w:cs="Times New Roman"/>
                      <w:color w:val="000000" w:themeColor="text1"/>
                      <w:lang w:val="fr-FR"/>
                    </w:rPr>
                    <w:t xml:space="preserve">- </w:t>
                  </w:r>
                  <w:r w:rsidR="00D7566A" w:rsidRPr="00D7566A">
                    <w:rPr>
                      <w:rFonts w:ascii="Times New Roman" w:eastAsia="Calibri" w:hAnsi="Times New Roman" w:cs="Times New Roman"/>
                      <w:color w:val="000000" w:themeColor="text1"/>
                      <w:lang w:val="fr-FR"/>
                    </w:rPr>
                    <w:t xml:space="preserve">Livrable 1 - Rapport initial reprenant la note méthodologique décrivant la démarche à suivre ainsi que les personnes/autorités/partenaires/structures à rencontrer pour garantir l’atteinte des résultats, ainsi qu’un chronogramme de la mission. Ce livrable constituera la première base sur laquelle le / les consultant (e)s et l’équipe du projet s’accorderont. Le rapport initial sera soumis au PNUD dans les cinq (5) jours suivants la prise de fonction. </w:t>
                  </w:r>
                </w:p>
              </w:tc>
              <w:tc>
                <w:tcPr>
                  <w:tcW w:w="11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401B68" w14:textId="1995A821" w:rsidR="00BC107A" w:rsidRPr="00C5504F" w:rsidRDefault="00BC107A" w:rsidP="00BC107A">
                  <w:pPr>
                    <w:autoSpaceDE w:val="0"/>
                    <w:autoSpaceDN w:val="0"/>
                    <w:adjustRightInd w:val="0"/>
                    <w:spacing w:after="0" w:line="240" w:lineRule="auto"/>
                    <w:rPr>
                      <w:rFonts w:ascii="Times New Roman" w:eastAsia="Calibri" w:hAnsi="Times New Roman" w:cs="Times New Roman"/>
                      <w:color w:val="000000" w:themeColor="text1"/>
                      <w:lang w:val="fr-FR"/>
                    </w:rPr>
                  </w:pPr>
                  <w:r w:rsidRPr="00C5504F">
                    <w:rPr>
                      <w:rFonts w:ascii="Times New Roman" w:eastAsia="Calibri" w:hAnsi="Times New Roman" w:cs="Times New Roman"/>
                      <w:color w:val="000000" w:themeColor="text1"/>
                      <w:lang w:val="fr-FR"/>
                    </w:rPr>
                    <w:t>5</w:t>
                  </w:r>
                  <w:r w:rsidR="00C54CFE" w:rsidRPr="00C54CFE">
                    <w:rPr>
                      <w:rFonts w:ascii="Times New Roman" w:eastAsia="Calibri" w:hAnsi="Times New Roman" w:cs="Times New Roman"/>
                      <w:color w:val="000000" w:themeColor="text1"/>
                      <w:vertAlign w:val="superscript"/>
                      <w:lang w:val="fr-FR"/>
                    </w:rPr>
                    <w:t>ème</w:t>
                  </w:r>
                  <w:r w:rsidR="00C54CFE">
                    <w:rPr>
                      <w:rFonts w:ascii="Times New Roman" w:eastAsia="Calibri" w:hAnsi="Times New Roman" w:cs="Times New Roman"/>
                      <w:color w:val="000000" w:themeColor="text1"/>
                      <w:lang w:val="fr-FR"/>
                    </w:rPr>
                    <w:t xml:space="preserve"> </w:t>
                  </w:r>
                  <w:r w:rsidR="00C54CFE" w:rsidRPr="00C5504F">
                    <w:rPr>
                      <w:rFonts w:ascii="Times New Roman" w:eastAsia="Calibri" w:hAnsi="Times New Roman" w:cs="Times New Roman"/>
                      <w:color w:val="000000" w:themeColor="text1"/>
                      <w:lang w:val="fr-FR"/>
                    </w:rPr>
                    <w:t>Jour</w:t>
                  </w:r>
                  <w:r w:rsidRPr="00C5504F">
                    <w:rPr>
                      <w:rFonts w:ascii="Times New Roman" w:eastAsia="Calibri" w:hAnsi="Times New Roman" w:cs="Times New Roman"/>
                      <w:color w:val="000000" w:themeColor="text1"/>
                      <w:lang w:val="fr-FR"/>
                    </w:rPr>
                    <w:t xml:space="preserve"> ouvrables après la signature du contrat </w:t>
                  </w:r>
                </w:p>
              </w:tc>
              <w:tc>
                <w:tcPr>
                  <w:tcW w:w="951" w:type="pct"/>
                  <w:vMerge w:val="restart"/>
                  <w:tcBorders>
                    <w:top w:val="single" w:sz="8" w:space="0" w:color="000000"/>
                    <w:left w:val="single" w:sz="8" w:space="0" w:color="000000"/>
                    <w:right w:val="single" w:sz="8" w:space="0" w:color="000000"/>
                  </w:tcBorders>
                  <w:tcMar>
                    <w:top w:w="20" w:type="nil"/>
                    <w:left w:w="20" w:type="nil"/>
                    <w:bottom w:w="20" w:type="nil"/>
                    <w:right w:w="20" w:type="nil"/>
                  </w:tcMar>
                  <w:vAlign w:val="center"/>
                </w:tcPr>
                <w:p w14:paraId="136819C2" w14:textId="77777777" w:rsidR="00BC107A" w:rsidRPr="00C5504F" w:rsidRDefault="00BC107A" w:rsidP="00BC107A">
                  <w:pPr>
                    <w:autoSpaceDE w:val="0"/>
                    <w:autoSpaceDN w:val="0"/>
                    <w:adjustRightInd w:val="0"/>
                    <w:spacing w:after="0" w:line="240" w:lineRule="auto"/>
                    <w:ind w:left="284"/>
                    <w:rPr>
                      <w:rFonts w:ascii="Times New Roman" w:eastAsia="Calibri" w:hAnsi="Times New Roman" w:cs="Times New Roman"/>
                      <w:color w:val="000000" w:themeColor="text1"/>
                      <w:lang w:val="fr-FR"/>
                    </w:rPr>
                  </w:pPr>
                  <w:r w:rsidRPr="00C5504F">
                    <w:rPr>
                      <w:rFonts w:ascii="Times New Roman" w:eastAsia="Calibri" w:hAnsi="Times New Roman" w:cs="Times New Roman"/>
                      <w:color w:val="000000" w:themeColor="text1"/>
                      <w:lang w:val="fr-FR"/>
                    </w:rPr>
                    <w:t>30%</w:t>
                  </w:r>
                </w:p>
              </w:tc>
            </w:tr>
            <w:tr w:rsidR="00BC107A" w:rsidRPr="00B62950" w14:paraId="253061DE" w14:textId="77777777" w:rsidTr="003B72F6">
              <w:tblPrEx>
                <w:tblBorders>
                  <w:top w:val="none" w:sz="0" w:space="0" w:color="auto"/>
                </w:tblBorders>
              </w:tblPrEx>
              <w:trPr>
                <w:trHeight w:val="503"/>
              </w:trPr>
              <w:tc>
                <w:tcPr>
                  <w:tcW w:w="289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36A402" w14:textId="2CB55582" w:rsidR="00BC107A" w:rsidRPr="00C5504F" w:rsidRDefault="00BC107A" w:rsidP="00BC107A">
                  <w:pPr>
                    <w:rPr>
                      <w:rFonts w:ascii="Times New Roman" w:eastAsia="Calibri" w:hAnsi="Times New Roman" w:cs="Times New Roman"/>
                      <w:color w:val="000000" w:themeColor="text1"/>
                      <w:lang w:val="fr-FR"/>
                    </w:rPr>
                  </w:pPr>
                  <w:r w:rsidRPr="00BC107A">
                    <w:rPr>
                      <w:rFonts w:ascii="Times New Roman" w:eastAsia="Calibri" w:hAnsi="Times New Roman" w:cs="Times New Roman"/>
                      <w:b/>
                      <w:bCs/>
                      <w:color w:val="000000" w:themeColor="text1"/>
                      <w:lang w:val="fr-FR"/>
                    </w:rPr>
                    <w:t>Livrable 2 –</w:t>
                  </w:r>
                  <w:r w:rsidR="00D7566A" w:rsidRPr="00D7566A">
                    <w:rPr>
                      <w:rFonts w:ascii="Times New Roman" w:eastAsia="Calibri" w:hAnsi="Times New Roman" w:cs="Times New Roman"/>
                      <w:color w:val="000000" w:themeColor="text1"/>
                      <w:lang w:val="fr-FR"/>
                    </w:rPr>
                    <w:t>Diagnostic institutionnel du CSM assorti d’un plan de renforcement des capacités et une feuille de route pour sa mise en œuvre. A soumettre dans les 20 jours suivants la prise de fonction.</w:t>
                  </w:r>
                </w:p>
              </w:tc>
              <w:tc>
                <w:tcPr>
                  <w:tcW w:w="1153" w:type="pct"/>
                  <w:vMerge w:val="restart"/>
                  <w:tcBorders>
                    <w:top w:val="single" w:sz="8" w:space="0" w:color="000000"/>
                    <w:left w:val="single" w:sz="8" w:space="0" w:color="000000"/>
                    <w:right w:val="single" w:sz="8" w:space="0" w:color="000000"/>
                  </w:tcBorders>
                  <w:tcMar>
                    <w:top w:w="20" w:type="nil"/>
                    <w:left w:w="20" w:type="nil"/>
                    <w:bottom w:w="20" w:type="nil"/>
                    <w:right w:w="20" w:type="nil"/>
                  </w:tcMar>
                  <w:vAlign w:val="center"/>
                </w:tcPr>
                <w:p w14:paraId="643EC517" w14:textId="507088C2" w:rsidR="00BC107A" w:rsidRPr="00C5504F" w:rsidRDefault="00BC107A" w:rsidP="00BC107A">
                  <w:pPr>
                    <w:autoSpaceDE w:val="0"/>
                    <w:autoSpaceDN w:val="0"/>
                    <w:adjustRightInd w:val="0"/>
                    <w:spacing w:after="0" w:line="240" w:lineRule="auto"/>
                    <w:ind w:left="284"/>
                    <w:rPr>
                      <w:rFonts w:ascii="Times New Roman" w:eastAsia="Calibri" w:hAnsi="Times New Roman" w:cs="Times New Roman"/>
                      <w:color w:val="000000" w:themeColor="text1"/>
                      <w:lang w:val="fr-FR"/>
                    </w:rPr>
                  </w:pPr>
                  <w:r w:rsidRPr="00C5504F">
                    <w:rPr>
                      <w:rFonts w:ascii="Times New Roman" w:eastAsia="Calibri" w:hAnsi="Times New Roman" w:cs="Times New Roman"/>
                      <w:color w:val="000000" w:themeColor="text1"/>
                      <w:lang w:val="fr-FR"/>
                    </w:rPr>
                    <w:t>40</w:t>
                  </w:r>
                  <w:r w:rsidR="00C54CFE" w:rsidRPr="00C54CFE">
                    <w:rPr>
                      <w:rFonts w:ascii="Times New Roman" w:eastAsia="Calibri" w:hAnsi="Times New Roman" w:cs="Times New Roman"/>
                      <w:color w:val="000000" w:themeColor="text1"/>
                      <w:vertAlign w:val="superscript"/>
                      <w:lang w:val="fr-FR"/>
                    </w:rPr>
                    <w:t>ème</w:t>
                  </w:r>
                  <w:r w:rsidR="00C54CFE">
                    <w:rPr>
                      <w:rFonts w:ascii="Times New Roman" w:eastAsia="Calibri" w:hAnsi="Times New Roman" w:cs="Times New Roman"/>
                      <w:color w:val="000000" w:themeColor="text1"/>
                      <w:lang w:val="fr-FR"/>
                    </w:rPr>
                    <w:t xml:space="preserve"> Jour </w:t>
                  </w:r>
                </w:p>
                <w:p w14:paraId="571BFC37" w14:textId="77777777" w:rsidR="00BC107A" w:rsidRPr="00C5504F" w:rsidRDefault="00BC107A" w:rsidP="00BC107A">
                  <w:pPr>
                    <w:autoSpaceDE w:val="0"/>
                    <w:autoSpaceDN w:val="0"/>
                    <w:adjustRightInd w:val="0"/>
                    <w:spacing w:after="0" w:line="240" w:lineRule="auto"/>
                    <w:ind w:left="284"/>
                    <w:rPr>
                      <w:rFonts w:ascii="Times New Roman" w:eastAsia="Calibri" w:hAnsi="Times New Roman" w:cs="Times New Roman"/>
                      <w:color w:val="000000" w:themeColor="text1"/>
                      <w:lang w:val="fr-FR"/>
                    </w:rPr>
                  </w:pPr>
                </w:p>
              </w:tc>
              <w:tc>
                <w:tcPr>
                  <w:tcW w:w="951" w:type="pct"/>
                  <w:vMerge/>
                  <w:tcBorders>
                    <w:left w:val="single" w:sz="8" w:space="0" w:color="000000"/>
                    <w:right w:val="single" w:sz="8" w:space="0" w:color="000000"/>
                  </w:tcBorders>
                  <w:tcMar>
                    <w:top w:w="20" w:type="nil"/>
                    <w:left w:w="20" w:type="nil"/>
                    <w:bottom w:w="20" w:type="nil"/>
                    <w:right w:w="20" w:type="nil"/>
                  </w:tcMar>
                  <w:vAlign w:val="center"/>
                </w:tcPr>
                <w:p w14:paraId="67A7A34B" w14:textId="77777777" w:rsidR="00BC107A" w:rsidRPr="00C5504F" w:rsidRDefault="00BC107A" w:rsidP="00BC107A">
                  <w:pPr>
                    <w:autoSpaceDE w:val="0"/>
                    <w:autoSpaceDN w:val="0"/>
                    <w:adjustRightInd w:val="0"/>
                    <w:spacing w:after="0" w:line="240" w:lineRule="auto"/>
                    <w:ind w:left="284"/>
                    <w:rPr>
                      <w:rFonts w:ascii="Times New Roman" w:eastAsia="Calibri" w:hAnsi="Times New Roman" w:cs="Times New Roman"/>
                      <w:color w:val="000000" w:themeColor="text1"/>
                      <w:lang w:val="fr-FR"/>
                    </w:rPr>
                  </w:pPr>
                </w:p>
              </w:tc>
            </w:tr>
            <w:tr w:rsidR="00BC107A" w:rsidRPr="00D66429" w14:paraId="16D566AD" w14:textId="77777777" w:rsidTr="003B72F6">
              <w:tblPrEx>
                <w:tblBorders>
                  <w:top w:val="none" w:sz="0" w:space="0" w:color="auto"/>
                </w:tblBorders>
              </w:tblPrEx>
              <w:trPr>
                <w:trHeight w:val="250"/>
              </w:trPr>
              <w:tc>
                <w:tcPr>
                  <w:tcW w:w="289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83BF1D" w14:textId="64C0ED03" w:rsidR="009C3149" w:rsidRDefault="00BC107A" w:rsidP="005166E0">
                  <w:pPr>
                    <w:spacing w:after="0" w:line="240" w:lineRule="auto"/>
                    <w:jc w:val="both"/>
                    <w:rPr>
                      <w:rFonts w:ascii="Times New Roman" w:eastAsia="Calibri" w:hAnsi="Times New Roman" w:cs="Times New Roman"/>
                      <w:color w:val="000000" w:themeColor="text1"/>
                      <w:lang w:val="fr-FR"/>
                    </w:rPr>
                  </w:pPr>
                  <w:r w:rsidRPr="00BC107A">
                    <w:rPr>
                      <w:rFonts w:ascii="Times New Roman" w:eastAsia="Calibri" w:hAnsi="Times New Roman" w:cs="Times New Roman"/>
                      <w:b/>
                      <w:bCs/>
                      <w:color w:val="000000" w:themeColor="text1"/>
                      <w:lang w:val="fr-FR"/>
                    </w:rPr>
                    <w:t>Livrable 3</w:t>
                  </w:r>
                  <w:r w:rsidRPr="00BC107A">
                    <w:rPr>
                      <w:rFonts w:ascii="Times New Roman" w:eastAsia="Calibri" w:hAnsi="Times New Roman" w:cs="Times New Roman"/>
                      <w:color w:val="000000" w:themeColor="text1"/>
                      <w:lang w:val="fr-FR"/>
                    </w:rPr>
                    <w:t xml:space="preserve"> –</w:t>
                  </w:r>
                  <w:r w:rsidR="009C3149" w:rsidRPr="009C3149">
                    <w:rPr>
                      <w:rFonts w:ascii="Times New Roman" w:eastAsia="Calibri" w:hAnsi="Times New Roman" w:cs="Times New Roman"/>
                      <w:color w:val="000000" w:themeColor="text1"/>
                      <w:lang w:val="fr-FR"/>
                    </w:rPr>
                    <w:t>Document de plaidoyer en vue de promouvoir une hausse progressive de la part de la justice dans le budget de l’Etat. A soumettre dans les 35 jours suivants la prise de fonction.</w:t>
                  </w:r>
                </w:p>
                <w:p w14:paraId="1B6F4D49" w14:textId="7C47ACE6" w:rsidR="00BC107A" w:rsidRPr="00C5504F" w:rsidRDefault="00BC107A" w:rsidP="005166E0">
                  <w:pPr>
                    <w:spacing w:after="0" w:line="240" w:lineRule="auto"/>
                    <w:jc w:val="both"/>
                    <w:rPr>
                      <w:rFonts w:ascii="Times New Roman" w:eastAsia="Calibri" w:hAnsi="Times New Roman" w:cs="Times New Roman"/>
                      <w:color w:val="000000" w:themeColor="text1"/>
                      <w:lang w:val="fr-FR"/>
                    </w:rPr>
                  </w:pPr>
                </w:p>
              </w:tc>
              <w:tc>
                <w:tcPr>
                  <w:tcW w:w="1153" w:type="pct"/>
                  <w:vMerge/>
                  <w:tcBorders>
                    <w:left w:val="single" w:sz="8" w:space="0" w:color="000000"/>
                    <w:bottom w:val="single" w:sz="8" w:space="0" w:color="000000"/>
                    <w:right w:val="single" w:sz="8" w:space="0" w:color="000000"/>
                  </w:tcBorders>
                  <w:tcMar>
                    <w:top w:w="20" w:type="nil"/>
                    <w:left w:w="20" w:type="nil"/>
                    <w:bottom w:w="20" w:type="nil"/>
                    <w:right w:w="20" w:type="nil"/>
                  </w:tcMar>
                  <w:vAlign w:val="center"/>
                </w:tcPr>
                <w:p w14:paraId="17F4A790" w14:textId="77777777" w:rsidR="00BC107A" w:rsidRPr="00C5504F" w:rsidRDefault="00BC107A" w:rsidP="00BC107A">
                  <w:pPr>
                    <w:autoSpaceDE w:val="0"/>
                    <w:autoSpaceDN w:val="0"/>
                    <w:adjustRightInd w:val="0"/>
                    <w:spacing w:after="0" w:line="240" w:lineRule="auto"/>
                    <w:ind w:left="284"/>
                    <w:rPr>
                      <w:rFonts w:ascii="Times New Roman" w:eastAsia="Calibri" w:hAnsi="Times New Roman" w:cs="Times New Roman"/>
                      <w:color w:val="000000" w:themeColor="text1"/>
                      <w:lang w:val="fr-FR"/>
                    </w:rPr>
                  </w:pPr>
                </w:p>
              </w:tc>
              <w:tc>
                <w:tcPr>
                  <w:tcW w:w="951" w:type="pct"/>
                  <w:vMerge/>
                  <w:tcBorders>
                    <w:left w:val="single" w:sz="8" w:space="0" w:color="000000"/>
                    <w:bottom w:val="single" w:sz="8" w:space="0" w:color="000000"/>
                    <w:right w:val="single" w:sz="8" w:space="0" w:color="000000"/>
                  </w:tcBorders>
                  <w:tcMar>
                    <w:top w:w="20" w:type="nil"/>
                    <w:left w:w="20" w:type="nil"/>
                    <w:bottom w:w="20" w:type="nil"/>
                    <w:right w:w="20" w:type="nil"/>
                  </w:tcMar>
                  <w:vAlign w:val="center"/>
                </w:tcPr>
                <w:p w14:paraId="1FCD0213" w14:textId="77777777" w:rsidR="00BC107A" w:rsidRPr="00C5504F" w:rsidRDefault="00BC107A" w:rsidP="00BC107A">
                  <w:pPr>
                    <w:autoSpaceDE w:val="0"/>
                    <w:autoSpaceDN w:val="0"/>
                    <w:adjustRightInd w:val="0"/>
                    <w:spacing w:after="0" w:line="240" w:lineRule="auto"/>
                    <w:ind w:left="284"/>
                    <w:rPr>
                      <w:rFonts w:ascii="Times New Roman" w:eastAsia="Calibri" w:hAnsi="Times New Roman" w:cs="Times New Roman"/>
                      <w:color w:val="000000" w:themeColor="text1"/>
                      <w:lang w:val="fr-FR"/>
                    </w:rPr>
                  </w:pPr>
                </w:p>
              </w:tc>
            </w:tr>
            <w:tr w:rsidR="000F2D52" w:rsidRPr="00B62950" w14:paraId="512E62ED" w14:textId="77777777" w:rsidTr="00242616">
              <w:tblPrEx>
                <w:tblBorders>
                  <w:top w:val="none" w:sz="0" w:space="0" w:color="auto"/>
                </w:tblBorders>
              </w:tblPrEx>
              <w:trPr>
                <w:trHeight w:val="739"/>
              </w:trPr>
              <w:tc>
                <w:tcPr>
                  <w:tcW w:w="289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D0B12C" w14:textId="0489FD6A" w:rsidR="000F2D52" w:rsidRPr="00BC107A" w:rsidRDefault="000F2D52" w:rsidP="00BC107A">
                  <w:pPr>
                    <w:rPr>
                      <w:rFonts w:ascii="Times New Roman" w:eastAsia="Calibri" w:hAnsi="Times New Roman" w:cs="Times New Roman"/>
                      <w:color w:val="000000" w:themeColor="text1"/>
                      <w:lang w:val="fr-CD"/>
                    </w:rPr>
                  </w:pPr>
                  <w:r w:rsidRPr="00BC107A">
                    <w:rPr>
                      <w:rFonts w:ascii="Times New Roman" w:eastAsia="Calibri" w:hAnsi="Times New Roman" w:cs="Times New Roman"/>
                      <w:b/>
                      <w:bCs/>
                      <w:color w:val="000000" w:themeColor="text1"/>
                      <w:lang w:val="fr-CD"/>
                    </w:rPr>
                    <w:t>Livrable 4</w:t>
                  </w:r>
                  <w:r w:rsidRPr="00BC107A">
                    <w:rPr>
                      <w:rFonts w:ascii="Times New Roman" w:eastAsia="Calibri" w:hAnsi="Times New Roman" w:cs="Times New Roman"/>
                      <w:color w:val="000000" w:themeColor="text1"/>
                      <w:lang w:val="fr-CD"/>
                    </w:rPr>
                    <w:t xml:space="preserve"> : </w:t>
                  </w:r>
                  <w:r w:rsidRPr="009C3149">
                    <w:rPr>
                      <w:rFonts w:ascii="Times New Roman" w:eastAsia="Calibri" w:hAnsi="Times New Roman" w:cs="Times New Roman"/>
                      <w:color w:val="000000" w:themeColor="text1"/>
                      <w:lang w:val="fr-CD"/>
                    </w:rPr>
                    <w:t>Stratégie de renforcement des capacités institutionnelles, organisationnelles et individuelles en matière de programmation, de planification, de budgétisation et de suivi évaluation axée sur les résultats de la Direction d’Administration et Finances (DAF) ainsi que de la cellule finances et budget du CSM. A soumettre dans les 50 jours suivants la prise de fonction.</w:t>
                  </w:r>
                </w:p>
              </w:tc>
              <w:tc>
                <w:tcPr>
                  <w:tcW w:w="1153" w:type="pct"/>
                  <w:tcBorders>
                    <w:top w:val="single" w:sz="8" w:space="0" w:color="000000"/>
                    <w:left w:val="single" w:sz="8" w:space="0" w:color="000000"/>
                    <w:bottom w:val="single" w:sz="4" w:space="0" w:color="auto"/>
                    <w:right w:val="single" w:sz="8" w:space="0" w:color="000000"/>
                  </w:tcBorders>
                  <w:tcMar>
                    <w:top w:w="20" w:type="nil"/>
                    <w:left w:w="20" w:type="nil"/>
                    <w:bottom w:w="20" w:type="nil"/>
                    <w:right w:w="20" w:type="nil"/>
                  </w:tcMar>
                  <w:vAlign w:val="center"/>
                </w:tcPr>
                <w:p w14:paraId="7EC400C2" w14:textId="77777777" w:rsidR="000F2D52" w:rsidRPr="00C5504F" w:rsidRDefault="000F2D52" w:rsidP="00BC107A">
                  <w:pPr>
                    <w:autoSpaceDE w:val="0"/>
                    <w:autoSpaceDN w:val="0"/>
                    <w:adjustRightInd w:val="0"/>
                    <w:spacing w:after="0" w:line="240" w:lineRule="auto"/>
                    <w:ind w:left="284"/>
                    <w:rPr>
                      <w:rFonts w:ascii="Times New Roman" w:eastAsia="Calibri" w:hAnsi="Times New Roman" w:cs="Times New Roman"/>
                      <w:color w:val="000000" w:themeColor="text1"/>
                      <w:lang w:val="fr-FR"/>
                    </w:rPr>
                  </w:pPr>
                  <w:r w:rsidRPr="00C5504F">
                    <w:rPr>
                      <w:rFonts w:ascii="Times New Roman" w:eastAsia="Calibri" w:hAnsi="Times New Roman" w:cs="Times New Roman"/>
                      <w:color w:val="000000" w:themeColor="text1"/>
                      <w:lang w:val="fr-FR"/>
                    </w:rPr>
                    <w:t>5</w:t>
                  </w:r>
                  <w:r>
                    <w:rPr>
                      <w:rFonts w:ascii="Times New Roman" w:eastAsia="Calibri" w:hAnsi="Times New Roman" w:cs="Times New Roman"/>
                      <w:color w:val="000000" w:themeColor="text1"/>
                      <w:lang w:val="fr-FR"/>
                    </w:rPr>
                    <w:t>0</w:t>
                  </w:r>
                  <w:r w:rsidRPr="00C5504F">
                    <w:rPr>
                      <w:rFonts w:ascii="Times New Roman" w:eastAsia="Calibri" w:hAnsi="Times New Roman" w:cs="Times New Roman"/>
                      <w:color w:val="000000" w:themeColor="text1"/>
                      <w:vertAlign w:val="superscript"/>
                      <w:lang w:val="fr-FR"/>
                    </w:rPr>
                    <w:t>ème</w:t>
                  </w:r>
                  <w:r w:rsidRPr="00C5504F">
                    <w:rPr>
                      <w:rFonts w:ascii="Times New Roman" w:eastAsia="Calibri" w:hAnsi="Times New Roman" w:cs="Times New Roman"/>
                      <w:color w:val="000000" w:themeColor="text1"/>
                      <w:lang w:val="fr-FR"/>
                    </w:rPr>
                    <w:t xml:space="preserve"> jour </w:t>
                  </w:r>
                </w:p>
                <w:p w14:paraId="4829B2E9" w14:textId="60FFC549" w:rsidR="000F2D52" w:rsidRPr="00C5504F" w:rsidRDefault="000F2D52" w:rsidP="00BC107A">
                  <w:pPr>
                    <w:autoSpaceDE w:val="0"/>
                    <w:autoSpaceDN w:val="0"/>
                    <w:adjustRightInd w:val="0"/>
                    <w:spacing w:after="0" w:line="240" w:lineRule="auto"/>
                    <w:ind w:left="284"/>
                    <w:rPr>
                      <w:rFonts w:ascii="Times New Roman" w:eastAsia="Calibri" w:hAnsi="Times New Roman" w:cs="Times New Roman"/>
                      <w:color w:val="000000" w:themeColor="text1"/>
                      <w:lang w:val="fr-FR"/>
                    </w:rPr>
                  </w:pPr>
                </w:p>
              </w:tc>
              <w:tc>
                <w:tcPr>
                  <w:tcW w:w="951" w:type="pct"/>
                  <w:vMerge w:val="restart"/>
                  <w:tcBorders>
                    <w:top w:val="single" w:sz="8" w:space="0" w:color="000000"/>
                    <w:left w:val="single" w:sz="8" w:space="0" w:color="000000"/>
                    <w:right w:val="single" w:sz="8" w:space="0" w:color="000000"/>
                  </w:tcBorders>
                  <w:tcMar>
                    <w:top w:w="20" w:type="nil"/>
                    <w:left w:w="20" w:type="nil"/>
                    <w:bottom w:w="20" w:type="nil"/>
                    <w:right w:w="20" w:type="nil"/>
                  </w:tcMar>
                  <w:vAlign w:val="center"/>
                </w:tcPr>
                <w:p w14:paraId="02C16AE4" w14:textId="77777777" w:rsidR="000F2D52" w:rsidRPr="00C5504F" w:rsidRDefault="000F2D52" w:rsidP="00BC107A">
                  <w:pPr>
                    <w:autoSpaceDE w:val="0"/>
                    <w:autoSpaceDN w:val="0"/>
                    <w:adjustRightInd w:val="0"/>
                    <w:spacing w:after="0" w:line="240" w:lineRule="auto"/>
                    <w:ind w:left="284"/>
                    <w:rPr>
                      <w:rFonts w:ascii="Times New Roman" w:eastAsia="Calibri" w:hAnsi="Times New Roman" w:cs="Times New Roman"/>
                      <w:color w:val="000000" w:themeColor="text1"/>
                      <w:lang w:val="fr-FR"/>
                    </w:rPr>
                  </w:pPr>
                  <w:r w:rsidRPr="00C5504F">
                    <w:rPr>
                      <w:rFonts w:ascii="Times New Roman" w:eastAsia="Calibri" w:hAnsi="Times New Roman" w:cs="Times New Roman"/>
                      <w:color w:val="000000" w:themeColor="text1"/>
                      <w:lang w:val="fr-FR"/>
                    </w:rPr>
                    <w:t>50%</w:t>
                  </w:r>
                </w:p>
              </w:tc>
            </w:tr>
            <w:tr w:rsidR="000F2D52" w:rsidRPr="00B62950" w14:paraId="1FCE2315" w14:textId="77777777" w:rsidTr="00242616">
              <w:tblPrEx>
                <w:tblBorders>
                  <w:top w:val="none" w:sz="0" w:space="0" w:color="auto"/>
                </w:tblBorders>
              </w:tblPrEx>
              <w:trPr>
                <w:trHeight w:val="739"/>
              </w:trPr>
              <w:tc>
                <w:tcPr>
                  <w:tcW w:w="289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73B608B" w14:textId="6BF3AC14" w:rsidR="000F2D52" w:rsidRDefault="000F2D52" w:rsidP="00D7566A">
                  <w:pPr>
                    <w:spacing w:after="0" w:line="240" w:lineRule="auto"/>
                    <w:rPr>
                      <w:rFonts w:ascii="Times New Roman" w:eastAsia="Calibri" w:hAnsi="Times New Roman" w:cs="Times New Roman"/>
                      <w:color w:val="000000" w:themeColor="text1"/>
                      <w:lang w:val="fr-FR"/>
                    </w:rPr>
                  </w:pPr>
                  <w:r w:rsidRPr="00BC107A">
                    <w:rPr>
                      <w:rFonts w:ascii="Times New Roman" w:eastAsia="Calibri" w:hAnsi="Times New Roman" w:cs="Times New Roman"/>
                      <w:b/>
                      <w:bCs/>
                      <w:color w:val="000000" w:themeColor="text1"/>
                      <w:lang w:val="fr-FR"/>
                    </w:rPr>
                    <w:lastRenderedPageBreak/>
                    <w:t>Livrable 5</w:t>
                  </w:r>
                  <w:r w:rsidRPr="00BC107A">
                    <w:rPr>
                      <w:rFonts w:ascii="Times New Roman" w:eastAsia="Calibri" w:hAnsi="Times New Roman" w:cs="Times New Roman"/>
                      <w:color w:val="000000" w:themeColor="text1"/>
                      <w:lang w:val="fr-FR"/>
                    </w:rPr>
                    <w:t xml:space="preserve"> -</w:t>
                  </w:r>
                  <w:r w:rsidRPr="00D66429">
                    <w:rPr>
                      <w:lang w:val="fr-FR"/>
                    </w:rPr>
                    <w:t xml:space="preserve"> </w:t>
                  </w:r>
                  <w:r w:rsidRPr="009C3149">
                    <w:rPr>
                      <w:rFonts w:ascii="Times New Roman" w:eastAsia="Calibri" w:hAnsi="Times New Roman" w:cs="Times New Roman"/>
                      <w:color w:val="000000" w:themeColor="text1"/>
                      <w:lang w:val="fr-FR"/>
                    </w:rPr>
                    <w:t>Diagnostic institutionnel de l’IGSJP assorti d’un plan de renforcement des capacités et une feuille de route pour sa mise en œuvre ; A soumettre dans les 65 jours suivants la prise de fonction.</w:t>
                  </w:r>
                </w:p>
                <w:p w14:paraId="442A514B" w14:textId="1AD98740" w:rsidR="000F2D52" w:rsidRPr="00C5504F" w:rsidRDefault="000F2D52" w:rsidP="00D7566A">
                  <w:pPr>
                    <w:spacing w:after="0" w:line="240" w:lineRule="auto"/>
                    <w:rPr>
                      <w:rFonts w:ascii="Times New Roman" w:hAnsi="Times New Roman" w:cs="Times New Roman"/>
                      <w:color w:val="000000" w:themeColor="text1"/>
                      <w:lang w:val="fr-FR"/>
                    </w:rPr>
                  </w:pPr>
                  <w:r w:rsidRPr="00D7566A">
                    <w:rPr>
                      <w:rFonts w:ascii="Times New Roman" w:eastAsia="Calibri" w:hAnsi="Times New Roman" w:cs="Times New Roman"/>
                      <w:color w:val="000000" w:themeColor="text1"/>
                      <w:lang w:val="fr-FR"/>
                    </w:rPr>
                    <w:tab/>
                  </w:r>
                </w:p>
              </w:tc>
              <w:tc>
                <w:tcPr>
                  <w:tcW w:w="1153" w:type="pct"/>
                  <w:tcBorders>
                    <w:top w:val="single" w:sz="4" w:space="0" w:color="auto"/>
                    <w:left w:val="single" w:sz="8" w:space="0" w:color="000000"/>
                    <w:bottom w:val="single" w:sz="8" w:space="0" w:color="000000"/>
                    <w:right w:val="single" w:sz="8" w:space="0" w:color="000000"/>
                  </w:tcBorders>
                  <w:tcMar>
                    <w:top w:w="20" w:type="nil"/>
                    <w:left w:w="20" w:type="nil"/>
                    <w:bottom w:w="20" w:type="nil"/>
                    <w:right w:w="20" w:type="nil"/>
                  </w:tcMar>
                  <w:vAlign w:val="center"/>
                </w:tcPr>
                <w:p w14:paraId="267D7C98" w14:textId="6CAF343D" w:rsidR="000F2D52" w:rsidRPr="00C5504F" w:rsidRDefault="000F2D52" w:rsidP="00BC107A">
                  <w:pPr>
                    <w:autoSpaceDE w:val="0"/>
                    <w:autoSpaceDN w:val="0"/>
                    <w:adjustRightInd w:val="0"/>
                    <w:spacing w:after="0" w:line="240" w:lineRule="auto"/>
                    <w:ind w:left="284"/>
                    <w:rPr>
                      <w:rFonts w:ascii="Times New Roman" w:eastAsia="Calibri" w:hAnsi="Times New Roman" w:cs="Times New Roman"/>
                      <w:color w:val="000000" w:themeColor="text1"/>
                      <w:lang w:val="fr-FR"/>
                    </w:rPr>
                  </w:pPr>
                  <w:r>
                    <w:rPr>
                      <w:rFonts w:ascii="Times New Roman" w:eastAsia="Calibri" w:hAnsi="Times New Roman" w:cs="Times New Roman"/>
                      <w:color w:val="000000" w:themeColor="text1"/>
                      <w:lang w:val="fr-FR"/>
                    </w:rPr>
                    <w:t>65</w:t>
                  </w:r>
                  <w:r w:rsidRPr="00D7566A">
                    <w:rPr>
                      <w:rFonts w:ascii="Times New Roman" w:eastAsia="Calibri" w:hAnsi="Times New Roman" w:cs="Times New Roman"/>
                      <w:color w:val="000000" w:themeColor="text1"/>
                      <w:lang w:val="fr-FR"/>
                    </w:rPr>
                    <w:t>ème jour</w:t>
                  </w:r>
                  <w:r w:rsidRPr="00D7566A">
                    <w:rPr>
                      <w:rFonts w:ascii="Times New Roman" w:eastAsia="Calibri" w:hAnsi="Times New Roman" w:cs="Times New Roman"/>
                      <w:color w:val="000000" w:themeColor="text1"/>
                      <w:lang w:val="fr-FR"/>
                    </w:rPr>
                    <w:tab/>
                  </w:r>
                </w:p>
              </w:tc>
              <w:tc>
                <w:tcPr>
                  <w:tcW w:w="951" w:type="pct"/>
                  <w:vMerge/>
                  <w:tcBorders>
                    <w:left w:val="single" w:sz="8" w:space="0" w:color="000000"/>
                    <w:bottom w:val="single" w:sz="4" w:space="0" w:color="auto"/>
                    <w:right w:val="single" w:sz="8" w:space="0" w:color="000000"/>
                  </w:tcBorders>
                  <w:tcMar>
                    <w:top w:w="20" w:type="nil"/>
                    <w:left w:w="20" w:type="nil"/>
                    <w:bottom w:w="20" w:type="nil"/>
                    <w:right w:w="20" w:type="nil"/>
                  </w:tcMar>
                  <w:vAlign w:val="center"/>
                </w:tcPr>
                <w:p w14:paraId="37219E99" w14:textId="77777777" w:rsidR="000F2D52" w:rsidRPr="00C5504F" w:rsidRDefault="000F2D52" w:rsidP="00BC107A">
                  <w:pPr>
                    <w:autoSpaceDE w:val="0"/>
                    <w:autoSpaceDN w:val="0"/>
                    <w:adjustRightInd w:val="0"/>
                    <w:spacing w:after="0" w:line="240" w:lineRule="auto"/>
                    <w:ind w:left="284"/>
                    <w:rPr>
                      <w:rFonts w:ascii="Times New Roman" w:eastAsia="Calibri" w:hAnsi="Times New Roman" w:cs="Times New Roman"/>
                      <w:color w:val="000000" w:themeColor="text1"/>
                      <w:lang w:val="fr-FR"/>
                    </w:rPr>
                  </w:pPr>
                </w:p>
              </w:tc>
            </w:tr>
            <w:tr w:rsidR="000F2D52" w:rsidRPr="00B62950" w14:paraId="7CDF40E6" w14:textId="77777777" w:rsidTr="00F41C1A">
              <w:tblPrEx>
                <w:tblBorders>
                  <w:top w:val="none" w:sz="0" w:space="0" w:color="auto"/>
                </w:tblBorders>
              </w:tblPrEx>
              <w:trPr>
                <w:trHeight w:val="263"/>
              </w:trPr>
              <w:tc>
                <w:tcPr>
                  <w:tcW w:w="289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DDDDC3" w14:textId="2AAE2D86" w:rsidR="000F2D52" w:rsidRPr="00C5504F" w:rsidRDefault="000F2D52" w:rsidP="000F2D52">
                  <w:pPr>
                    <w:rPr>
                      <w:rFonts w:ascii="Times New Roman" w:eastAsia="Calibri" w:hAnsi="Times New Roman" w:cs="Times New Roman"/>
                      <w:color w:val="000000" w:themeColor="text1"/>
                      <w:lang w:val="fr-FR"/>
                    </w:rPr>
                  </w:pPr>
                  <w:r w:rsidRPr="00BC107A">
                    <w:rPr>
                      <w:rFonts w:ascii="Times New Roman" w:eastAsia="Calibri" w:hAnsi="Times New Roman" w:cs="Times New Roman"/>
                      <w:b/>
                      <w:bCs/>
                      <w:color w:val="000000" w:themeColor="text1"/>
                      <w:lang w:val="fr-FR"/>
                    </w:rPr>
                    <w:t>Livrable 6</w:t>
                  </w:r>
                  <w:r w:rsidRPr="00BC107A">
                    <w:rPr>
                      <w:rFonts w:ascii="Times New Roman" w:eastAsia="Calibri" w:hAnsi="Times New Roman" w:cs="Times New Roman"/>
                      <w:color w:val="000000" w:themeColor="text1"/>
                      <w:lang w:val="fr-FR"/>
                    </w:rPr>
                    <w:t xml:space="preserve"> - </w:t>
                  </w:r>
                  <w:r w:rsidRPr="000F2D52">
                    <w:rPr>
                      <w:rFonts w:ascii="Times New Roman" w:eastAsia="Calibri" w:hAnsi="Times New Roman" w:cs="Times New Roman"/>
                      <w:color w:val="000000" w:themeColor="text1"/>
                      <w:lang w:val="fr-FR"/>
                    </w:rPr>
                    <w:t>Rapport de l’état des lieux du fonctionnement des chambres de discipline assorti de recommandations. A soumettre dans les 80 jours suivants la prise de fonction.</w:t>
                  </w:r>
                </w:p>
              </w:tc>
              <w:tc>
                <w:tcPr>
                  <w:tcW w:w="11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19142BA" w14:textId="6ECED6E7" w:rsidR="000F2D52" w:rsidRPr="00C5504F" w:rsidRDefault="000F2D52" w:rsidP="00BC107A">
                  <w:pPr>
                    <w:autoSpaceDE w:val="0"/>
                    <w:autoSpaceDN w:val="0"/>
                    <w:adjustRightInd w:val="0"/>
                    <w:spacing w:after="0" w:line="240" w:lineRule="auto"/>
                    <w:ind w:left="284"/>
                    <w:rPr>
                      <w:rFonts w:ascii="Times New Roman" w:eastAsia="Calibri" w:hAnsi="Times New Roman" w:cs="Times New Roman"/>
                      <w:color w:val="000000" w:themeColor="text1"/>
                      <w:lang w:val="fr-FR"/>
                    </w:rPr>
                  </w:pPr>
                  <w:r>
                    <w:rPr>
                      <w:rFonts w:ascii="Times New Roman" w:eastAsia="Calibri" w:hAnsi="Times New Roman" w:cs="Times New Roman"/>
                      <w:color w:val="000000" w:themeColor="text1"/>
                      <w:lang w:val="fr-FR"/>
                    </w:rPr>
                    <w:t>80</w:t>
                  </w:r>
                  <w:r w:rsidRPr="00C5504F">
                    <w:rPr>
                      <w:rFonts w:ascii="Times New Roman" w:eastAsia="Calibri" w:hAnsi="Times New Roman" w:cs="Times New Roman"/>
                      <w:color w:val="000000" w:themeColor="text1"/>
                      <w:vertAlign w:val="superscript"/>
                      <w:lang w:val="fr-FR"/>
                    </w:rPr>
                    <w:t>ème</w:t>
                  </w:r>
                  <w:r w:rsidRPr="00C5504F">
                    <w:rPr>
                      <w:rFonts w:ascii="Times New Roman" w:eastAsia="Calibri" w:hAnsi="Times New Roman" w:cs="Times New Roman"/>
                      <w:color w:val="000000" w:themeColor="text1"/>
                      <w:lang w:val="fr-FR"/>
                    </w:rPr>
                    <w:t xml:space="preserve"> jour</w:t>
                  </w:r>
                </w:p>
              </w:tc>
              <w:tc>
                <w:tcPr>
                  <w:tcW w:w="951" w:type="pct"/>
                  <w:vMerge w:val="restart"/>
                  <w:tcBorders>
                    <w:top w:val="single" w:sz="4" w:space="0" w:color="auto"/>
                    <w:left w:val="single" w:sz="8" w:space="0" w:color="000000"/>
                    <w:right w:val="single" w:sz="8" w:space="0" w:color="000000"/>
                  </w:tcBorders>
                  <w:tcMar>
                    <w:top w:w="20" w:type="nil"/>
                    <w:left w:w="20" w:type="nil"/>
                    <w:bottom w:w="20" w:type="nil"/>
                    <w:right w:w="20" w:type="nil"/>
                  </w:tcMar>
                  <w:vAlign w:val="center"/>
                </w:tcPr>
                <w:p w14:paraId="7CB9BEF2" w14:textId="77777777" w:rsidR="000F2D52" w:rsidRPr="00C5504F" w:rsidRDefault="000F2D52" w:rsidP="00BC107A">
                  <w:pPr>
                    <w:autoSpaceDE w:val="0"/>
                    <w:autoSpaceDN w:val="0"/>
                    <w:adjustRightInd w:val="0"/>
                    <w:spacing w:after="0" w:line="240" w:lineRule="auto"/>
                    <w:ind w:left="284"/>
                    <w:rPr>
                      <w:rFonts w:ascii="Times New Roman" w:eastAsia="Calibri" w:hAnsi="Times New Roman" w:cs="Times New Roman"/>
                      <w:color w:val="000000" w:themeColor="text1"/>
                      <w:lang w:val="fr-FR"/>
                    </w:rPr>
                  </w:pPr>
                  <w:r w:rsidRPr="00C5504F">
                    <w:rPr>
                      <w:rFonts w:ascii="Times New Roman" w:eastAsia="Calibri" w:hAnsi="Times New Roman" w:cs="Times New Roman"/>
                      <w:color w:val="000000" w:themeColor="text1"/>
                      <w:lang w:val="fr-FR"/>
                    </w:rPr>
                    <w:t>20%</w:t>
                  </w:r>
                </w:p>
              </w:tc>
            </w:tr>
            <w:tr w:rsidR="000F2D52" w:rsidRPr="00B62950" w14:paraId="470230A6" w14:textId="77777777" w:rsidTr="002C36B1">
              <w:tblPrEx>
                <w:tblBorders>
                  <w:top w:val="none" w:sz="0" w:space="0" w:color="auto"/>
                </w:tblBorders>
              </w:tblPrEx>
              <w:trPr>
                <w:trHeight w:val="263"/>
              </w:trPr>
              <w:tc>
                <w:tcPr>
                  <w:tcW w:w="289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588C53" w14:textId="018D742A" w:rsidR="000F2D52" w:rsidRPr="00BC107A" w:rsidRDefault="000F2D52" w:rsidP="000F2D52">
                  <w:pPr>
                    <w:rPr>
                      <w:rFonts w:ascii="Times New Roman" w:eastAsia="Calibri" w:hAnsi="Times New Roman" w:cs="Times New Roman"/>
                      <w:b/>
                      <w:bCs/>
                      <w:color w:val="000000" w:themeColor="text1"/>
                      <w:lang w:val="fr-FR"/>
                    </w:rPr>
                  </w:pPr>
                  <w:r w:rsidRPr="000F2D52">
                    <w:rPr>
                      <w:rFonts w:ascii="Times New Roman" w:eastAsia="Calibri" w:hAnsi="Times New Roman" w:cs="Times New Roman"/>
                      <w:b/>
                      <w:bCs/>
                      <w:color w:val="000000" w:themeColor="text1"/>
                      <w:lang w:val="fr-FR"/>
                    </w:rPr>
                    <w:t xml:space="preserve">Livrable 7 – </w:t>
                  </w:r>
                  <w:r w:rsidRPr="000F2D52">
                    <w:rPr>
                      <w:rFonts w:ascii="Times New Roman" w:eastAsia="Calibri" w:hAnsi="Times New Roman" w:cs="Times New Roman"/>
                      <w:color w:val="000000" w:themeColor="text1"/>
                      <w:lang w:val="fr-FR"/>
                    </w:rPr>
                    <w:t>Rapport des ateliers d’amendement et de validation des livrables. A soumettre dans les 85 jours suivants la prise de fonction.</w:t>
                  </w:r>
                </w:p>
              </w:tc>
              <w:tc>
                <w:tcPr>
                  <w:tcW w:w="11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10C3174" w14:textId="2A2A70BF" w:rsidR="000F2D52" w:rsidRDefault="000F2D52" w:rsidP="00BC107A">
                  <w:pPr>
                    <w:autoSpaceDE w:val="0"/>
                    <w:autoSpaceDN w:val="0"/>
                    <w:adjustRightInd w:val="0"/>
                    <w:spacing w:after="0" w:line="240" w:lineRule="auto"/>
                    <w:ind w:left="284"/>
                    <w:rPr>
                      <w:rFonts w:ascii="Times New Roman" w:eastAsia="Calibri" w:hAnsi="Times New Roman" w:cs="Times New Roman"/>
                      <w:color w:val="000000" w:themeColor="text1"/>
                      <w:lang w:val="fr-FR"/>
                    </w:rPr>
                  </w:pPr>
                  <w:r>
                    <w:rPr>
                      <w:rFonts w:ascii="Times New Roman" w:eastAsia="Calibri" w:hAnsi="Times New Roman" w:cs="Times New Roman"/>
                      <w:color w:val="000000" w:themeColor="text1"/>
                      <w:lang w:val="fr-FR"/>
                    </w:rPr>
                    <w:t>85</w:t>
                  </w:r>
                  <w:r w:rsidRPr="00C5504F">
                    <w:rPr>
                      <w:rFonts w:ascii="Times New Roman" w:eastAsia="Calibri" w:hAnsi="Times New Roman" w:cs="Times New Roman"/>
                      <w:color w:val="000000" w:themeColor="text1"/>
                      <w:vertAlign w:val="superscript"/>
                      <w:lang w:val="fr-FR"/>
                    </w:rPr>
                    <w:t>ème</w:t>
                  </w:r>
                  <w:r w:rsidRPr="00C5504F">
                    <w:rPr>
                      <w:rFonts w:ascii="Times New Roman" w:eastAsia="Calibri" w:hAnsi="Times New Roman" w:cs="Times New Roman"/>
                      <w:color w:val="000000" w:themeColor="text1"/>
                      <w:lang w:val="fr-FR"/>
                    </w:rPr>
                    <w:t xml:space="preserve"> jour</w:t>
                  </w:r>
                </w:p>
              </w:tc>
              <w:tc>
                <w:tcPr>
                  <w:tcW w:w="951" w:type="pct"/>
                  <w:vMerge/>
                  <w:tcBorders>
                    <w:left w:val="single" w:sz="8" w:space="0" w:color="000000"/>
                    <w:right w:val="single" w:sz="8" w:space="0" w:color="000000"/>
                  </w:tcBorders>
                  <w:tcMar>
                    <w:top w:w="20" w:type="nil"/>
                    <w:left w:w="20" w:type="nil"/>
                    <w:bottom w:w="20" w:type="nil"/>
                    <w:right w:w="20" w:type="nil"/>
                  </w:tcMar>
                  <w:vAlign w:val="center"/>
                </w:tcPr>
                <w:p w14:paraId="7BD21F28" w14:textId="77777777" w:rsidR="000F2D52" w:rsidRPr="00C5504F" w:rsidRDefault="000F2D52" w:rsidP="00BC107A">
                  <w:pPr>
                    <w:autoSpaceDE w:val="0"/>
                    <w:autoSpaceDN w:val="0"/>
                    <w:adjustRightInd w:val="0"/>
                    <w:spacing w:after="0" w:line="240" w:lineRule="auto"/>
                    <w:ind w:left="284"/>
                    <w:rPr>
                      <w:rFonts w:ascii="Times New Roman" w:eastAsia="Calibri" w:hAnsi="Times New Roman" w:cs="Times New Roman"/>
                      <w:color w:val="000000" w:themeColor="text1"/>
                      <w:lang w:val="fr-FR"/>
                    </w:rPr>
                  </w:pPr>
                </w:p>
              </w:tc>
            </w:tr>
            <w:tr w:rsidR="000F2D52" w:rsidRPr="00B62950" w14:paraId="09EC7B58" w14:textId="77777777" w:rsidTr="002C36B1">
              <w:tblPrEx>
                <w:tblBorders>
                  <w:top w:val="none" w:sz="0" w:space="0" w:color="auto"/>
                </w:tblBorders>
              </w:tblPrEx>
              <w:trPr>
                <w:trHeight w:val="263"/>
              </w:trPr>
              <w:tc>
                <w:tcPr>
                  <w:tcW w:w="289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D9B91A" w14:textId="05D55C43" w:rsidR="000F2D52" w:rsidRPr="00BC107A" w:rsidRDefault="000F2D52" w:rsidP="000F2D52">
                  <w:pPr>
                    <w:rPr>
                      <w:rFonts w:ascii="Times New Roman" w:eastAsia="Calibri" w:hAnsi="Times New Roman" w:cs="Times New Roman"/>
                      <w:b/>
                      <w:bCs/>
                      <w:color w:val="000000" w:themeColor="text1"/>
                      <w:lang w:val="fr-FR"/>
                    </w:rPr>
                  </w:pPr>
                  <w:r w:rsidRPr="000F2D52">
                    <w:rPr>
                      <w:rFonts w:ascii="Times New Roman" w:eastAsia="Calibri" w:hAnsi="Times New Roman" w:cs="Times New Roman"/>
                      <w:b/>
                      <w:bCs/>
                      <w:color w:val="000000" w:themeColor="text1"/>
                      <w:lang w:val="fr-FR"/>
                    </w:rPr>
                    <w:t xml:space="preserve">Livrable 8 – </w:t>
                  </w:r>
                  <w:r w:rsidRPr="000F2D52">
                    <w:rPr>
                      <w:rFonts w:ascii="Times New Roman" w:eastAsia="Calibri" w:hAnsi="Times New Roman" w:cs="Times New Roman"/>
                      <w:color w:val="000000" w:themeColor="text1"/>
                      <w:lang w:val="fr-FR"/>
                    </w:rPr>
                    <w:t>Rapport final de la mission : il contiendra un résumé analytique d’au maximum 10 pages. Ce résumé présentera une brève description de la mission, ses objectifs, sa méthodologie et ses principaux résultats, conclusions et recommandations. A soumettre dans les 90 jours suivants la prise de fonction.</w:t>
                  </w:r>
                </w:p>
              </w:tc>
              <w:tc>
                <w:tcPr>
                  <w:tcW w:w="11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9EEA05" w14:textId="21E55DB0" w:rsidR="000F2D52" w:rsidRDefault="000F2D52" w:rsidP="00BC107A">
                  <w:pPr>
                    <w:autoSpaceDE w:val="0"/>
                    <w:autoSpaceDN w:val="0"/>
                    <w:adjustRightInd w:val="0"/>
                    <w:spacing w:after="0" w:line="240" w:lineRule="auto"/>
                    <w:ind w:left="284"/>
                    <w:rPr>
                      <w:rFonts w:ascii="Times New Roman" w:eastAsia="Calibri" w:hAnsi="Times New Roman" w:cs="Times New Roman"/>
                      <w:color w:val="000000" w:themeColor="text1"/>
                      <w:lang w:val="fr-FR"/>
                    </w:rPr>
                  </w:pPr>
                  <w:r>
                    <w:rPr>
                      <w:rFonts w:ascii="Times New Roman" w:eastAsia="Calibri" w:hAnsi="Times New Roman" w:cs="Times New Roman"/>
                      <w:color w:val="000000" w:themeColor="text1"/>
                      <w:lang w:val="fr-FR"/>
                    </w:rPr>
                    <w:t>9</w:t>
                  </w:r>
                  <w:r w:rsidRPr="000F2D52">
                    <w:rPr>
                      <w:rFonts w:ascii="Times New Roman" w:eastAsia="Calibri" w:hAnsi="Times New Roman" w:cs="Times New Roman"/>
                      <w:color w:val="000000" w:themeColor="text1"/>
                      <w:lang w:val="fr-FR"/>
                    </w:rPr>
                    <w:t>0ème jour</w:t>
                  </w:r>
                </w:p>
              </w:tc>
              <w:tc>
                <w:tcPr>
                  <w:tcW w:w="951" w:type="pct"/>
                  <w:vMerge/>
                  <w:tcBorders>
                    <w:left w:val="single" w:sz="8" w:space="0" w:color="000000"/>
                    <w:bottom w:val="single" w:sz="8" w:space="0" w:color="000000"/>
                    <w:right w:val="single" w:sz="8" w:space="0" w:color="000000"/>
                  </w:tcBorders>
                  <w:tcMar>
                    <w:top w:w="20" w:type="nil"/>
                    <w:left w:w="20" w:type="nil"/>
                    <w:bottom w:w="20" w:type="nil"/>
                    <w:right w:w="20" w:type="nil"/>
                  </w:tcMar>
                  <w:vAlign w:val="center"/>
                </w:tcPr>
                <w:p w14:paraId="6684A64B" w14:textId="77777777" w:rsidR="000F2D52" w:rsidRPr="00C5504F" w:rsidRDefault="000F2D52" w:rsidP="00BC107A">
                  <w:pPr>
                    <w:autoSpaceDE w:val="0"/>
                    <w:autoSpaceDN w:val="0"/>
                    <w:adjustRightInd w:val="0"/>
                    <w:spacing w:after="0" w:line="240" w:lineRule="auto"/>
                    <w:ind w:left="284"/>
                    <w:rPr>
                      <w:rFonts w:ascii="Times New Roman" w:eastAsia="Calibri" w:hAnsi="Times New Roman" w:cs="Times New Roman"/>
                      <w:color w:val="000000" w:themeColor="text1"/>
                      <w:lang w:val="fr-FR"/>
                    </w:rPr>
                  </w:pPr>
                </w:p>
              </w:tc>
            </w:tr>
          </w:tbl>
          <w:p w14:paraId="41C539EB" w14:textId="77777777" w:rsidR="00BC107A" w:rsidRDefault="00BC107A" w:rsidP="003B72F6">
            <w:pPr>
              <w:jc w:val="both"/>
              <w:rPr>
                <w:rFonts w:eastAsia="Calibri" w:cstheme="minorHAnsi"/>
                <w:lang w:val="fr-FR"/>
              </w:rPr>
            </w:pPr>
          </w:p>
          <w:p w14:paraId="464BB32E" w14:textId="77777777" w:rsidR="00BC107A" w:rsidRPr="007260D6" w:rsidRDefault="00BC107A" w:rsidP="003B72F6">
            <w:pPr>
              <w:jc w:val="both"/>
              <w:rPr>
                <w:rFonts w:eastAsia="Calibri" w:cstheme="minorHAnsi"/>
                <w:lang w:val="fr-FR"/>
              </w:rPr>
            </w:pPr>
          </w:p>
        </w:tc>
      </w:tr>
    </w:tbl>
    <w:p w14:paraId="36E2F4AF" w14:textId="77777777" w:rsidR="00F9340D" w:rsidRDefault="00F9340D" w:rsidP="00916940">
      <w:pPr>
        <w:jc w:val="both"/>
        <w:rPr>
          <w:rFonts w:cstheme="minorHAnsi"/>
          <w:b/>
          <w:u w:val="single"/>
          <w:lang w:val="fr-FR"/>
        </w:rPr>
      </w:pPr>
    </w:p>
    <w:p w14:paraId="185C6B01" w14:textId="24193B76" w:rsidR="00916940" w:rsidRPr="003A7D2F" w:rsidRDefault="00BC107A" w:rsidP="00916940">
      <w:pPr>
        <w:jc w:val="both"/>
        <w:rPr>
          <w:rFonts w:cstheme="minorHAnsi"/>
          <w:b/>
          <w:u w:val="single"/>
          <w:lang w:val="fr-FR"/>
        </w:rPr>
      </w:pPr>
      <w:r>
        <w:rPr>
          <w:rFonts w:cstheme="minorHAnsi"/>
          <w:b/>
          <w:u w:val="single"/>
          <w:lang w:val="fr-FR"/>
        </w:rPr>
        <w:t>4</w:t>
      </w:r>
      <w:r w:rsidR="00A9207D">
        <w:rPr>
          <w:rFonts w:cstheme="minorHAnsi"/>
          <w:b/>
          <w:u w:val="single"/>
          <w:lang w:val="fr-FR"/>
        </w:rPr>
        <w:t xml:space="preserve">. </w:t>
      </w:r>
      <w:r w:rsidR="00916940" w:rsidRPr="003A7D2F">
        <w:rPr>
          <w:rFonts w:cstheme="minorHAnsi"/>
          <w:b/>
          <w:u w:val="single"/>
          <w:lang w:val="fr-FR"/>
        </w:rPr>
        <w:t>Durée de la mission </w:t>
      </w:r>
    </w:p>
    <w:tbl>
      <w:tblPr>
        <w:tblStyle w:val="Grilledutableau"/>
        <w:tblW w:w="9360" w:type="dxa"/>
        <w:tblLook w:val="04A0" w:firstRow="1" w:lastRow="0" w:firstColumn="1" w:lastColumn="0" w:noHBand="0" w:noVBand="1"/>
      </w:tblPr>
      <w:tblGrid>
        <w:gridCol w:w="9360"/>
      </w:tblGrid>
      <w:tr w:rsidR="00916940" w:rsidRPr="00D66429" w14:paraId="6AEC4A59" w14:textId="77777777" w:rsidTr="00BD6056">
        <w:tc>
          <w:tcPr>
            <w:tcW w:w="9360" w:type="dxa"/>
          </w:tcPr>
          <w:p w14:paraId="2BC00A67" w14:textId="2541DECF" w:rsidR="004124E0" w:rsidRDefault="004124E0" w:rsidP="00BD6056">
            <w:pPr>
              <w:jc w:val="both"/>
              <w:rPr>
                <w:rFonts w:eastAsia="Calibri" w:cstheme="minorHAnsi"/>
                <w:lang w:val="fr-FR"/>
              </w:rPr>
            </w:pPr>
            <w:bookmarkStart w:id="6" w:name="_Hlk39057882"/>
            <w:bookmarkStart w:id="7" w:name="_Hlk71010087"/>
            <w:r w:rsidRPr="004124E0">
              <w:rPr>
                <w:rFonts w:eastAsia="Calibri" w:cstheme="minorHAnsi"/>
                <w:lang w:val="fr-FR"/>
              </w:rPr>
              <w:t xml:space="preserve">Le nombre total de jours de travail dans le cadre de ce contrat alloué au consultant </w:t>
            </w:r>
            <w:r w:rsidR="00702B00">
              <w:rPr>
                <w:rFonts w:eastAsia="Calibri" w:cstheme="minorHAnsi"/>
                <w:lang w:val="fr-FR"/>
              </w:rPr>
              <w:t>nationa</w:t>
            </w:r>
            <w:r w:rsidR="000F2D52">
              <w:rPr>
                <w:rFonts w:eastAsia="Calibri" w:cstheme="minorHAnsi"/>
                <w:lang w:val="fr-FR"/>
              </w:rPr>
              <w:t xml:space="preserve">l et </w:t>
            </w:r>
            <w:r w:rsidRPr="004124E0">
              <w:rPr>
                <w:rFonts w:eastAsia="Calibri" w:cstheme="minorHAnsi"/>
                <w:lang w:val="fr-FR"/>
              </w:rPr>
              <w:t xml:space="preserve">sera </w:t>
            </w:r>
            <w:r w:rsidR="00BD46D7" w:rsidRPr="004124E0">
              <w:rPr>
                <w:rFonts w:eastAsia="Calibri" w:cstheme="minorHAnsi"/>
                <w:lang w:val="fr-FR"/>
              </w:rPr>
              <w:t xml:space="preserve">de </w:t>
            </w:r>
            <w:r w:rsidR="000F2D52">
              <w:rPr>
                <w:rFonts w:eastAsia="Calibri" w:cstheme="minorHAnsi"/>
                <w:lang w:val="fr-FR"/>
              </w:rPr>
              <w:t>9</w:t>
            </w:r>
            <w:r w:rsidR="00BC107A">
              <w:rPr>
                <w:rFonts w:eastAsia="Calibri" w:cstheme="minorHAnsi"/>
                <w:lang w:val="fr-FR"/>
              </w:rPr>
              <w:t>0 jours ouvrables</w:t>
            </w:r>
            <w:r w:rsidR="00702B00">
              <w:rPr>
                <w:rFonts w:asciiTheme="majorHAnsi" w:eastAsia="Times New Roman" w:hAnsiTheme="majorHAnsi" w:cstheme="majorHAnsi"/>
                <w:color w:val="000000" w:themeColor="text1"/>
                <w:lang w:val="fr-FR"/>
              </w:rPr>
              <w:t>.</w:t>
            </w:r>
          </w:p>
          <w:p w14:paraId="0B23792C" w14:textId="015BE11A" w:rsidR="00916940" w:rsidRPr="007260D6" w:rsidRDefault="00916940" w:rsidP="00BD6056">
            <w:pPr>
              <w:jc w:val="both"/>
              <w:rPr>
                <w:rFonts w:eastAsia="Calibri" w:cstheme="minorHAnsi"/>
                <w:lang w:val="fr-FR"/>
              </w:rPr>
            </w:pPr>
          </w:p>
        </w:tc>
      </w:tr>
      <w:bookmarkEnd w:id="6"/>
    </w:tbl>
    <w:p w14:paraId="4246180B" w14:textId="77777777" w:rsidR="008E2EA0" w:rsidRPr="002A2E44" w:rsidRDefault="008E2EA0" w:rsidP="00A24134">
      <w:pPr>
        <w:rPr>
          <w:rFonts w:cstheme="minorHAnsi"/>
          <w:b/>
          <w:lang w:val="fr-CD"/>
        </w:rPr>
      </w:pPr>
    </w:p>
    <w:bookmarkEnd w:id="7"/>
    <w:p w14:paraId="5BC7C869" w14:textId="2C7DEBBC" w:rsidR="002223E0" w:rsidRPr="003A7D2F" w:rsidRDefault="00BC107A" w:rsidP="00A24134">
      <w:pPr>
        <w:rPr>
          <w:rFonts w:cstheme="minorHAnsi"/>
          <w:b/>
          <w:u w:val="single"/>
          <w:lang w:val="fr-FR"/>
        </w:rPr>
      </w:pPr>
      <w:r>
        <w:rPr>
          <w:rFonts w:cstheme="minorHAnsi"/>
          <w:b/>
          <w:u w:val="single"/>
          <w:lang w:val="fr-FR"/>
        </w:rPr>
        <w:t>5</w:t>
      </w:r>
      <w:r w:rsidR="0008283A" w:rsidRPr="003A7D2F">
        <w:rPr>
          <w:rFonts w:cstheme="minorHAnsi"/>
          <w:b/>
          <w:u w:val="single"/>
          <w:lang w:val="fr-FR"/>
        </w:rPr>
        <w:t xml:space="preserve">. </w:t>
      </w:r>
      <w:r w:rsidR="00BF6263" w:rsidRPr="003A7D2F">
        <w:rPr>
          <w:rFonts w:cstheme="minorHAnsi"/>
          <w:b/>
          <w:u w:val="single"/>
          <w:lang w:val="fr-FR"/>
        </w:rPr>
        <w:t xml:space="preserve"> </w:t>
      </w:r>
      <w:r w:rsidR="00A9207D">
        <w:rPr>
          <w:rFonts w:cstheme="minorHAnsi"/>
          <w:b/>
          <w:u w:val="single"/>
          <w:lang w:val="fr-FR"/>
        </w:rPr>
        <w:t xml:space="preserve">Compétences, </w:t>
      </w:r>
      <w:r w:rsidR="00550CF0" w:rsidRPr="003A7D2F">
        <w:rPr>
          <w:rFonts w:cstheme="minorHAnsi"/>
          <w:b/>
          <w:u w:val="single"/>
          <w:lang w:val="fr-FR"/>
        </w:rPr>
        <w:t>Qualifications</w:t>
      </w:r>
      <w:r w:rsidR="008E4FFB">
        <w:rPr>
          <w:rFonts w:cstheme="minorHAnsi"/>
          <w:b/>
          <w:u w:val="single"/>
          <w:lang w:val="fr-FR"/>
        </w:rPr>
        <w:t xml:space="preserve">, </w:t>
      </w:r>
      <w:r w:rsidR="00550CF0" w:rsidRPr="003A7D2F">
        <w:rPr>
          <w:rFonts w:cstheme="minorHAnsi"/>
          <w:b/>
          <w:u w:val="single"/>
          <w:lang w:val="fr-FR"/>
        </w:rPr>
        <w:t>et Expérience requises</w:t>
      </w:r>
    </w:p>
    <w:tbl>
      <w:tblPr>
        <w:tblStyle w:val="Grilledutableau"/>
        <w:tblW w:w="0" w:type="auto"/>
        <w:tblLook w:val="04A0" w:firstRow="1" w:lastRow="0" w:firstColumn="1" w:lastColumn="0" w:noHBand="0" w:noVBand="1"/>
      </w:tblPr>
      <w:tblGrid>
        <w:gridCol w:w="9350"/>
      </w:tblGrid>
      <w:tr w:rsidR="00443E94" w:rsidRPr="00D66429" w14:paraId="0C894F8F" w14:textId="77777777" w:rsidTr="00443E94">
        <w:tc>
          <w:tcPr>
            <w:tcW w:w="9576" w:type="dxa"/>
          </w:tcPr>
          <w:p w14:paraId="2957BFA1" w14:textId="77777777" w:rsidR="0014448D" w:rsidRDefault="0014448D" w:rsidP="0014448D">
            <w:pPr>
              <w:autoSpaceDE w:val="0"/>
              <w:autoSpaceDN w:val="0"/>
              <w:adjustRightInd w:val="0"/>
              <w:jc w:val="both"/>
              <w:rPr>
                <w:rFonts w:ascii="Times New Roman" w:eastAsia="Calibri" w:hAnsi="Times New Roman" w:cs="Times New Roman"/>
                <w:b/>
                <w:bCs/>
                <w:lang w:val="x-none"/>
              </w:rPr>
            </w:pPr>
            <w:r>
              <w:rPr>
                <w:rFonts w:ascii="Times New Roman" w:eastAsia="Calibri" w:hAnsi="Times New Roman" w:cs="Times New Roman"/>
                <w:b/>
                <w:bCs/>
                <w:lang w:val="x-none"/>
              </w:rPr>
              <w:t xml:space="preserve">Compétences </w:t>
            </w:r>
          </w:p>
          <w:p w14:paraId="265F54A3" w14:textId="77777777" w:rsidR="0014448D" w:rsidRDefault="0014448D" w:rsidP="0014448D">
            <w:pPr>
              <w:pStyle w:val="Paragraphedeliste"/>
              <w:numPr>
                <w:ilvl w:val="0"/>
                <w:numId w:val="38"/>
              </w:numPr>
              <w:autoSpaceDE w:val="0"/>
              <w:autoSpaceDN w:val="0"/>
              <w:jc w:val="both"/>
              <w:rPr>
                <w:rFonts w:ascii="Times New Roman" w:eastAsia="Times New Roman" w:hAnsi="Times New Roman" w:cs="Times New Roman"/>
                <w:bCs/>
                <w:lang w:val="fr-BE"/>
              </w:rPr>
            </w:pPr>
            <w:r w:rsidRPr="00D66429">
              <w:rPr>
                <w:rFonts w:ascii="Times New Roman" w:eastAsia="Times New Roman" w:hAnsi="Times New Roman" w:cs="Times New Roman"/>
                <w:bCs/>
                <w:lang w:val="fr-FR"/>
              </w:rPr>
              <w:t>Aptitude à tenir des délais contraignants ;</w:t>
            </w:r>
          </w:p>
          <w:p w14:paraId="323EC031" w14:textId="77777777" w:rsidR="0014448D" w:rsidRPr="00D66429" w:rsidRDefault="0014448D" w:rsidP="0014448D">
            <w:pPr>
              <w:pStyle w:val="Paragraphedeliste"/>
              <w:numPr>
                <w:ilvl w:val="0"/>
                <w:numId w:val="38"/>
              </w:numPr>
              <w:autoSpaceDE w:val="0"/>
              <w:autoSpaceDN w:val="0"/>
              <w:jc w:val="both"/>
              <w:rPr>
                <w:rFonts w:ascii="Times New Roman" w:eastAsia="Times New Roman" w:hAnsi="Times New Roman" w:cs="Times New Roman"/>
                <w:bCs/>
                <w:lang w:val="fr-FR"/>
              </w:rPr>
            </w:pPr>
            <w:r w:rsidRPr="00D66429">
              <w:rPr>
                <w:rFonts w:ascii="Times New Roman" w:eastAsia="Times New Roman" w:hAnsi="Times New Roman" w:cs="Times New Roman"/>
                <w:bCs/>
                <w:lang w:val="fr-FR"/>
              </w:rPr>
              <w:t>Autonomie, sens de l’initiative et de l’anticipation ;</w:t>
            </w:r>
          </w:p>
          <w:p w14:paraId="2C5FDC83" w14:textId="77777777" w:rsidR="0014448D" w:rsidRPr="00D66429" w:rsidRDefault="0014448D" w:rsidP="0014448D">
            <w:pPr>
              <w:pStyle w:val="Paragraphedeliste"/>
              <w:numPr>
                <w:ilvl w:val="0"/>
                <w:numId w:val="38"/>
              </w:numPr>
              <w:autoSpaceDE w:val="0"/>
              <w:autoSpaceDN w:val="0"/>
              <w:jc w:val="both"/>
              <w:rPr>
                <w:rFonts w:ascii="Times New Roman" w:eastAsia="Times New Roman" w:hAnsi="Times New Roman" w:cs="Times New Roman"/>
                <w:bCs/>
                <w:lang w:val="fr-FR"/>
              </w:rPr>
            </w:pPr>
            <w:r w:rsidRPr="00D66429">
              <w:rPr>
                <w:rFonts w:ascii="Times New Roman" w:eastAsia="Times New Roman" w:hAnsi="Times New Roman" w:cs="Times New Roman"/>
                <w:bCs/>
                <w:lang w:val="fr-FR"/>
              </w:rPr>
              <w:t>Maîtriser les logiciels bureautiques courants (Word, Power point, Excel) et l’Internet.</w:t>
            </w:r>
          </w:p>
          <w:p w14:paraId="749B56B8" w14:textId="6CB83E20" w:rsidR="0014448D" w:rsidRPr="00D66429" w:rsidRDefault="0014448D" w:rsidP="0014448D">
            <w:pPr>
              <w:pStyle w:val="Paragraphedeliste"/>
              <w:numPr>
                <w:ilvl w:val="0"/>
                <w:numId w:val="38"/>
              </w:numPr>
              <w:jc w:val="both"/>
              <w:rPr>
                <w:rFonts w:ascii="Times New Roman" w:eastAsia="Times New Roman" w:hAnsi="Times New Roman" w:cs="Times New Roman"/>
                <w:bCs/>
                <w:lang w:val="fr-FR"/>
              </w:rPr>
            </w:pPr>
            <w:r>
              <w:rPr>
                <w:rFonts w:ascii="Times New Roman" w:eastAsia="Calibri" w:hAnsi="Times New Roman" w:cs="Times New Roman"/>
                <w:lang w:val="fr-CD"/>
              </w:rPr>
              <w:t xml:space="preserve">Capacité à travailler sous </w:t>
            </w:r>
            <w:r w:rsidR="005230EF">
              <w:rPr>
                <w:rFonts w:ascii="Times New Roman" w:eastAsia="Calibri" w:hAnsi="Times New Roman" w:cs="Times New Roman"/>
                <w:lang w:val="fr-CD"/>
              </w:rPr>
              <w:t>pression ;</w:t>
            </w:r>
          </w:p>
          <w:p w14:paraId="065AB57A" w14:textId="77777777" w:rsidR="0014448D" w:rsidRPr="00D66429" w:rsidRDefault="0014448D" w:rsidP="0014448D">
            <w:pPr>
              <w:pStyle w:val="Paragraphedeliste"/>
              <w:numPr>
                <w:ilvl w:val="0"/>
                <w:numId w:val="38"/>
              </w:numPr>
              <w:jc w:val="both"/>
              <w:rPr>
                <w:rFonts w:ascii="Times New Roman" w:eastAsia="Times New Roman" w:hAnsi="Times New Roman" w:cs="Times New Roman"/>
                <w:bCs/>
                <w:lang w:val="fr-FR"/>
              </w:rPr>
            </w:pPr>
            <w:r>
              <w:rPr>
                <w:rFonts w:ascii="Times New Roman" w:eastAsia="Calibri" w:hAnsi="Times New Roman" w:cs="Times New Roman"/>
                <w:lang w:val="fr-CD"/>
              </w:rPr>
              <w:t>Faire preuve de disponibilité pendant toute la durée de la consultation.</w:t>
            </w:r>
          </w:p>
          <w:p w14:paraId="60F0BAB2" w14:textId="77777777" w:rsidR="0014448D" w:rsidRDefault="0014448D" w:rsidP="0014448D">
            <w:pPr>
              <w:autoSpaceDE w:val="0"/>
              <w:autoSpaceDN w:val="0"/>
              <w:adjustRightInd w:val="0"/>
              <w:jc w:val="both"/>
              <w:rPr>
                <w:rFonts w:ascii="Times New Roman" w:eastAsia="Calibri" w:hAnsi="Times New Roman" w:cs="Times New Roman"/>
                <w:lang w:val="x-none"/>
              </w:rPr>
            </w:pPr>
            <w:r>
              <w:rPr>
                <w:rFonts w:ascii="Times New Roman" w:eastAsia="Calibri" w:hAnsi="Times New Roman" w:cs="Times New Roman"/>
                <w:b/>
                <w:bCs/>
                <w:lang w:val="x-none"/>
              </w:rPr>
              <w:t xml:space="preserve">Qualifications </w:t>
            </w:r>
          </w:p>
          <w:p w14:paraId="0E373368" w14:textId="77777777" w:rsidR="0014448D" w:rsidRDefault="0014448D" w:rsidP="0014448D">
            <w:pPr>
              <w:contextualSpacing/>
              <w:jc w:val="both"/>
              <w:rPr>
                <w:rFonts w:ascii="Times New Roman" w:eastAsia="Calibri" w:hAnsi="Times New Roman" w:cs="Times New Roman"/>
                <w:i/>
                <w:lang w:val="fr-BE"/>
              </w:rPr>
            </w:pPr>
            <w:proofErr w:type="gramStart"/>
            <w:r>
              <w:rPr>
                <w:rFonts w:ascii="Times New Roman" w:eastAsia="Calibri" w:hAnsi="Times New Roman" w:cs="Times New Roman"/>
                <w:i/>
              </w:rPr>
              <w:t>Education :</w:t>
            </w:r>
            <w:proofErr w:type="gramEnd"/>
          </w:p>
          <w:p w14:paraId="76BBD01B" w14:textId="0F911AAC" w:rsidR="0014448D" w:rsidRPr="00D66429" w:rsidRDefault="0014448D" w:rsidP="0014448D">
            <w:pPr>
              <w:pStyle w:val="Paragraphedeliste"/>
              <w:numPr>
                <w:ilvl w:val="0"/>
                <w:numId w:val="38"/>
              </w:numPr>
              <w:jc w:val="both"/>
              <w:rPr>
                <w:rFonts w:ascii="Times New Roman" w:eastAsia="Calibri" w:hAnsi="Times New Roman" w:cs="Times New Roman"/>
                <w:i/>
                <w:lang w:val="fr-FR"/>
              </w:rPr>
            </w:pPr>
            <w:r w:rsidRPr="00D66429">
              <w:rPr>
                <w:rFonts w:ascii="Times New Roman" w:eastAsia="Times New Roman" w:hAnsi="Times New Roman" w:cs="Times New Roman"/>
                <w:bCs/>
                <w:lang w:val="fr-FR"/>
              </w:rPr>
              <w:t>Diplôme de troisième cycle en droi</w:t>
            </w:r>
            <w:r w:rsidR="005230EF" w:rsidRPr="00D66429">
              <w:rPr>
                <w:rFonts w:ascii="Times New Roman" w:eastAsia="Times New Roman" w:hAnsi="Times New Roman" w:cs="Times New Roman"/>
                <w:bCs/>
                <w:lang w:val="fr-FR"/>
              </w:rPr>
              <w:t>t</w:t>
            </w:r>
          </w:p>
          <w:p w14:paraId="1E2B85E9" w14:textId="77777777" w:rsidR="0014448D" w:rsidRDefault="0014448D" w:rsidP="0014448D">
            <w:pPr>
              <w:contextualSpacing/>
              <w:jc w:val="both"/>
              <w:rPr>
                <w:rFonts w:ascii="Times New Roman" w:eastAsia="Calibri" w:hAnsi="Times New Roman" w:cs="Times New Roman"/>
                <w:b/>
              </w:rPr>
            </w:pPr>
            <w:proofErr w:type="spellStart"/>
            <w:r>
              <w:rPr>
                <w:rFonts w:ascii="Times New Roman" w:eastAsia="Calibri" w:hAnsi="Times New Roman" w:cs="Times New Roman"/>
                <w:i/>
              </w:rPr>
              <w:t>Expérience</w:t>
            </w:r>
            <w:proofErr w:type="spellEnd"/>
            <w:r>
              <w:rPr>
                <w:rFonts w:ascii="Times New Roman" w:eastAsia="Calibri" w:hAnsi="Times New Roman" w:cs="Times New Roman"/>
                <w:i/>
              </w:rPr>
              <w:t xml:space="preserve"> </w:t>
            </w:r>
            <w:proofErr w:type="spellStart"/>
            <w:proofErr w:type="gramStart"/>
            <w:r>
              <w:rPr>
                <w:rFonts w:ascii="Times New Roman" w:eastAsia="Calibri" w:hAnsi="Times New Roman" w:cs="Times New Roman"/>
                <w:i/>
              </w:rPr>
              <w:t>requise</w:t>
            </w:r>
            <w:proofErr w:type="spellEnd"/>
            <w:r>
              <w:rPr>
                <w:rFonts w:ascii="Times New Roman" w:eastAsia="Calibri" w:hAnsi="Times New Roman" w:cs="Times New Roman"/>
                <w:i/>
              </w:rPr>
              <w:t xml:space="preserve"> :</w:t>
            </w:r>
            <w:proofErr w:type="gramEnd"/>
            <w:r>
              <w:rPr>
                <w:rFonts w:ascii="Times New Roman" w:eastAsia="Calibri" w:hAnsi="Times New Roman" w:cs="Times New Roman"/>
                <w:b/>
              </w:rPr>
              <w:t xml:space="preserve"> </w:t>
            </w:r>
          </w:p>
          <w:p w14:paraId="06BCF6EB" w14:textId="77777777" w:rsidR="0014448D" w:rsidRPr="00D66429" w:rsidRDefault="0014448D" w:rsidP="0014448D">
            <w:pPr>
              <w:pStyle w:val="Paragraphedeliste"/>
              <w:numPr>
                <w:ilvl w:val="0"/>
                <w:numId w:val="38"/>
              </w:numPr>
              <w:jc w:val="both"/>
              <w:rPr>
                <w:rFonts w:ascii="Times New Roman" w:eastAsia="Times New Roman" w:hAnsi="Times New Roman" w:cs="Times New Roman"/>
                <w:bCs/>
                <w:lang w:val="fr-FR"/>
              </w:rPr>
            </w:pPr>
            <w:r w:rsidRPr="00D66429">
              <w:rPr>
                <w:rFonts w:ascii="Times New Roman" w:eastAsia="Times New Roman" w:hAnsi="Times New Roman" w:cs="Times New Roman"/>
                <w:bCs/>
                <w:lang w:val="fr-FR"/>
              </w:rPr>
              <w:t>Justifier d’une expérience professionnelle de 15 ans au moins en qualité de praticien du droit (magistrat ou Avocat) ;</w:t>
            </w:r>
          </w:p>
          <w:p w14:paraId="1A593C7C" w14:textId="77777777" w:rsidR="0014448D" w:rsidRPr="00D66429" w:rsidRDefault="0014448D" w:rsidP="0014448D">
            <w:pPr>
              <w:pStyle w:val="Paragraphedeliste"/>
              <w:numPr>
                <w:ilvl w:val="0"/>
                <w:numId w:val="38"/>
              </w:numPr>
              <w:jc w:val="both"/>
              <w:rPr>
                <w:rFonts w:ascii="Times New Roman" w:eastAsia="Times New Roman" w:hAnsi="Times New Roman" w:cs="Times New Roman"/>
                <w:bCs/>
                <w:lang w:val="fr-FR"/>
              </w:rPr>
            </w:pPr>
            <w:r w:rsidRPr="00D66429">
              <w:rPr>
                <w:rFonts w:ascii="Times New Roman" w:eastAsia="Times New Roman" w:hAnsi="Times New Roman" w:cs="Times New Roman"/>
                <w:bCs/>
                <w:lang w:val="fr-FR"/>
              </w:rPr>
              <w:t>Expérience confirmée dans la recherche et forte expérience en matière de conception/rédaction des documents stratégiques et programmatiques ;</w:t>
            </w:r>
          </w:p>
          <w:p w14:paraId="6C7233D7" w14:textId="413A24D1" w:rsidR="0014448D" w:rsidRDefault="0014448D" w:rsidP="0014448D">
            <w:pPr>
              <w:pStyle w:val="Paragraphedeliste"/>
              <w:numPr>
                <w:ilvl w:val="0"/>
                <w:numId w:val="38"/>
              </w:numPr>
              <w:spacing w:after="160" w:line="256" w:lineRule="auto"/>
              <w:jc w:val="both"/>
              <w:rPr>
                <w:rFonts w:ascii="Times New Roman" w:eastAsia="Calibri" w:hAnsi="Times New Roman" w:cs="Times New Roman"/>
                <w:lang w:val="fr-CD"/>
              </w:rPr>
            </w:pPr>
            <w:r>
              <w:rPr>
                <w:rFonts w:ascii="Times New Roman" w:eastAsia="Calibri" w:hAnsi="Times New Roman" w:cs="Times New Roman"/>
                <w:lang w:val="fr-CD"/>
              </w:rPr>
              <w:lastRenderedPageBreak/>
              <w:t>Expérience avérée dans l’élaboration de plan stratégique et l’évaluation des programmes visant le renforcement des capacités des acteurs judicaires ;</w:t>
            </w:r>
          </w:p>
          <w:p w14:paraId="743BB44A" w14:textId="2B1AAC13" w:rsidR="0014448D" w:rsidRDefault="0014448D" w:rsidP="0014448D">
            <w:pPr>
              <w:pStyle w:val="Paragraphedeliste"/>
              <w:numPr>
                <w:ilvl w:val="0"/>
                <w:numId w:val="38"/>
              </w:numPr>
              <w:jc w:val="both"/>
              <w:rPr>
                <w:rFonts w:ascii="Times New Roman" w:eastAsia="Times New Roman" w:hAnsi="Times New Roman" w:cs="Times New Roman"/>
                <w:bCs/>
                <w:lang w:val="fr-BE"/>
              </w:rPr>
            </w:pPr>
            <w:r>
              <w:rPr>
                <w:rFonts w:ascii="Times New Roman" w:eastAsia="Calibri" w:hAnsi="Times New Roman" w:cs="Times New Roman"/>
                <w:lang w:val="fr-CD"/>
              </w:rPr>
              <w:t>Bonne connaissance dans le domaine de la gouvernance en général et de la réforme de la justice Congolaise en particulier ;</w:t>
            </w:r>
          </w:p>
          <w:p w14:paraId="31807E62" w14:textId="623B3A17" w:rsidR="0014448D" w:rsidRPr="00D66429" w:rsidRDefault="0014448D" w:rsidP="0014448D">
            <w:pPr>
              <w:pStyle w:val="Paragraphedeliste"/>
              <w:numPr>
                <w:ilvl w:val="0"/>
                <w:numId w:val="38"/>
              </w:numPr>
              <w:jc w:val="both"/>
              <w:rPr>
                <w:rFonts w:ascii="Times New Roman" w:eastAsia="Times New Roman" w:hAnsi="Times New Roman" w:cs="Times New Roman"/>
                <w:bCs/>
                <w:lang w:val="fr-FR"/>
              </w:rPr>
            </w:pPr>
            <w:r>
              <w:rPr>
                <w:rFonts w:ascii="Times New Roman" w:eastAsia="Calibri" w:hAnsi="Times New Roman" w:cs="Times New Roman"/>
                <w:lang w:val="fr-CD"/>
              </w:rPr>
              <w:t>Capacité prouvée d’analyse organisationnelle d’une institution ;</w:t>
            </w:r>
          </w:p>
          <w:p w14:paraId="297D470D" w14:textId="77777777" w:rsidR="0014448D" w:rsidRPr="00D66429" w:rsidRDefault="0014448D" w:rsidP="0014448D">
            <w:pPr>
              <w:pStyle w:val="Paragraphedeliste"/>
              <w:numPr>
                <w:ilvl w:val="0"/>
                <w:numId w:val="38"/>
              </w:numPr>
              <w:jc w:val="both"/>
              <w:rPr>
                <w:rFonts w:ascii="Times New Roman" w:eastAsia="Times New Roman" w:hAnsi="Times New Roman" w:cs="Times New Roman"/>
                <w:bCs/>
                <w:lang w:val="fr-FR"/>
              </w:rPr>
            </w:pPr>
            <w:r>
              <w:rPr>
                <w:rFonts w:ascii="Times New Roman" w:eastAsia="Calibri" w:hAnsi="Times New Roman" w:cs="Times New Roman"/>
                <w:lang w:val="fr-CD"/>
              </w:rPr>
              <w:t>Une expérience avérée dans l’analyse et l’intégration de l’approche genre est souhaitable.</w:t>
            </w:r>
          </w:p>
          <w:p w14:paraId="461B8235" w14:textId="77777777" w:rsidR="0014448D" w:rsidRDefault="0014448D" w:rsidP="0014448D">
            <w:pPr>
              <w:jc w:val="both"/>
              <w:rPr>
                <w:rFonts w:ascii="Times New Roman" w:eastAsia="Calibri" w:hAnsi="Times New Roman" w:cs="Times New Roman"/>
                <w:i/>
              </w:rPr>
            </w:pPr>
            <w:proofErr w:type="spellStart"/>
            <w:r>
              <w:rPr>
                <w:rFonts w:ascii="Times New Roman" w:eastAsia="Calibri" w:hAnsi="Times New Roman" w:cs="Times New Roman"/>
                <w:i/>
              </w:rPr>
              <w:t>Langues</w:t>
            </w:r>
            <w:proofErr w:type="spellEnd"/>
            <w:r>
              <w:rPr>
                <w:rFonts w:ascii="Times New Roman" w:eastAsia="Calibri" w:hAnsi="Times New Roman" w:cs="Times New Roman"/>
                <w:i/>
              </w:rPr>
              <w:t xml:space="preserve"> </w:t>
            </w:r>
            <w:proofErr w:type="spellStart"/>
            <w:proofErr w:type="gramStart"/>
            <w:r>
              <w:rPr>
                <w:rFonts w:ascii="Times New Roman" w:eastAsia="Calibri" w:hAnsi="Times New Roman" w:cs="Times New Roman"/>
                <w:i/>
              </w:rPr>
              <w:t>requises</w:t>
            </w:r>
            <w:proofErr w:type="spellEnd"/>
            <w:r>
              <w:rPr>
                <w:rFonts w:ascii="Times New Roman" w:eastAsia="Calibri" w:hAnsi="Times New Roman" w:cs="Times New Roman"/>
                <w:i/>
              </w:rPr>
              <w:t xml:space="preserve"> :</w:t>
            </w:r>
            <w:proofErr w:type="gramEnd"/>
            <w:r>
              <w:rPr>
                <w:rFonts w:ascii="Times New Roman" w:eastAsia="Calibri" w:hAnsi="Times New Roman" w:cs="Times New Roman"/>
                <w:i/>
              </w:rPr>
              <w:t xml:space="preserve"> </w:t>
            </w:r>
          </w:p>
          <w:p w14:paraId="1934756B" w14:textId="4837D1FE" w:rsidR="00550CF0" w:rsidRPr="0014448D" w:rsidRDefault="0014448D" w:rsidP="0014448D">
            <w:pPr>
              <w:pStyle w:val="Paragraphedeliste"/>
              <w:numPr>
                <w:ilvl w:val="0"/>
                <w:numId w:val="38"/>
              </w:numPr>
              <w:jc w:val="both"/>
              <w:rPr>
                <w:rFonts w:ascii="Times New Roman" w:eastAsia="Calibri" w:hAnsi="Times New Roman" w:cs="Times New Roman"/>
                <w:lang w:val="x-none"/>
              </w:rPr>
            </w:pPr>
            <w:r>
              <w:rPr>
                <w:rFonts w:ascii="Times New Roman" w:eastAsia="Calibri" w:hAnsi="Times New Roman" w:cs="Times New Roman"/>
                <w:lang w:val="x-none"/>
              </w:rPr>
              <w:t>Une excellente maîtrise de la langue française est exigée. Une bonne connaissance de l’anglais écrit et parlé est un avantage.</w:t>
            </w:r>
            <w:r w:rsidR="00A9207D" w:rsidRPr="0014448D">
              <w:rPr>
                <w:rFonts w:asciiTheme="majorHAnsi" w:eastAsia="Times New Roman" w:hAnsiTheme="majorHAnsi" w:cstheme="majorHAnsi"/>
                <w:color w:val="000000" w:themeColor="text1"/>
                <w:lang w:val="fr-FR"/>
              </w:rPr>
              <w:t xml:space="preserve"> </w:t>
            </w:r>
          </w:p>
        </w:tc>
      </w:tr>
    </w:tbl>
    <w:p w14:paraId="0E5AA207" w14:textId="77777777" w:rsidR="00916940" w:rsidRPr="007260D6" w:rsidRDefault="00916940" w:rsidP="00A24134">
      <w:pPr>
        <w:rPr>
          <w:rFonts w:cstheme="minorHAnsi"/>
          <w:b/>
          <w:lang w:val="fr-FR"/>
        </w:rPr>
      </w:pPr>
    </w:p>
    <w:p w14:paraId="46069EAA" w14:textId="460F515E" w:rsidR="002223E0" w:rsidRPr="003A7D2F" w:rsidRDefault="00BC107A" w:rsidP="00A24134">
      <w:pPr>
        <w:rPr>
          <w:rFonts w:cstheme="minorHAnsi"/>
          <w:b/>
          <w:u w:val="single"/>
          <w:lang w:val="fr-FR"/>
        </w:rPr>
      </w:pPr>
      <w:r>
        <w:rPr>
          <w:rFonts w:cstheme="minorHAnsi"/>
          <w:b/>
          <w:u w:val="single"/>
        </w:rPr>
        <w:t>6</w:t>
      </w:r>
      <w:r w:rsidR="00D20044" w:rsidRPr="003A7D2F">
        <w:rPr>
          <w:rFonts w:cstheme="minorHAnsi"/>
          <w:b/>
          <w:u w:val="single"/>
        </w:rPr>
        <w:t>.</w:t>
      </w:r>
      <w:r w:rsidR="006C491D" w:rsidRPr="003A7D2F">
        <w:rPr>
          <w:rFonts w:cstheme="minorHAnsi"/>
          <w:b/>
          <w:u w:val="single"/>
        </w:rPr>
        <w:t xml:space="preserve"> </w:t>
      </w:r>
      <w:r w:rsidR="000440EC" w:rsidRPr="003A7D2F">
        <w:rPr>
          <w:rFonts w:eastAsia="Calibri" w:cstheme="minorHAnsi"/>
          <w:b/>
          <w:u w:val="single"/>
          <w:lang w:val="fr-FR"/>
        </w:rPr>
        <w:t>Documents constitutifs de l’offre</w:t>
      </w:r>
      <w:r w:rsidR="000440EC" w:rsidRPr="003A7D2F" w:rsidDel="000440EC">
        <w:rPr>
          <w:rFonts w:cstheme="minorHAnsi"/>
          <w:b/>
          <w:u w:val="single"/>
          <w:lang w:val="fr-FR"/>
        </w:rPr>
        <w:t xml:space="preserve"> </w:t>
      </w:r>
    </w:p>
    <w:tbl>
      <w:tblPr>
        <w:tblStyle w:val="Grilledutableau"/>
        <w:tblW w:w="0" w:type="auto"/>
        <w:tblLook w:val="04A0" w:firstRow="1" w:lastRow="0" w:firstColumn="1" w:lastColumn="0" w:noHBand="0" w:noVBand="1"/>
      </w:tblPr>
      <w:tblGrid>
        <w:gridCol w:w="9350"/>
      </w:tblGrid>
      <w:tr w:rsidR="00443E94" w:rsidRPr="00D66429" w14:paraId="601EE1B1" w14:textId="77777777" w:rsidTr="007E3539">
        <w:trPr>
          <w:trHeight w:val="755"/>
        </w:trPr>
        <w:tc>
          <w:tcPr>
            <w:tcW w:w="9576" w:type="dxa"/>
          </w:tcPr>
          <w:p w14:paraId="0701BB79" w14:textId="77777777" w:rsidR="00DB13D3" w:rsidRPr="007260D6" w:rsidRDefault="00845D5B" w:rsidP="0065710B">
            <w:pPr>
              <w:rPr>
                <w:rFonts w:cstheme="minorHAnsi"/>
                <w:lang w:val="fr-FR"/>
              </w:rPr>
            </w:pPr>
            <w:r w:rsidRPr="007260D6">
              <w:rPr>
                <w:rFonts w:cstheme="minorHAnsi"/>
                <w:lang w:val="fr-FR"/>
              </w:rPr>
              <w:t>Les consultants intéressés doivent inclure dans leurs offres les documents/informations ci-dessous :</w:t>
            </w:r>
          </w:p>
          <w:p w14:paraId="6881D105" w14:textId="77777777" w:rsidR="00845D5B" w:rsidRPr="007260D6" w:rsidRDefault="00845D5B" w:rsidP="0065710B">
            <w:pPr>
              <w:rPr>
                <w:rFonts w:cstheme="minorHAnsi"/>
                <w:lang w:val="fr-FR"/>
              </w:rPr>
            </w:pPr>
            <w:r w:rsidRPr="007260D6">
              <w:rPr>
                <w:rFonts w:cstheme="minorHAnsi"/>
                <w:lang w:val="fr-FR"/>
              </w:rPr>
              <w:t xml:space="preserve"> </w:t>
            </w:r>
          </w:p>
          <w:p w14:paraId="573C9245" w14:textId="77777777" w:rsidR="0065710B" w:rsidRPr="007260D6" w:rsidRDefault="000B254C" w:rsidP="0065710B">
            <w:pPr>
              <w:rPr>
                <w:rFonts w:cstheme="minorHAnsi"/>
                <w:b/>
                <w:lang w:val="fr-FR"/>
              </w:rPr>
            </w:pPr>
            <w:r w:rsidRPr="007260D6">
              <w:rPr>
                <w:rFonts w:cstheme="minorHAnsi"/>
                <w:b/>
                <w:lang w:val="fr-FR"/>
              </w:rPr>
              <w:t xml:space="preserve">1. Proposition </w:t>
            </w:r>
            <w:r w:rsidR="00845D5B" w:rsidRPr="007260D6">
              <w:rPr>
                <w:rFonts w:cstheme="minorHAnsi"/>
                <w:b/>
                <w:lang w:val="fr-FR"/>
              </w:rPr>
              <w:t>technique :</w:t>
            </w:r>
          </w:p>
          <w:p w14:paraId="49C438A8" w14:textId="77777777" w:rsidR="00200AA0" w:rsidRPr="007260D6" w:rsidRDefault="00200AA0" w:rsidP="0065710B">
            <w:pPr>
              <w:rPr>
                <w:rFonts w:cstheme="minorHAnsi"/>
                <w:lang w:val="fr-FR"/>
              </w:rPr>
            </w:pPr>
          </w:p>
          <w:p w14:paraId="07BE6BD6" w14:textId="77777777" w:rsidR="00550CF0" w:rsidRPr="007260D6" w:rsidRDefault="00550CF0" w:rsidP="00550CF0">
            <w:pPr>
              <w:pStyle w:val="Paragraphedeliste"/>
              <w:numPr>
                <w:ilvl w:val="0"/>
                <w:numId w:val="9"/>
              </w:numPr>
              <w:rPr>
                <w:rFonts w:cstheme="minorHAnsi"/>
                <w:lang w:val="fr-FR"/>
              </w:rPr>
            </w:pPr>
            <w:r w:rsidRPr="007260D6">
              <w:rPr>
                <w:rFonts w:cstheme="minorHAnsi"/>
                <w:lang w:val="fr-FR"/>
              </w:rPr>
              <w:t>Une note explicative sur la compréhension des termes de référence et les raisons de la candidature ;</w:t>
            </w:r>
          </w:p>
          <w:p w14:paraId="2F3BAC50" w14:textId="437FDF58" w:rsidR="00550CF0" w:rsidRPr="007260D6" w:rsidRDefault="00550CF0" w:rsidP="00550CF0">
            <w:pPr>
              <w:pStyle w:val="Paragraphedeliste"/>
              <w:numPr>
                <w:ilvl w:val="0"/>
                <w:numId w:val="9"/>
              </w:numPr>
              <w:rPr>
                <w:rFonts w:cstheme="minorHAnsi"/>
                <w:lang w:val="fr-FR"/>
              </w:rPr>
            </w:pPr>
            <w:r w:rsidRPr="007260D6">
              <w:rPr>
                <w:rFonts w:cstheme="minorHAnsi"/>
                <w:lang w:val="fr-FR"/>
              </w:rPr>
              <w:t xml:space="preserve">Une présentation </w:t>
            </w:r>
            <w:r w:rsidR="00C76D0D">
              <w:rPr>
                <w:rFonts w:cstheme="minorHAnsi"/>
                <w:lang w:val="fr-FR"/>
              </w:rPr>
              <w:t xml:space="preserve">détaillée </w:t>
            </w:r>
            <w:r w:rsidRPr="007260D6">
              <w:rPr>
                <w:rFonts w:cstheme="minorHAnsi"/>
                <w:lang w:val="fr-FR"/>
              </w:rPr>
              <w:t>de l’approche méthodologique et de l’organisation envisagée de la mission</w:t>
            </w:r>
            <w:r w:rsidR="000247EB" w:rsidRPr="007260D6">
              <w:rPr>
                <w:rFonts w:cstheme="minorHAnsi"/>
                <w:lang w:val="fr-FR"/>
              </w:rPr>
              <w:t xml:space="preserve"> (chronogramme et plan de travail)</w:t>
            </w:r>
            <w:r w:rsidRPr="007260D6">
              <w:rPr>
                <w:rFonts w:cstheme="minorHAnsi"/>
                <w:lang w:val="fr-FR"/>
              </w:rPr>
              <w:t xml:space="preserve"> ; </w:t>
            </w:r>
            <w:r w:rsidR="00C76D0D">
              <w:rPr>
                <w:rFonts w:cstheme="minorHAnsi"/>
                <w:lang w:val="fr-FR"/>
              </w:rPr>
              <w:t xml:space="preserve">cette </w:t>
            </w:r>
            <w:r w:rsidR="00C76D0D" w:rsidRPr="00C76D0D">
              <w:rPr>
                <w:rFonts w:cstheme="minorHAnsi"/>
                <w:lang w:val="fr-FR"/>
              </w:rPr>
              <w:t xml:space="preserve">méthodologique </w:t>
            </w:r>
            <w:r w:rsidR="00C76D0D">
              <w:rPr>
                <w:rFonts w:cstheme="minorHAnsi"/>
                <w:lang w:val="fr-FR"/>
              </w:rPr>
              <w:t xml:space="preserve">devra </w:t>
            </w:r>
            <w:r w:rsidR="00C76D0D" w:rsidRPr="00C76D0D">
              <w:rPr>
                <w:rFonts w:cstheme="minorHAnsi"/>
                <w:lang w:val="fr-FR"/>
              </w:rPr>
              <w:t>ressort</w:t>
            </w:r>
            <w:r w:rsidR="00C76D0D">
              <w:rPr>
                <w:rFonts w:cstheme="minorHAnsi"/>
                <w:lang w:val="fr-FR"/>
              </w:rPr>
              <w:t>ir</w:t>
            </w:r>
            <w:r w:rsidR="00C76D0D" w:rsidRPr="00C76D0D">
              <w:rPr>
                <w:rFonts w:cstheme="minorHAnsi"/>
                <w:lang w:val="fr-FR"/>
              </w:rPr>
              <w:t xml:space="preserve"> les différentes étapes à savoir la collecte des informations, la validation des options retenues, la consolidation des documents, la validation par le PNUD et les parties prenantes,</w:t>
            </w:r>
          </w:p>
          <w:p w14:paraId="1F4E3C0D" w14:textId="1E04874F" w:rsidR="00FC096F" w:rsidRPr="007260D6" w:rsidRDefault="00550CF0" w:rsidP="00550CF0">
            <w:pPr>
              <w:pStyle w:val="Paragraphedeliste"/>
              <w:numPr>
                <w:ilvl w:val="0"/>
                <w:numId w:val="9"/>
              </w:numPr>
              <w:rPr>
                <w:rFonts w:cstheme="minorHAnsi"/>
                <w:lang w:val="fr-FR"/>
              </w:rPr>
            </w:pPr>
            <w:r w:rsidRPr="007260D6">
              <w:rPr>
                <w:rFonts w:cstheme="minorHAnsi"/>
                <w:lang w:val="fr-FR"/>
              </w:rPr>
              <w:t>CV</w:t>
            </w:r>
            <w:r w:rsidR="009D4722">
              <w:rPr>
                <w:rFonts w:cstheme="minorHAnsi"/>
                <w:lang w:val="fr-FR"/>
              </w:rPr>
              <w:t xml:space="preserve"> détaillé</w:t>
            </w:r>
            <w:r w:rsidRPr="007260D6">
              <w:rPr>
                <w:rFonts w:cstheme="minorHAnsi"/>
                <w:lang w:val="fr-FR"/>
              </w:rPr>
              <w:t xml:space="preserve"> incluant notamment les expériences acquises dans les projets, domaines similaires ou connexes et 3 références. </w:t>
            </w:r>
          </w:p>
          <w:p w14:paraId="17628109" w14:textId="77777777" w:rsidR="00550CF0" w:rsidRPr="007260D6" w:rsidRDefault="00550CF0" w:rsidP="00550CF0">
            <w:pPr>
              <w:pStyle w:val="Paragraphedeliste"/>
              <w:rPr>
                <w:rFonts w:cstheme="minorHAnsi"/>
                <w:lang w:val="fr-FR"/>
              </w:rPr>
            </w:pPr>
          </w:p>
          <w:p w14:paraId="4CE5E16C" w14:textId="77777777" w:rsidR="003A7D2F" w:rsidRPr="00E36706" w:rsidRDefault="003A7D2F" w:rsidP="003A7D2F">
            <w:pPr>
              <w:rPr>
                <w:rFonts w:cstheme="minorHAnsi"/>
                <w:b/>
                <w:lang w:val="fr-FR"/>
              </w:rPr>
            </w:pPr>
            <w:r w:rsidRPr="00E36706">
              <w:rPr>
                <w:rFonts w:cstheme="minorHAnsi"/>
                <w:b/>
                <w:lang w:val="fr-FR"/>
              </w:rPr>
              <w:t xml:space="preserve">2. Lettre d´offre avec une proposition financière – </w:t>
            </w:r>
            <w:r w:rsidRPr="00E36706">
              <w:rPr>
                <w:rFonts w:cstheme="minorHAnsi"/>
                <w:b/>
                <w:i/>
                <w:lang w:val="fr-FR"/>
              </w:rPr>
              <w:t>Lettre de soumission au PNUD confirmant l´intérêt et la disponibilité du prestataire individuel (IC) pour la mission</w:t>
            </w:r>
            <w:r w:rsidRPr="00E36706">
              <w:rPr>
                <w:rFonts w:cstheme="minorHAnsi"/>
                <w:b/>
                <w:lang w:val="fr-FR"/>
              </w:rPr>
              <w:t xml:space="preserve"> – Annexe 2</w:t>
            </w:r>
          </w:p>
          <w:p w14:paraId="2A05CDA5" w14:textId="77777777" w:rsidR="003A7D2F" w:rsidRPr="00E36706" w:rsidRDefault="003A7D2F" w:rsidP="003A7D2F">
            <w:pPr>
              <w:rPr>
                <w:rFonts w:cstheme="minorHAnsi"/>
                <w:lang w:val="fr-FR"/>
              </w:rPr>
            </w:pPr>
          </w:p>
          <w:p w14:paraId="3BAEEB83" w14:textId="77777777" w:rsidR="003A7D2F" w:rsidRPr="00E36706" w:rsidRDefault="003A7D2F" w:rsidP="003A7D2F">
            <w:pPr>
              <w:pStyle w:val="Paragraphedeliste"/>
              <w:numPr>
                <w:ilvl w:val="0"/>
                <w:numId w:val="18"/>
              </w:numPr>
              <w:rPr>
                <w:rFonts w:cstheme="minorHAnsi"/>
                <w:lang w:val="fr-FR"/>
              </w:rPr>
            </w:pPr>
            <w:r w:rsidRPr="00E36706">
              <w:rPr>
                <w:rFonts w:cstheme="minorHAnsi"/>
                <w:lang w:val="fr-FR"/>
              </w:rPr>
              <w:t>Le/la Consultant(e) doit</w:t>
            </w:r>
            <w:r w:rsidRPr="00E36706">
              <w:rPr>
                <w:lang w:val="fr-FR"/>
              </w:rPr>
              <w:t xml:space="preserve"> remplir et signer la </w:t>
            </w:r>
            <w:r w:rsidRPr="00E36706">
              <w:rPr>
                <w:rFonts w:cstheme="minorHAnsi"/>
                <w:i/>
                <w:lang w:val="fr-FR"/>
              </w:rPr>
              <w:t xml:space="preserve">Lettre de soumission au PNUD confirmant l´intérêt et la disponibilité du prestataire individuel (IC) pour la mission </w:t>
            </w:r>
            <w:r w:rsidRPr="00E36706">
              <w:rPr>
                <w:rFonts w:cstheme="minorHAnsi"/>
                <w:lang w:val="fr-FR"/>
              </w:rPr>
              <w:t>– Annexe 2.</w:t>
            </w:r>
          </w:p>
          <w:p w14:paraId="408DDFC0" w14:textId="77777777" w:rsidR="003A7D2F" w:rsidRPr="00E36706" w:rsidRDefault="003A7D2F" w:rsidP="003A7D2F">
            <w:pPr>
              <w:pStyle w:val="Paragraphedeliste"/>
              <w:numPr>
                <w:ilvl w:val="0"/>
                <w:numId w:val="18"/>
              </w:numPr>
              <w:rPr>
                <w:rFonts w:cstheme="minorHAnsi"/>
                <w:lang w:val="fr-FR"/>
              </w:rPr>
            </w:pPr>
            <w:r w:rsidRPr="00E36706">
              <w:rPr>
                <w:rFonts w:cstheme="minorHAnsi"/>
                <w:lang w:val="fr-FR"/>
              </w:rPr>
              <w:t>Le/la Consultant(e) doit proposer un montant forfaitaire et présenter dans le Tableau des coûts la ventilation de ce montant forfaitaire (le modèle du tableau des couts est joint à la Lettre de soumission – pages 4-5).</w:t>
            </w:r>
          </w:p>
          <w:p w14:paraId="1BECA266" w14:textId="77777777" w:rsidR="00200AA0" w:rsidRPr="007260D6" w:rsidRDefault="00200AA0" w:rsidP="00A24134">
            <w:pPr>
              <w:rPr>
                <w:rFonts w:cstheme="minorHAnsi"/>
                <w:color w:val="FF0000"/>
                <w:lang w:val="fr-FR"/>
              </w:rPr>
            </w:pPr>
          </w:p>
        </w:tc>
      </w:tr>
    </w:tbl>
    <w:p w14:paraId="086F0869" w14:textId="77777777" w:rsidR="00993D9D" w:rsidRPr="007260D6" w:rsidRDefault="00993D9D" w:rsidP="00A24134">
      <w:pPr>
        <w:rPr>
          <w:rFonts w:cstheme="minorHAnsi"/>
          <w:b/>
          <w:lang w:val="fr-FR"/>
        </w:rPr>
      </w:pPr>
    </w:p>
    <w:p w14:paraId="78E1075C" w14:textId="5663A66F" w:rsidR="00E94857" w:rsidRPr="007260D6" w:rsidRDefault="002C0148" w:rsidP="00A24134">
      <w:pPr>
        <w:rPr>
          <w:rFonts w:cstheme="minorHAnsi"/>
          <w:b/>
          <w:lang w:val="fr-FR"/>
        </w:rPr>
      </w:pPr>
      <w:r>
        <w:rPr>
          <w:rFonts w:cstheme="minorHAnsi"/>
          <w:b/>
          <w:lang w:val="fr-FR"/>
        </w:rPr>
        <w:t>6</w:t>
      </w:r>
      <w:r w:rsidR="00E94857" w:rsidRPr="007260D6">
        <w:rPr>
          <w:rFonts w:cstheme="minorHAnsi"/>
          <w:b/>
          <w:lang w:val="fr-FR"/>
        </w:rPr>
        <w:t xml:space="preserve">. </w:t>
      </w:r>
      <w:r w:rsidR="00F64848" w:rsidRPr="007260D6">
        <w:rPr>
          <w:rFonts w:cstheme="minorHAnsi"/>
          <w:b/>
          <w:lang w:val="fr-FR"/>
        </w:rPr>
        <w:t xml:space="preserve">Evaluation </w:t>
      </w:r>
    </w:p>
    <w:tbl>
      <w:tblPr>
        <w:tblStyle w:val="Grilledutableau"/>
        <w:tblW w:w="0" w:type="auto"/>
        <w:tblLook w:val="04A0" w:firstRow="1" w:lastRow="0" w:firstColumn="1" w:lastColumn="0" w:noHBand="0" w:noVBand="1"/>
      </w:tblPr>
      <w:tblGrid>
        <w:gridCol w:w="9350"/>
      </w:tblGrid>
      <w:tr w:rsidR="00443E94" w:rsidRPr="00D66429" w14:paraId="2CB0FE8E" w14:textId="77777777" w:rsidTr="00443E94">
        <w:tc>
          <w:tcPr>
            <w:tcW w:w="9576" w:type="dxa"/>
          </w:tcPr>
          <w:p w14:paraId="18C7FE3F" w14:textId="77777777" w:rsidR="003A195C" w:rsidRDefault="003A195C" w:rsidP="00E1301D">
            <w:pPr>
              <w:rPr>
                <w:lang w:val="fr-FR"/>
              </w:rPr>
            </w:pPr>
          </w:p>
          <w:p w14:paraId="4EC5EBF8" w14:textId="146C460C" w:rsidR="00E1301D" w:rsidRPr="004273E0" w:rsidRDefault="00E1301D" w:rsidP="00E1301D">
            <w:pPr>
              <w:rPr>
                <w:lang w:val="fr-FR"/>
              </w:rPr>
            </w:pPr>
            <w:r w:rsidRPr="004273E0">
              <w:rPr>
                <w:lang w:val="fr-FR"/>
              </w:rPr>
              <w:t>Le/la consultant/e individuel</w:t>
            </w:r>
            <w:r>
              <w:rPr>
                <w:lang w:val="fr-FR"/>
              </w:rPr>
              <w:t>(le)</w:t>
            </w:r>
            <w:r w:rsidRPr="004273E0">
              <w:rPr>
                <w:lang w:val="fr-FR"/>
              </w:rPr>
              <w:t>sera évalué</w:t>
            </w:r>
            <w:r>
              <w:rPr>
                <w:lang w:val="fr-FR"/>
              </w:rPr>
              <w:t>(e)</w:t>
            </w:r>
            <w:r w:rsidRPr="004273E0">
              <w:rPr>
                <w:lang w:val="fr-FR"/>
              </w:rPr>
              <w:t xml:space="preserve"> sur la base de la méthodologie de Notation combinée. Lorsque cette méthode d’évaluation est utilisée, le contrat est attribué au consultant individuel dont l’offre a été évaluée et jugée :</w:t>
            </w:r>
          </w:p>
          <w:p w14:paraId="19FA567F" w14:textId="77777777" w:rsidR="00E1301D" w:rsidRPr="004273E0" w:rsidRDefault="00E1301D" w:rsidP="00E1301D">
            <w:pPr>
              <w:rPr>
                <w:lang w:val="fr-FR"/>
              </w:rPr>
            </w:pPr>
          </w:p>
          <w:p w14:paraId="33D511F7" w14:textId="4F0FEDE4" w:rsidR="00E1301D" w:rsidRPr="00E1301D" w:rsidRDefault="00E1301D" w:rsidP="00E1301D">
            <w:pPr>
              <w:pStyle w:val="Paragraphedeliste"/>
              <w:numPr>
                <w:ilvl w:val="0"/>
                <w:numId w:val="20"/>
              </w:numPr>
              <w:rPr>
                <w:lang w:val="fr-FR"/>
              </w:rPr>
            </w:pPr>
            <w:r w:rsidRPr="00E1301D">
              <w:rPr>
                <w:lang w:val="fr-FR"/>
              </w:rPr>
              <w:t>Répondante/conforme/ acceptable et,</w:t>
            </w:r>
          </w:p>
          <w:p w14:paraId="101F03AE" w14:textId="02B0EA91" w:rsidR="00E1301D" w:rsidRPr="00E1301D" w:rsidRDefault="00E1301D" w:rsidP="00E1301D">
            <w:pPr>
              <w:pStyle w:val="Paragraphedeliste"/>
              <w:numPr>
                <w:ilvl w:val="0"/>
                <w:numId w:val="20"/>
              </w:numPr>
              <w:rPr>
                <w:lang w:val="fr-FR"/>
              </w:rPr>
            </w:pPr>
            <w:r w:rsidRPr="00E1301D">
              <w:rPr>
                <w:lang w:val="fr-FR"/>
              </w:rPr>
              <w:lastRenderedPageBreak/>
              <w:t>Ayant reçue la note globale pondérée la plus élevée sur la base des critères technique et financier spécifiés</w:t>
            </w:r>
          </w:p>
          <w:p w14:paraId="10DCE09D" w14:textId="77777777" w:rsidR="00E1301D" w:rsidRPr="004273E0" w:rsidRDefault="00E1301D" w:rsidP="00E1301D">
            <w:pPr>
              <w:rPr>
                <w:lang w:val="fr-FR"/>
              </w:rPr>
            </w:pPr>
          </w:p>
          <w:p w14:paraId="04A19592" w14:textId="0ED76783" w:rsidR="00E1301D" w:rsidRPr="00E1301D" w:rsidRDefault="00E1301D" w:rsidP="00E1301D">
            <w:pPr>
              <w:pStyle w:val="Paragraphedeliste"/>
              <w:numPr>
                <w:ilvl w:val="0"/>
                <w:numId w:val="21"/>
              </w:numPr>
              <w:rPr>
                <w:lang w:val="fr-FR"/>
              </w:rPr>
            </w:pPr>
            <w:r w:rsidRPr="00E1301D">
              <w:rPr>
                <w:lang w:val="fr-FR"/>
              </w:rPr>
              <w:t xml:space="preserve">Pondération de l’évaluation technique : 70 % </w:t>
            </w:r>
          </w:p>
          <w:p w14:paraId="45F3ADCC" w14:textId="78AAC05D" w:rsidR="00E1301D" w:rsidRPr="00E1301D" w:rsidRDefault="00E1301D" w:rsidP="00E1301D">
            <w:pPr>
              <w:pStyle w:val="Paragraphedeliste"/>
              <w:numPr>
                <w:ilvl w:val="0"/>
                <w:numId w:val="21"/>
              </w:numPr>
              <w:rPr>
                <w:lang w:val="fr-FR"/>
              </w:rPr>
            </w:pPr>
            <w:r w:rsidRPr="00E1301D">
              <w:rPr>
                <w:lang w:val="fr-FR"/>
              </w:rPr>
              <w:t>Pondération de l’évaluation financière : 30 %</w:t>
            </w:r>
          </w:p>
          <w:p w14:paraId="305F47F2" w14:textId="77777777" w:rsidR="00E1301D" w:rsidRPr="004273E0" w:rsidRDefault="00E1301D" w:rsidP="00E1301D">
            <w:pPr>
              <w:rPr>
                <w:lang w:val="fr-FR"/>
              </w:rPr>
            </w:pPr>
          </w:p>
          <w:p w14:paraId="5257EAC6" w14:textId="77777777" w:rsidR="00E1301D" w:rsidRPr="004273E0" w:rsidRDefault="00E1301D" w:rsidP="00E1301D">
            <w:pPr>
              <w:rPr>
                <w:lang w:val="fr-FR"/>
              </w:rPr>
            </w:pPr>
            <w:r w:rsidRPr="004273E0">
              <w:rPr>
                <w:lang w:val="fr-FR"/>
              </w:rPr>
              <w:t>L’évaluation des offres se déroule en deux temps. L’évaluation des propositions techniques est achevée avant l’ouverture et la comparaison des propositions financières.</w:t>
            </w:r>
          </w:p>
          <w:p w14:paraId="11D6A24C" w14:textId="77777777" w:rsidR="00E1301D" w:rsidRPr="004273E0" w:rsidRDefault="00E1301D" w:rsidP="00E1301D">
            <w:pPr>
              <w:rPr>
                <w:lang w:val="fr-FR"/>
              </w:rPr>
            </w:pPr>
          </w:p>
          <w:p w14:paraId="721CF474" w14:textId="77777777" w:rsidR="00E1301D" w:rsidRPr="004273E0" w:rsidRDefault="00E1301D" w:rsidP="00E1301D">
            <w:pPr>
              <w:rPr>
                <w:lang w:val="fr-FR"/>
              </w:rPr>
            </w:pPr>
            <w:r w:rsidRPr="004273E0">
              <w:rPr>
                <w:lang w:val="fr-FR"/>
              </w:rPr>
              <w:t>Le marché sera attribué au/à la Consultant(e) ayant présenté le meilleur score combiné (rapport qualité/prix, évaluation cumulative).</w:t>
            </w:r>
          </w:p>
          <w:p w14:paraId="5BDB04D8" w14:textId="77777777" w:rsidR="00E1301D" w:rsidRPr="004273E0" w:rsidRDefault="00E1301D" w:rsidP="00E1301D">
            <w:pPr>
              <w:rPr>
                <w:lang w:val="fr-FR"/>
              </w:rPr>
            </w:pPr>
          </w:p>
          <w:p w14:paraId="7C55B24C" w14:textId="5F65D99F" w:rsidR="00E1301D" w:rsidRPr="00F30D52" w:rsidRDefault="00E1301D" w:rsidP="00F92DEC">
            <w:pPr>
              <w:pStyle w:val="Paragraphedeliste"/>
              <w:numPr>
                <w:ilvl w:val="0"/>
                <w:numId w:val="22"/>
              </w:numPr>
              <w:jc w:val="both"/>
              <w:rPr>
                <w:rFonts w:eastAsia="Times New Roman" w:cstheme="minorHAnsi"/>
                <w:b/>
                <w:bCs/>
                <w:i/>
                <w:u w:val="single"/>
                <w:lang w:eastAsia="rw-RW"/>
              </w:rPr>
            </w:pPr>
            <w:r w:rsidRPr="00F30D52">
              <w:rPr>
                <w:rFonts w:eastAsia="Times New Roman" w:cstheme="minorHAnsi"/>
                <w:b/>
                <w:bCs/>
                <w:i/>
                <w:u w:val="single"/>
                <w:lang w:eastAsia="rw-RW"/>
              </w:rPr>
              <w:t>Les propositions techniques</w:t>
            </w:r>
          </w:p>
          <w:p w14:paraId="7EA61A06" w14:textId="77777777" w:rsidR="00E1301D" w:rsidRPr="004273E0" w:rsidRDefault="00E1301D" w:rsidP="00E1301D">
            <w:pPr>
              <w:rPr>
                <w:lang w:val="fr-FR"/>
              </w:rPr>
            </w:pPr>
          </w:p>
          <w:p w14:paraId="4B07E147" w14:textId="69AC5F21" w:rsidR="00702B00" w:rsidRDefault="00E1301D" w:rsidP="002C0148">
            <w:pPr>
              <w:rPr>
                <w:lang w:val="fr-FR"/>
              </w:rPr>
            </w:pPr>
            <w:r w:rsidRPr="004273E0">
              <w:rPr>
                <w:lang w:val="fr-FR"/>
              </w:rPr>
              <w:t xml:space="preserve">Les propositions techniques seront évaluées sur leur degré de réponse par rapport aux termes de référence et sur la base des critères suivants : </w:t>
            </w:r>
          </w:p>
          <w:p w14:paraId="063DC4E9" w14:textId="77777777" w:rsidR="00702B00" w:rsidRPr="002C0148" w:rsidRDefault="00702B00" w:rsidP="002C0148">
            <w:pPr>
              <w:rPr>
                <w:lang w:val="fr-FR"/>
              </w:rPr>
            </w:pPr>
          </w:p>
          <w:tbl>
            <w:tblPr>
              <w:tblW w:w="0" w:type="auto"/>
              <w:shd w:val="clear" w:color="auto" w:fill="FFFF00"/>
              <w:tblCellMar>
                <w:left w:w="0" w:type="dxa"/>
                <w:right w:w="0" w:type="dxa"/>
              </w:tblCellMar>
              <w:tblLook w:val="04A0" w:firstRow="1" w:lastRow="0" w:firstColumn="1" w:lastColumn="0" w:noHBand="0" w:noVBand="1"/>
            </w:tblPr>
            <w:tblGrid>
              <w:gridCol w:w="7979"/>
              <w:gridCol w:w="1135"/>
            </w:tblGrid>
            <w:tr w:rsidR="00200AA0" w:rsidRPr="007260D6" w14:paraId="5FFCE592" w14:textId="77777777" w:rsidTr="005F0A94">
              <w:trPr>
                <w:trHeight w:val="664"/>
              </w:trPr>
              <w:tc>
                <w:tcPr>
                  <w:tcW w:w="7979"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422244F8" w14:textId="77777777" w:rsidR="00200AA0" w:rsidRPr="007260D6" w:rsidRDefault="00200AA0" w:rsidP="00200AA0">
                  <w:pPr>
                    <w:jc w:val="both"/>
                    <w:rPr>
                      <w:rFonts w:cstheme="minorHAnsi"/>
                      <w:b/>
                      <w:bCs/>
                      <w:snapToGrid w:val="0"/>
                      <w:lang w:eastAsia="fr-FR"/>
                    </w:rPr>
                  </w:pPr>
                  <w:proofErr w:type="spellStart"/>
                  <w:r w:rsidRPr="007260D6">
                    <w:rPr>
                      <w:rFonts w:cstheme="minorHAnsi"/>
                      <w:b/>
                      <w:bCs/>
                      <w:snapToGrid w:val="0"/>
                    </w:rPr>
                    <w:t>Critères</w:t>
                  </w:r>
                  <w:proofErr w:type="spellEnd"/>
                  <w:r w:rsidRPr="007260D6">
                    <w:rPr>
                      <w:rFonts w:cstheme="minorHAnsi"/>
                      <w:b/>
                      <w:bCs/>
                      <w:snapToGrid w:val="0"/>
                    </w:rPr>
                    <w:t xml:space="preserve"> </w:t>
                  </w:r>
                  <w:proofErr w:type="spellStart"/>
                  <w:r w:rsidR="007B467A" w:rsidRPr="007260D6">
                    <w:rPr>
                      <w:rFonts w:cstheme="minorHAnsi"/>
                      <w:b/>
                      <w:bCs/>
                      <w:snapToGrid w:val="0"/>
                    </w:rPr>
                    <w:t>d´</w:t>
                  </w:r>
                  <w:r w:rsidR="00003CF1" w:rsidRPr="007260D6">
                    <w:rPr>
                      <w:rFonts w:cstheme="minorHAnsi"/>
                      <w:b/>
                      <w:bCs/>
                      <w:snapToGrid w:val="0"/>
                    </w:rPr>
                    <w:t>é</w:t>
                  </w:r>
                  <w:r w:rsidR="007B467A" w:rsidRPr="007260D6">
                    <w:rPr>
                      <w:rFonts w:cstheme="minorHAnsi"/>
                      <w:b/>
                      <w:bCs/>
                      <w:snapToGrid w:val="0"/>
                    </w:rPr>
                    <w:t>valuation</w:t>
                  </w:r>
                  <w:proofErr w:type="spellEnd"/>
                  <w:r w:rsidR="007B467A" w:rsidRPr="007260D6">
                    <w:rPr>
                      <w:rFonts w:cstheme="minorHAnsi"/>
                      <w:b/>
                      <w:bCs/>
                      <w:snapToGrid w:val="0"/>
                    </w:rPr>
                    <w:t xml:space="preserve"> </w:t>
                  </w:r>
                </w:p>
              </w:tc>
              <w:tc>
                <w:tcPr>
                  <w:tcW w:w="1135"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37BCC5CC" w14:textId="1C43B5FA" w:rsidR="00200AA0" w:rsidRPr="007260D6" w:rsidRDefault="00200AA0" w:rsidP="00E54A8B">
                  <w:pPr>
                    <w:spacing w:line="240" w:lineRule="auto"/>
                    <w:jc w:val="both"/>
                    <w:rPr>
                      <w:rFonts w:cstheme="minorHAnsi"/>
                      <w:b/>
                      <w:bCs/>
                      <w:color w:val="000000"/>
                    </w:rPr>
                  </w:pPr>
                  <w:r w:rsidRPr="007260D6">
                    <w:rPr>
                      <w:rFonts w:cstheme="minorHAnsi"/>
                      <w:b/>
                      <w:bCs/>
                      <w:color w:val="000000"/>
                    </w:rPr>
                    <w:t>Points</w:t>
                  </w:r>
                  <w:r w:rsidR="00F30D52">
                    <w:rPr>
                      <w:rFonts w:cstheme="minorHAnsi"/>
                      <w:b/>
                      <w:bCs/>
                      <w:color w:val="000000"/>
                    </w:rPr>
                    <w:t xml:space="preserve"> maximum</w:t>
                  </w:r>
                </w:p>
              </w:tc>
            </w:tr>
            <w:tr w:rsidR="00200AA0" w:rsidRPr="007260D6" w14:paraId="37034515" w14:textId="77777777" w:rsidTr="005F0A94">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3FFF04E" w14:textId="795CB25B" w:rsidR="00200AA0" w:rsidRPr="00A34242" w:rsidRDefault="00A34242" w:rsidP="00A34242">
                  <w:pPr>
                    <w:jc w:val="center"/>
                    <w:rPr>
                      <w:rFonts w:cstheme="minorHAnsi"/>
                      <w:b/>
                      <w:bCs/>
                      <w:snapToGrid w:val="0"/>
                      <w:lang w:val="fr-FR"/>
                    </w:rPr>
                  </w:pPr>
                  <w:r w:rsidRPr="00A34242">
                    <w:rPr>
                      <w:rFonts w:cstheme="minorHAnsi"/>
                      <w:b/>
                      <w:bCs/>
                      <w:snapToGrid w:val="0"/>
                      <w:lang w:val="fr-FR"/>
                    </w:rPr>
                    <w:t>Qualification et expérience du consultant</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B280C9" w14:textId="70B4833D" w:rsidR="00200AA0" w:rsidRPr="00A34242" w:rsidRDefault="00A34242" w:rsidP="00A34242">
                  <w:pPr>
                    <w:spacing w:line="240" w:lineRule="auto"/>
                    <w:jc w:val="center"/>
                    <w:rPr>
                      <w:rFonts w:cstheme="minorHAnsi"/>
                      <w:b/>
                      <w:bCs/>
                      <w:color w:val="000000"/>
                    </w:rPr>
                  </w:pPr>
                  <w:r w:rsidRPr="00A34242">
                    <w:rPr>
                      <w:rFonts w:cstheme="minorHAnsi"/>
                      <w:b/>
                      <w:bCs/>
                      <w:color w:val="000000"/>
                    </w:rPr>
                    <w:t>60</w:t>
                  </w:r>
                </w:p>
              </w:tc>
            </w:tr>
            <w:tr w:rsidR="00A34242" w:rsidRPr="007260D6" w14:paraId="54A5589B" w14:textId="77777777" w:rsidTr="005F0A94">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9B6B97B" w14:textId="0C920A3C" w:rsidR="00A34242" w:rsidRPr="00DC74D2" w:rsidRDefault="00A34242" w:rsidP="007C7C30">
                  <w:pPr>
                    <w:rPr>
                      <w:rFonts w:cstheme="minorHAnsi"/>
                      <w:snapToGrid w:val="0"/>
                      <w:lang w:val="fr-FR"/>
                    </w:rPr>
                  </w:pPr>
                  <w:r w:rsidRPr="00DC74D2">
                    <w:rPr>
                      <w:rFonts w:cstheme="minorHAnsi"/>
                      <w:snapToGrid w:val="0"/>
                      <w:lang w:val="fr-FR"/>
                    </w:rPr>
                    <w:t xml:space="preserve">Le/la soumissionnaire a-t-il/elle un </w:t>
                  </w:r>
                  <w:r w:rsidR="007C7C30">
                    <w:rPr>
                      <w:rFonts w:cstheme="minorHAnsi"/>
                      <w:snapToGrid w:val="0"/>
                      <w:lang w:val="fr-FR"/>
                    </w:rPr>
                    <w:t>d</w:t>
                  </w:r>
                  <w:r w:rsidR="007C7C30" w:rsidRPr="007C7C30">
                    <w:rPr>
                      <w:rFonts w:cstheme="minorHAnsi"/>
                      <w:snapToGrid w:val="0"/>
                      <w:lang w:val="fr-FR"/>
                    </w:rPr>
                    <w:t>iplôme</w:t>
                  </w:r>
                  <w:r w:rsidR="00B527DC" w:rsidRPr="00B527DC">
                    <w:rPr>
                      <w:rFonts w:cstheme="minorHAnsi"/>
                      <w:snapToGrid w:val="0"/>
                      <w:lang w:val="fr-FR"/>
                    </w:rPr>
                    <w:t xml:space="preserve"> de troisième cycle en droit </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F6659F" w14:textId="5AB539CC" w:rsidR="00A34242" w:rsidRDefault="003B49B0" w:rsidP="00293DAE">
                  <w:pPr>
                    <w:spacing w:line="240" w:lineRule="auto"/>
                    <w:jc w:val="center"/>
                    <w:rPr>
                      <w:rFonts w:cstheme="minorHAnsi"/>
                    </w:rPr>
                  </w:pPr>
                  <w:r>
                    <w:rPr>
                      <w:rFonts w:cstheme="minorHAnsi"/>
                    </w:rPr>
                    <w:t>1</w:t>
                  </w:r>
                  <w:r w:rsidR="00A34242">
                    <w:rPr>
                      <w:rFonts w:cstheme="minorHAnsi"/>
                    </w:rPr>
                    <w:t>0</w:t>
                  </w:r>
                </w:p>
              </w:tc>
            </w:tr>
            <w:tr w:rsidR="00A34242" w:rsidRPr="007260D6" w14:paraId="350CADEA" w14:textId="77777777" w:rsidTr="002C0148">
              <w:trPr>
                <w:trHeight w:val="688"/>
              </w:trPr>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DD5A47A" w14:textId="2CDAEE53" w:rsidR="00A34242" w:rsidRPr="00DC74D2" w:rsidRDefault="00A34242" w:rsidP="00A34242">
                  <w:pPr>
                    <w:spacing w:line="240" w:lineRule="auto"/>
                    <w:jc w:val="both"/>
                    <w:rPr>
                      <w:snapToGrid w:val="0"/>
                      <w:lang w:val="fr-FR"/>
                    </w:rPr>
                  </w:pPr>
                  <w:r w:rsidRPr="00DC74D2">
                    <w:rPr>
                      <w:snapToGrid w:val="0"/>
                      <w:lang w:val="fr-FR"/>
                    </w:rPr>
                    <w:t xml:space="preserve">Le/la soumissionnaire </w:t>
                  </w:r>
                  <w:r>
                    <w:rPr>
                      <w:snapToGrid w:val="0"/>
                      <w:lang w:val="fr-FR"/>
                    </w:rPr>
                    <w:t>dispose</w:t>
                  </w:r>
                  <w:r w:rsidRPr="00DC74D2">
                    <w:rPr>
                      <w:snapToGrid w:val="0"/>
                      <w:lang w:val="fr-FR"/>
                    </w:rPr>
                    <w:t xml:space="preserve">-t-il/elle </w:t>
                  </w:r>
                  <w:r w:rsidRPr="00586970">
                    <w:rPr>
                      <w:snapToGrid w:val="0"/>
                      <w:lang w:val="fr-FR"/>
                    </w:rPr>
                    <w:t>d’une expérience</w:t>
                  </w:r>
                  <w:r w:rsidR="007C7C30" w:rsidRPr="007C7C30">
                    <w:rPr>
                      <w:snapToGrid w:val="0"/>
                      <w:lang w:val="fr-FR"/>
                    </w:rPr>
                    <w:t xml:space="preserve"> professionnelle</w:t>
                  </w:r>
                  <w:r w:rsidR="005230EF" w:rsidRPr="00D66429">
                    <w:rPr>
                      <w:lang w:val="fr-FR"/>
                    </w:rPr>
                    <w:t xml:space="preserve"> </w:t>
                  </w:r>
                  <w:r w:rsidR="005230EF" w:rsidRPr="005230EF">
                    <w:rPr>
                      <w:snapToGrid w:val="0"/>
                      <w:lang w:val="fr-FR"/>
                    </w:rPr>
                    <w:t>d’au moins 1</w:t>
                  </w:r>
                  <w:r w:rsidR="005230EF">
                    <w:rPr>
                      <w:snapToGrid w:val="0"/>
                      <w:lang w:val="fr-FR"/>
                    </w:rPr>
                    <w:t>5</w:t>
                  </w:r>
                  <w:r w:rsidR="005230EF" w:rsidRPr="005230EF">
                    <w:rPr>
                      <w:snapToGrid w:val="0"/>
                      <w:lang w:val="fr-FR"/>
                    </w:rPr>
                    <w:t xml:space="preserve"> ans en tant que praticien du droit (Magistrat ou Avocat).</w:t>
                  </w:r>
                  <w:r w:rsidR="005230EF">
                    <w:rPr>
                      <w:snapToGrid w:val="0"/>
                      <w:lang w:val="fr-FR"/>
                    </w:rPr>
                    <w:t xml:space="preserve"> ?</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13A779" w14:textId="72C8C1B5" w:rsidR="00A34242" w:rsidRPr="00DE5DA4" w:rsidRDefault="003B49B0" w:rsidP="00293DAE">
                  <w:pPr>
                    <w:spacing w:line="240" w:lineRule="auto"/>
                    <w:jc w:val="center"/>
                    <w:rPr>
                      <w:rFonts w:cstheme="minorHAnsi"/>
                      <w:lang w:val="fr-FR"/>
                    </w:rPr>
                  </w:pPr>
                  <w:r>
                    <w:rPr>
                      <w:rFonts w:cstheme="minorHAnsi"/>
                      <w:lang w:val="fr-FR"/>
                    </w:rPr>
                    <w:t>1</w:t>
                  </w:r>
                  <w:r w:rsidR="007C7C30">
                    <w:rPr>
                      <w:rFonts w:cstheme="minorHAnsi"/>
                      <w:lang w:val="fr-FR"/>
                    </w:rPr>
                    <w:t>0</w:t>
                  </w:r>
                </w:p>
              </w:tc>
            </w:tr>
            <w:tr w:rsidR="003B49B0" w:rsidRPr="007260D6" w14:paraId="449F8FEC" w14:textId="77777777" w:rsidTr="005230EF">
              <w:trPr>
                <w:trHeight w:val="662"/>
              </w:trPr>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748D81D" w14:textId="6BF026DE" w:rsidR="003B49B0" w:rsidRPr="005230EF" w:rsidRDefault="003B49B0" w:rsidP="00A34242">
                  <w:pPr>
                    <w:spacing w:line="240" w:lineRule="auto"/>
                    <w:jc w:val="both"/>
                    <w:rPr>
                      <w:rFonts w:cstheme="minorHAnsi"/>
                      <w:color w:val="000000" w:themeColor="text1"/>
                      <w:lang w:val="fr-FR" w:eastAsia="fr-FR"/>
                    </w:rPr>
                  </w:pPr>
                  <w:r w:rsidRPr="003B49B0">
                    <w:rPr>
                      <w:rFonts w:cstheme="minorHAnsi"/>
                      <w:snapToGrid w:val="0"/>
                      <w:lang w:val="fr-FR"/>
                    </w:rPr>
                    <w:t>Le/la soumissionnaire dispose-t-il/elle</w:t>
                  </w:r>
                  <w:r w:rsidR="005230EF" w:rsidRPr="00D66429">
                    <w:rPr>
                      <w:lang w:val="fr-FR"/>
                    </w:rPr>
                    <w:t xml:space="preserve"> </w:t>
                  </w:r>
                  <w:r w:rsidR="005230EF" w:rsidRPr="005230EF">
                    <w:rPr>
                      <w:rFonts w:cstheme="minorHAnsi"/>
                      <w:snapToGrid w:val="0"/>
                      <w:lang w:val="fr-FR"/>
                    </w:rPr>
                    <w:t>d’une expérience confirmée dans la recherche et forte expérience en matière de conception/rédaction des documents stratégiques et programmatiques</w:t>
                  </w:r>
                  <w:r w:rsidR="005230EF">
                    <w:rPr>
                      <w:rFonts w:cstheme="minorHAnsi"/>
                      <w:color w:val="000000" w:themeColor="text1"/>
                      <w:lang w:val="fr-FR" w:eastAsia="fr-FR"/>
                    </w:rPr>
                    <w:t xml:space="preserve"> ?</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97A4F1" w14:textId="42CEB0ED" w:rsidR="003B49B0" w:rsidRDefault="003B49B0" w:rsidP="00293DAE">
                  <w:pPr>
                    <w:spacing w:line="240" w:lineRule="auto"/>
                    <w:jc w:val="center"/>
                    <w:rPr>
                      <w:rFonts w:cstheme="minorHAnsi"/>
                      <w:lang w:val="fr-FR"/>
                    </w:rPr>
                  </w:pPr>
                  <w:r>
                    <w:rPr>
                      <w:rFonts w:cstheme="minorHAnsi"/>
                      <w:lang w:val="fr-FR"/>
                    </w:rPr>
                    <w:t>1</w:t>
                  </w:r>
                  <w:r w:rsidR="007C7C30">
                    <w:rPr>
                      <w:rFonts w:cstheme="minorHAnsi"/>
                      <w:lang w:val="fr-FR"/>
                    </w:rPr>
                    <w:t>0</w:t>
                  </w:r>
                </w:p>
              </w:tc>
            </w:tr>
            <w:tr w:rsidR="007C7C30" w:rsidRPr="007260D6" w14:paraId="2C140EC9" w14:textId="77777777" w:rsidTr="002C0148">
              <w:trPr>
                <w:trHeight w:val="688"/>
              </w:trPr>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445F431" w14:textId="0C5DCC78" w:rsidR="007C7C30" w:rsidRPr="003B49B0" w:rsidRDefault="007C7C30" w:rsidP="005230EF">
                  <w:pPr>
                    <w:spacing w:line="240" w:lineRule="auto"/>
                    <w:jc w:val="both"/>
                    <w:rPr>
                      <w:rFonts w:cstheme="minorHAnsi"/>
                      <w:snapToGrid w:val="0"/>
                      <w:lang w:val="fr-FR"/>
                    </w:rPr>
                  </w:pPr>
                  <w:r w:rsidRPr="007C7C30">
                    <w:rPr>
                      <w:rFonts w:cstheme="minorHAnsi"/>
                      <w:snapToGrid w:val="0"/>
                      <w:lang w:val="fr-FR"/>
                    </w:rPr>
                    <w:t xml:space="preserve">Le/la soumissionnaire </w:t>
                  </w:r>
                  <w:r>
                    <w:rPr>
                      <w:rFonts w:cstheme="minorHAnsi"/>
                      <w:snapToGrid w:val="0"/>
                      <w:lang w:val="fr-FR"/>
                    </w:rPr>
                    <w:t>a</w:t>
                  </w:r>
                  <w:r w:rsidRPr="007C7C30">
                    <w:rPr>
                      <w:rFonts w:cstheme="minorHAnsi"/>
                      <w:snapToGrid w:val="0"/>
                      <w:lang w:val="fr-FR"/>
                    </w:rPr>
                    <w:t>-t-il/elle</w:t>
                  </w:r>
                  <w:r>
                    <w:rPr>
                      <w:rFonts w:cstheme="minorHAnsi"/>
                      <w:snapToGrid w:val="0"/>
                      <w:lang w:val="fr-FR"/>
                    </w:rPr>
                    <w:t xml:space="preserve"> </w:t>
                  </w:r>
                  <w:r w:rsidRPr="007C7C30">
                    <w:rPr>
                      <w:rFonts w:cstheme="minorHAnsi"/>
                      <w:snapToGrid w:val="0"/>
                      <w:lang w:val="fr-FR"/>
                    </w:rPr>
                    <w:t xml:space="preserve">une </w:t>
                  </w:r>
                  <w:r w:rsidR="005230EF">
                    <w:rPr>
                      <w:rFonts w:cstheme="minorHAnsi"/>
                      <w:snapToGrid w:val="0"/>
                      <w:lang w:val="fr-FR"/>
                    </w:rPr>
                    <w:t>e</w:t>
                  </w:r>
                  <w:r w:rsidR="005230EF" w:rsidRPr="005230EF">
                    <w:rPr>
                      <w:rFonts w:cstheme="minorHAnsi"/>
                      <w:snapToGrid w:val="0"/>
                      <w:lang w:val="fr-FR"/>
                    </w:rPr>
                    <w:t>xpérience avérée dans l’élaboration de plan stratégique et l’évaluation des programmes visant le renforcement des capacités des acteurs judicaires</w:t>
                  </w:r>
                  <w:r w:rsidR="005230EF">
                    <w:rPr>
                      <w:rFonts w:cstheme="minorHAnsi"/>
                      <w:snapToGrid w:val="0"/>
                      <w:lang w:val="fr-FR"/>
                    </w:rPr>
                    <w:t> ?</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B5D0B1" w14:textId="01E10B6C" w:rsidR="007C7C30" w:rsidRDefault="007C7C30" w:rsidP="00293DAE">
                  <w:pPr>
                    <w:spacing w:line="240" w:lineRule="auto"/>
                    <w:jc w:val="center"/>
                    <w:rPr>
                      <w:rFonts w:cstheme="minorHAnsi"/>
                      <w:lang w:val="fr-FR"/>
                    </w:rPr>
                  </w:pPr>
                  <w:r>
                    <w:rPr>
                      <w:rFonts w:cstheme="minorHAnsi"/>
                      <w:lang w:val="fr-FR"/>
                    </w:rPr>
                    <w:t>10</w:t>
                  </w:r>
                </w:p>
              </w:tc>
            </w:tr>
            <w:tr w:rsidR="00A34242" w:rsidRPr="007260D6" w14:paraId="7A38814B" w14:textId="77777777" w:rsidTr="002C0148">
              <w:trPr>
                <w:trHeight w:val="688"/>
              </w:trPr>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5C2EE70" w14:textId="18090E05" w:rsidR="00A34242" w:rsidRPr="00DC74D2" w:rsidRDefault="00A34242" w:rsidP="00A34242">
                  <w:pPr>
                    <w:spacing w:line="240" w:lineRule="auto"/>
                    <w:jc w:val="both"/>
                    <w:rPr>
                      <w:snapToGrid w:val="0"/>
                      <w:lang w:val="fr-FR"/>
                    </w:rPr>
                  </w:pPr>
                  <w:r w:rsidRPr="00DC74D2">
                    <w:rPr>
                      <w:snapToGrid w:val="0"/>
                      <w:lang w:val="fr-FR"/>
                    </w:rPr>
                    <w:t xml:space="preserve">Le/la soumissionnaire </w:t>
                  </w:r>
                  <w:r w:rsidR="00293DAE">
                    <w:rPr>
                      <w:snapToGrid w:val="0"/>
                      <w:lang w:val="fr-FR"/>
                    </w:rPr>
                    <w:t>a</w:t>
                  </w:r>
                  <w:r w:rsidRPr="00DC74D2">
                    <w:rPr>
                      <w:snapToGrid w:val="0"/>
                      <w:lang w:val="fr-FR"/>
                    </w:rPr>
                    <w:t>-t-il/elle</w:t>
                  </w:r>
                  <w:r>
                    <w:rPr>
                      <w:snapToGrid w:val="0"/>
                      <w:lang w:val="fr-FR"/>
                    </w:rPr>
                    <w:t xml:space="preserve"> </w:t>
                  </w:r>
                  <w:r w:rsidR="007C7C30">
                    <w:rPr>
                      <w:snapToGrid w:val="0"/>
                      <w:lang w:val="fr-FR"/>
                    </w:rPr>
                    <w:t xml:space="preserve">une </w:t>
                  </w:r>
                  <w:r w:rsidR="005230EF" w:rsidRPr="005230EF">
                    <w:rPr>
                      <w:snapToGrid w:val="0"/>
                      <w:lang w:val="fr-FR"/>
                    </w:rPr>
                    <w:t>connaissance dans le domaine de la gouvernance en général et de la réforme de la justice Congolaise en particulier</w:t>
                  </w:r>
                  <w:r w:rsidR="005230EF">
                    <w:rPr>
                      <w:snapToGrid w:val="0"/>
                      <w:lang w:val="fr-FR"/>
                    </w:rPr>
                    <w:t xml:space="preserve"> ?</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4207F8" w14:textId="125ED0A8" w:rsidR="00A34242" w:rsidRPr="00DE5DA4" w:rsidRDefault="003B49B0" w:rsidP="00293DAE">
                  <w:pPr>
                    <w:spacing w:line="240" w:lineRule="auto"/>
                    <w:jc w:val="center"/>
                    <w:rPr>
                      <w:rFonts w:cstheme="minorHAnsi"/>
                      <w:lang w:val="fr-FR"/>
                    </w:rPr>
                  </w:pPr>
                  <w:r>
                    <w:rPr>
                      <w:rFonts w:cstheme="minorHAnsi"/>
                      <w:lang w:val="fr-FR"/>
                    </w:rPr>
                    <w:t>1</w:t>
                  </w:r>
                  <w:r w:rsidR="007C7C30">
                    <w:rPr>
                      <w:rFonts w:cstheme="minorHAnsi"/>
                      <w:lang w:val="fr-FR"/>
                    </w:rPr>
                    <w:t>0</w:t>
                  </w:r>
                </w:p>
              </w:tc>
            </w:tr>
            <w:tr w:rsidR="003B49B0" w:rsidRPr="007260D6" w14:paraId="7ABE3157" w14:textId="77777777" w:rsidTr="002C0148">
              <w:trPr>
                <w:trHeight w:val="688"/>
              </w:trPr>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40417D7" w14:textId="681FC7B2" w:rsidR="003B49B0" w:rsidRPr="003B49B0" w:rsidRDefault="003B49B0" w:rsidP="00A34242">
                  <w:pPr>
                    <w:spacing w:line="240" w:lineRule="auto"/>
                    <w:jc w:val="both"/>
                    <w:rPr>
                      <w:rFonts w:cstheme="minorHAnsi"/>
                      <w:snapToGrid w:val="0"/>
                      <w:lang w:val="fr-FR"/>
                    </w:rPr>
                  </w:pPr>
                  <w:r w:rsidRPr="003B49B0">
                    <w:rPr>
                      <w:rFonts w:cstheme="minorHAnsi"/>
                      <w:color w:val="000000" w:themeColor="text1"/>
                      <w:lang w:val="fr-FR" w:eastAsia="fr-FR"/>
                    </w:rPr>
                    <w:t xml:space="preserve">Le/la soumissionnaire a-t-il/elle </w:t>
                  </w:r>
                  <w:r w:rsidR="007C7C30">
                    <w:rPr>
                      <w:rFonts w:cstheme="minorHAnsi"/>
                      <w:color w:val="000000" w:themeColor="text1"/>
                      <w:lang w:val="fr-FR" w:eastAsia="fr-FR"/>
                    </w:rPr>
                    <w:t>une</w:t>
                  </w:r>
                  <w:r w:rsidR="005230EF" w:rsidRPr="005230EF">
                    <w:rPr>
                      <w:rFonts w:cstheme="minorHAnsi"/>
                      <w:color w:val="000000" w:themeColor="text1"/>
                      <w:lang w:val="fr-FR" w:eastAsia="fr-FR"/>
                    </w:rPr>
                    <w:t xml:space="preserve"> expérience avérée dans l’analyse et l’intégration de l’approche genre</w:t>
                  </w:r>
                  <w:r w:rsidR="005230EF">
                    <w:rPr>
                      <w:rFonts w:cstheme="minorHAnsi"/>
                      <w:color w:val="000000" w:themeColor="text1"/>
                      <w:lang w:val="fr-FR" w:eastAsia="fr-FR"/>
                    </w:rPr>
                    <w:t xml:space="preserve"> ?</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134802" w14:textId="31D7B687" w:rsidR="003B49B0" w:rsidRDefault="007C7C30" w:rsidP="00293DAE">
                  <w:pPr>
                    <w:spacing w:line="240" w:lineRule="auto"/>
                    <w:jc w:val="center"/>
                    <w:rPr>
                      <w:rFonts w:cstheme="minorHAnsi"/>
                      <w:lang w:val="fr-FR"/>
                    </w:rPr>
                  </w:pPr>
                  <w:r>
                    <w:rPr>
                      <w:rFonts w:cstheme="minorHAnsi"/>
                      <w:lang w:val="fr-FR"/>
                    </w:rPr>
                    <w:t>10</w:t>
                  </w:r>
                </w:p>
              </w:tc>
            </w:tr>
            <w:tr w:rsidR="00293DAE" w:rsidRPr="007260D6" w14:paraId="6B5E9719" w14:textId="77777777" w:rsidTr="002C0148">
              <w:trPr>
                <w:trHeight w:val="688"/>
              </w:trPr>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0D7386F" w14:textId="7A984786" w:rsidR="00293DAE" w:rsidRPr="00293DAE" w:rsidRDefault="00293DAE" w:rsidP="00AE66AE">
                  <w:pPr>
                    <w:spacing w:line="240" w:lineRule="auto"/>
                    <w:jc w:val="center"/>
                    <w:rPr>
                      <w:b/>
                      <w:bCs/>
                      <w:snapToGrid w:val="0"/>
                      <w:lang w:val="fr-FR"/>
                    </w:rPr>
                  </w:pPr>
                  <w:r w:rsidRPr="00293DAE">
                    <w:rPr>
                      <w:b/>
                      <w:bCs/>
                      <w:snapToGrid w:val="0"/>
                      <w:lang w:val="fr-FR"/>
                    </w:rPr>
                    <w:t>Méthodologie, approche et plan de mise en œuvre proposés</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9CD9DC" w14:textId="06F4A98A" w:rsidR="00293DAE" w:rsidRPr="00293DAE" w:rsidRDefault="00293DAE" w:rsidP="00293DAE">
                  <w:pPr>
                    <w:spacing w:line="240" w:lineRule="auto"/>
                    <w:jc w:val="center"/>
                    <w:rPr>
                      <w:rFonts w:cstheme="minorHAnsi"/>
                      <w:b/>
                      <w:bCs/>
                      <w:lang w:val="fr-FR"/>
                    </w:rPr>
                  </w:pPr>
                  <w:r w:rsidRPr="00293DAE">
                    <w:rPr>
                      <w:rFonts w:cstheme="minorHAnsi"/>
                      <w:b/>
                      <w:bCs/>
                      <w:lang w:val="fr-FR"/>
                    </w:rPr>
                    <w:t>40</w:t>
                  </w:r>
                </w:p>
              </w:tc>
            </w:tr>
            <w:tr w:rsidR="00A34242" w:rsidRPr="007260D6" w14:paraId="616DD7D9" w14:textId="77777777" w:rsidTr="002C0148">
              <w:trPr>
                <w:trHeight w:val="688"/>
              </w:trPr>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6F6DA79" w14:textId="2F421037" w:rsidR="00A34242" w:rsidRPr="00DC74D2" w:rsidRDefault="00A34242" w:rsidP="00A34242">
                  <w:pPr>
                    <w:spacing w:line="240" w:lineRule="auto"/>
                    <w:jc w:val="both"/>
                    <w:rPr>
                      <w:snapToGrid w:val="0"/>
                      <w:lang w:val="fr-FR"/>
                    </w:rPr>
                  </w:pPr>
                  <w:r w:rsidRPr="00DC74D2">
                    <w:rPr>
                      <w:snapToGrid w:val="0"/>
                      <w:lang w:val="fr-FR"/>
                    </w:rPr>
                    <w:t>L´approche méthodologique proposé est-elle claire et appropriée aux produits décrits/attendus dans les termes de référence ? </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2855BB" w14:textId="52E3B9BC" w:rsidR="00A34242" w:rsidRPr="00DE5DA4" w:rsidRDefault="00293DAE" w:rsidP="00293DAE">
                  <w:pPr>
                    <w:spacing w:line="240" w:lineRule="auto"/>
                    <w:jc w:val="center"/>
                    <w:rPr>
                      <w:rFonts w:cstheme="minorHAnsi"/>
                      <w:lang w:val="fr-FR"/>
                    </w:rPr>
                  </w:pPr>
                  <w:r>
                    <w:rPr>
                      <w:rFonts w:cstheme="minorHAnsi"/>
                      <w:lang w:val="fr-FR"/>
                    </w:rPr>
                    <w:t>20</w:t>
                  </w:r>
                </w:p>
              </w:tc>
            </w:tr>
            <w:tr w:rsidR="00A34242" w:rsidRPr="00D66429" w14:paraId="45609235" w14:textId="77777777" w:rsidTr="002C0148">
              <w:trPr>
                <w:trHeight w:val="688"/>
              </w:trPr>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C8F0BAF" w14:textId="1474C894" w:rsidR="00A34242" w:rsidRPr="00DC74D2" w:rsidRDefault="00A34242" w:rsidP="00A34242">
                  <w:pPr>
                    <w:spacing w:line="240" w:lineRule="auto"/>
                    <w:jc w:val="both"/>
                    <w:rPr>
                      <w:snapToGrid w:val="0"/>
                      <w:lang w:val="fr-FR"/>
                    </w:rPr>
                  </w:pPr>
                  <w:r w:rsidRPr="00DC74D2">
                    <w:rPr>
                      <w:snapToGrid w:val="0"/>
                      <w:lang w:val="fr-FR"/>
                    </w:rPr>
                    <w:lastRenderedPageBreak/>
                    <w:t>Le chronogramme/plan de travail proposé est-il cohérent et réaliste pour garantir la réalisation effective des principaux livrables attendus de la mission comme explicité dans les TDR ?</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C02BE3" w14:textId="7A25148F" w:rsidR="00A34242" w:rsidRPr="00DC74D2" w:rsidRDefault="00A34242" w:rsidP="00293DAE">
                  <w:pPr>
                    <w:spacing w:line="240" w:lineRule="auto"/>
                    <w:jc w:val="center"/>
                    <w:rPr>
                      <w:rFonts w:cstheme="minorHAnsi"/>
                      <w:color w:val="000000"/>
                      <w:lang w:val="fr-FR"/>
                    </w:rPr>
                  </w:pPr>
                  <w:r>
                    <w:rPr>
                      <w:rFonts w:cstheme="minorHAnsi"/>
                      <w:color w:val="000000"/>
                      <w:lang w:val="fr-FR"/>
                    </w:rPr>
                    <w:t>20</w:t>
                  </w:r>
                </w:p>
              </w:tc>
            </w:tr>
            <w:tr w:rsidR="00A34242" w:rsidRPr="00D66429" w14:paraId="0EAA2C76" w14:textId="77777777" w:rsidTr="005F0A94">
              <w:trPr>
                <w:trHeight w:val="253"/>
              </w:trPr>
              <w:tc>
                <w:tcPr>
                  <w:tcW w:w="7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6C4C47C" w14:textId="77777777" w:rsidR="00A34242" w:rsidRPr="007260D6" w:rsidRDefault="00A34242" w:rsidP="00A34242">
                  <w:pPr>
                    <w:spacing w:line="240" w:lineRule="auto"/>
                    <w:jc w:val="both"/>
                    <w:rPr>
                      <w:rFonts w:cstheme="minorHAnsi"/>
                      <w:b/>
                      <w:bCs/>
                      <w:snapToGrid w:val="0"/>
                      <w:lang w:val="fr-FR"/>
                    </w:rPr>
                  </w:pPr>
                  <w:r w:rsidRPr="007260D6">
                    <w:rPr>
                      <w:rFonts w:cstheme="minorHAnsi"/>
                      <w:b/>
                      <w:bCs/>
                      <w:snapToGrid w:val="0"/>
                      <w:lang w:val="fr-FR"/>
                    </w:rPr>
                    <w:t xml:space="preserve">Total note proposition technique </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B2927A" w14:textId="77777777" w:rsidR="00A34242" w:rsidRPr="007260D6" w:rsidRDefault="00A34242" w:rsidP="00A34242">
                  <w:pPr>
                    <w:spacing w:line="240" w:lineRule="auto"/>
                    <w:jc w:val="both"/>
                    <w:rPr>
                      <w:rFonts w:cstheme="minorHAnsi"/>
                      <w:b/>
                      <w:bCs/>
                      <w:color w:val="000000"/>
                      <w:lang w:val="fr-FR"/>
                    </w:rPr>
                  </w:pPr>
                  <w:r w:rsidRPr="007260D6">
                    <w:rPr>
                      <w:rFonts w:cstheme="minorHAnsi"/>
                      <w:b/>
                      <w:bCs/>
                      <w:color w:val="000000"/>
                      <w:lang w:val="fr-FR"/>
                    </w:rPr>
                    <w:t>100</w:t>
                  </w:r>
                </w:p>
              </w:tc>
            </w:tr>
          </w:tbl>
          <w:p w14:paraId="3178720D" w14:textId="77777777" w:rsidR="003230F4" w:rsidRPr="007260D6" w:rsidRDefault="003230F4" w:rsidP="003230F4">
            <w:pPr>
              <w:jc w:val="both"/>
              <w:rPr>
                <w:rFonts w:eastAsia="Times New Roman" w:cstheme="minorHAnsi"/>
                <w:bCs/>
                <w:lang w:val="fr-FR" w:eastAsia="rw-RW"/>
              </w:rPr>
            </w:pPr>
          </w:p>
          <w:p w14:paraId="74BC25A0" w14:textId="11AB4404" w:rsidR="00E41813" w:rsidRPr="00F30D52" w:rsidRDefault="00E41813" w:rsidP="00E41813">
            <w:pPr>
              <w:jc w:val="both"/>
              <w:rPr>
                <w:rFonts w:cstheme="minorHAnsi"/>
                <w:bCs/>
                <w:lang w:val="fr-FR"/>
              </w:rPr>
            </w:pPr>
            <w:r w:rsidRPr="00F30D52">
              <w:rPr>
                <w:rFonts w:cstheme="minorHAnsi"/>
                <w:bCs/>
                <w:lang w:val="fr-FR"/>
              </w:rPr>
              <w:t>Seront jugées qualifiées, les propositions techniques qui obtiendront 70% de la note maximale de 100 points</w:t>
            </w:r>
            <w:r w:rsidR="00F30D52">
              <w:rPr>
                <w:rFonts w:cstheme="minorHAnsi"/>
                <w:bCs/>
                <w:lang w:val="fr-FR"/>
              </w:rPr>
              <w:t xml:space="preserve">, </w:t>
            </w:r>
            <w:r w:rsidRPr="00F30D52">
              <w:rPr>
                <w:rFonts w:cstheme="minorHAnsi"/>
                <w:bCs/>
                <w:lang w:val="fr-FR"/>
              </w:rPr>
              <w:t>cette note technique sera pondérée a 70%.</w:t>
            </w:r>
          </w:p>
          <w:p w14:paraId="70FC6136" w14:textId="77777777" w:rsidR="00E41813" w:rsidRPr="007260D6" w:rsidRDefault="00E41813" w:rsidP="00E41813">
            <w:pPr>
              <w:jc w:val="both"/>
              <w:rPr>
                <w:rFonts w:cstheme="minorHAnsi"/>
                <w:b/>
                <w:lang w:val="fr-FR"/>
              </w:rPr>
            </w:pPr>
          </w:p>
          <w:p w14:paraId="3CA1AC6A" w14:textId="77777777" w:rsidR="003A195C" w:rsidRPr="00F30D52" w:rsidRDefault="003A195C" w:rsidP="003A195C">
            <w:pPr>
              <w:pStyle w:val="Paragraphedeliste"/>
              <w:numPr>
                <w:ilvl w:val="0"/>
                <w:numId w:val="22"/>
              </w:numPr>
              <w:jc w:val="both"/>
              <w:rPr>
                <w:rFonts w:eastAsia="Times New Roman" w:cstheme="minorHAnsi"/>
                <w:b/>
                <w:bCs/>
                <w:i/>
                <w:u w:val="single"/>
                <w:lang w:eastAsia="rw-RW"/>
              </w:rPr>
            </w:pPr>
            <w:r w:rsidRPr="00F30D52">
              <w:rPr>
                <w:rFonts w:eastAsia="Times New Roman" w:cstheme="minorHAnsi"/>
                <w:b/>
                <w:bCs/>
                <w:i/>
                <w:u w:val="single"/>
                <w:lang w:eastAsia="rw-RW"/>
              </w:rPr>
              <w:t xml:space="preserve">Les propositions </w:t>
            </w:r>
            <w:proofErr w:type="spellStart"/>
            <w:r w:rsidRPr="00F30D52">
              <w:rPr>
                <w:rFonts w:eastAsia="Times New Roman" w:cstheme="minorHAnsi"/>
                <w:b/>
                <w:bCs/>
                <w:i/>
                <w:u w:val="single"/>
                <w:lang w:eastAsia="rw-RW"/>
              </w:rPr>
              <w:t>financières</w:t>
            </w:r>
            <w:proofErr w:type="spellEnd"/>
          </w:p>
          <w:p w14:paraId="216041A4" w14:textId="77777777" w:rsidR="003A195C" w:rsidRPr="004273E0" w:rsidRDefault="003A195C" w:rsidP="003A195C">
            <w:pPr>
              <w:jc w:val="both"/>
              <w:rPr>
                <w:rFonts w:eastAsia="Times New Roman" w:cstheme="minorHAnsi"/>
                <w:bCs/>
                <w:lang w:eastAsia="rw-RW"/>
              </w:rPr>
            </w:pPr>
          </w:p>
          <w:p w14:paraId="04C2EFF9" w14:textId="725CF7C9" w:rsidR="003A195C" w:rsidRDefault="003A195C" w:rsidP="003A195C">
            <w:pPr>
              <w:jc w:val="both"/>
              <w:rPr>
                <w:rFonts w:eastAsia="Times New Roman" w:cstheme="minorHAnsi"/>
                <w:lang w:val="fr-FR" w:eastAsia="rw-RW"/>
              </w:rPr>
            </w:pPr>
            <w:r w:rsidRPr="004273E0">
              <w:rPr>
                <w:rFonts w:eastAsia="Times New Roman" w:cstheme="minorHAnsi"/>
                <w:lang w:val="fr-FR" w:eastAsia="rw-RW"/>
              </w:rPr>
              <w:t>Dans une deuxième étape du processus d’évaluation, les enveloppes financières seront ouvertes et les offres financières comparées</w:t>
            </w:r>
            <w:r>
              <w:rPr>
                <w:rFonts w:eastAsia="Times New Roman" w:cstheme="minorHAnsi"/>
                <w:lang w:val="fr-FR" w:eastAsia="rw-RW"/>
              </w:rPr>
              <w:t>. U</w:t>
            </w:r>
            <w:r w:rsidRPr="004273E0">
              <w:rPr>
                <w:rFonts w:eastAsia="Times New Roman" w:cstheme="minorHAnsi"/>
                <w:lang w:val="fr-FR" w:eastAsia="rw-RW"/>
              </w:rPr>
              <w:t>ne note financière sera calculée pour chaque proposition sur la base de la formule :</w:t>
            </w:r>
          </w:p>
          <w:p w14:paraId="739ACBE8" w14:textId="77777777" w:rsidR="00F30D52" w:rsidRPr="004273E0" w:rsidRDefault="00F30D52" w:rsidP="003A195C">
            <w:pPr>
              <w:jc w:val="both"/>
              <w:rPr>
                <w:rFonts w:eastAsia="Times New Roman" w:cstheme="minorHAnsi"/>
                <w:lang w:val="fr-FR" w:eastAsia="rw-RW"/>
              </w:rPr>
            </w:pPr>
          </w:p>
          <w:p w14:paraId="457CCA32" w14:textId="1493C0E7" w:rsidR="003A195C" w:rsidRDefault="003A195C" w:rsidP="003A195C">
            <w:pPr>
              <w:pStyle w:val="Paragraphedeliste"/>
              <w:numPr>
                <w:ilvl w:val="0"/>
                <w:numId w:val="23"/>
              </w:numPr>
              <w:jc w:val="both"/>
              <w:rPr>
                <w:rFonts w:eastAsia="Times New Roman" w:cstheme="minorHAnsi"/>
                <w:b/>
                <w:i/>
                <w:lang w:val="fr-FR" w:eastAsia="rw-RW"/>
              </w:rPr>
            </w:pPr>
            <w:r w:rsidRPr="004273E0">
              <w:rPr>
                <w:rFonts w:eastAsia="Times New Roman" w:cstheme="minorHAnsi"/>
                <w:b/>
                <w:i/>
                <w:lang w:val="fr-FR" w:eastAsia="rw-RW"/>
              </w:rPr>
              <w:t xml:space="preserve">Note financière A = [(Offre financière la moins </w:t>
            </w:r>
            <w:proofErr w:type="spellStart"/>
            <w:r w:rsidRPr="004273E0">
              <w:rPr>
                <w:rFonts w:eastAsia="Times New Roman" w:cstheme="minorHAnsi"/>
                <w:b/>
                <w:i/>
                <w:lang w:val="fr-FR" w:eastAsia="rw-RW"/>
              </w:rPr>
              <w:t>disante</w:t>
            </w:r>
            <w:proofErr w:type="spellEnd"/>
            <w:r w:rsidRPr="004273E0">
              <w:rPr>
                <w:rFonts w:eastAsia="Times New Roman" w:cstheme="minorHAnsi"/>
                <w:b/>
                <w:i/>
                <w:lang w:val="fr-FR" w:eastAsia="rw-RW"/>
              </w:rPr>
              <w:t>) /Offre financière de A] x 30</w:t>
            </w:r>
          </w:p>
          <w:p w14:paraId="035C269A" w14:textId="77777777" w:rsidR="003A195C" w:rsidRPr="004273E0" w:rsidRDefault="003A195C" w:rsidP="003A195C">
            <w:pPr>
              <w:pStyle w:val="Paragraphedeliste"/>
              <w:jc w:val="both"/>
              <w:rPr>
                <w:rFonts w:eastAsia="Times New Roman" w:cstheme="minorHAnsi"/>
                <w:b/>
                <w:i/>
                <w:lang w:val="fr-FR" w:eastAsia="rw-RW"/>
              </w:rPr>
            </w:pPr>
          </w:p>
          <w:p w14:paraId="5F65B67B" w14:textId="77777777" w:rsidR="003A195C" w:rsidRPr="004273E0" w:rsidRDefault="003A195C" w:rsidP="003A195C">
            <w:pPr>
              <w:jc w:val="both"/>
              <w:rPr>
                <w:rFonts w:eastAsia="Times New Roman" w:cstheme="minorHAnsi"/>
                <w:b/>
                <w:lang w:val="fr-FR" w:eastAsia="rw-RW"/>
              </w:rPr>
            </w:pPr>
            <w:r w:rsidRPr="004273E0">
              <w:rPr>
                <w:rFonts w:eastAsia="Times New Roman" w:cstheme="minorHAnsi"/>
                <w:b/>
                <w:lang w:val="fr-FR" w:eastAsia="rw-RW"/>
              </w:rPr>
              <w:t>Le/la Consultant (e) avec le cumul de notes (Technique + Financière) le plus élevé sera retenu pour le contrat.</w:t>
            </w:r>
          </w:p>
          <w:p w14:paraId="5C16701D" w14:textId="77777777" w:rsidR="003A195C" w:rsidRPr="004273E0" w:rsidRDefault="003A195C" w:rsidP="003A195C">
            <w:pPr>
              <w:jc w:val="both"/>
              <w:rPr>
                <w:rFonts w:cstheme="minorHAnsi"/>
                <w:b/>
                <w:i/>
                <w:lang w:val="fr-FR"/>
              </w:rPr>
            </w:pPr>
          </w:p>
          <w:p w14:paraId="63D7E3CC" w14:textId="77777777" w:rsidR="003A195C" w:rsidRPr="004273E0" w:rsidRDefault="003A195C" w:rsidP="003A195C">
            <w:pPr>
              <w:jc w:val="both"/>
              <w:rPr>
                <w:rFonts w:eastAsia="Times New Roman"/>
                <w:bCs/>
                <w:lang w:val="fr-FR" w:eastAsia="rw-RW"/>
              </w:rPr>
            </w:pPr>
            <w:r w:rsidRPr="004273E0">
              <w:rPr>
                <w:rFonts w:eastAsia="Times New Roman"/>
                <w:bCs/>
                <w:lang w:val="fr-FR" w:eastAsia="rw-RW"/>
              </w:rPr>
              <w:t>Le/la Consultant(e) fait sa proposition financière suivant le Tableau des coûts dans l´Annexe II (Lettre de soumission au PNUD). Il doit proposer un montant forfaitaire et présenter</w:t>
            </w:r>
            <w:r w:rsidRPr="004273E0">
              <w:rPr>
                <w:rFonts w:eastAsia="Times New Roman"/>
                <w:bCs/>
                <w:color w:val="00B050"/>
                <w:lang w:val="fr-FR" w:eastAsia="rw-RW"/>
              </w:rPr>
              <w:t>,</w:t>
            </w:r>
            <w:r w:rsidRPr="004273E0">
              <w:rPr>
                <w:rFonts w:eastAsia="Times New Roman"/>
                <w:bCs/>
                <w:lang w:val="fr-FR" w:eastAsia="rw-RW"/>
              </w:rPr>
              <w:t xml:space="preserve"> dans le Tableau des coûts</w:t>
            </w:r>
            <w:r w:rsidRPr="004273E0">
              <w:rPr>
                <w:rFonts w:eastAsia="Times New Roman"/>
                <w:bCs/>
                <w:color w:val="00B050"/>
                <w:lang w:val="fr-FR" w:eastAsia="rw-RW"/>
              </w:rPr>
              <w:t>,</w:t>
            </w:r>
            <w:r w:rsidRPr="004273E0">
              <w:rPr>
                <w:rFonts w:eastAsia="Times New Roman"/>
                <w:bCs/>
                <w:lang w:val="fr-FR" w:eastAsia="rw-RW"/>
              </w:rPr>
              <w:t xml:space="preserve"> la ventilation de ce montant forfaitaire.</w:t>
            </w:r>
          </w:p>
          <w:p w14:paraId="6C4AEC16" w14:textId="77777777" w:rsidR="003A195C" w:rsidRPr="004273E0" w:rsidRDefault="003A195C" w:rsidP="003A195C">
            <w:pPr>
              <w:jc w:val="both"/>
              <w:rPr>
                <w:rFonts w:eastAsia="Times New Roman"/>
                <w:bCs/>
                <w:lang w:val="fr-FR" w:eastAsia="rw-RW"/>
              </w:rPr>
            </w:pPr>
          </w:p>
          <w:p w14:paraId="5C981D38" w14:textId="34F90911" w:rsidR="00EF31F4" w:rsidRDefault="003A195C" w:rsidP="003A195C">
            <w:pPr>
              <w:jc w:val="both"/>
              <w:rPr>
                <w:rFonts w:eastAsia="Times New Roman"/>
                <w:bCs/>
                <w:lang w:val="fr-FR" w:eastAsia="rw-RW"/>
              </w:rPr>
            </w:pPr>
            <w:r w:rsidRPr="004273E0">
              <w:rPr>
                <w:rFonts w:eastAsia="Times New Roman"/>
                <w:bCs/>
                <w:lang w:val="fr-FR" w:eastAsia="rw-RW"/>
              </w:rPr>
              <w:t xml:space="preserve">Le/la consultant/e devra inclure tous les frais lui permettant d’exécuter la mission suivant la durée prévue. </w:t>
            </w:r>
          </w:p>
          <w:p w14:paraId="40C25A9D" w14:textId="77777777" w:rsidR="00EF31F4" w:rsidRDefault="00EF31F4" w:rsidP="003A195C">
            <w:pPr>
              <w:jc w:val="both"/>
              <w:rPr>
                <w:rFonts w:eastAsia="Times New Roman"/>
                <w:bCs/>
                <w:lang w:val="fr-FR" w:eastAsia="rw-RW"/>
              </w:rPr>
            </w:pPr>
          </w:p>
          <w:p w14:paraId="1150062D" w14:textId="52A5E155" w:rsidR="003A195C" w:rsidRPr="004273E0" w:rsidRDefault="003A195C" w:rsidP="003A195C">
            <w:pPr>
              <w:jc w:val="both"/>
              <w:rPr>
                <w:rFonts w:eastAsia="Times New Roman"/>
                <w:bCs/>
                <w:lang w:val="fr-FR" w:eastAsia="rw-RW"/>
              </w:rPr>
            </w:pPr>
            <w:r w:rsidRPr="004273E0">
              <w:rPr>
                <w:rFonts w:eastAsia="Times New Roman"/>
                <w:bCs/>
                <w:lang w:val="fr-FR" w:eastAsia="rw-RW"/>
              </w:rPr>
              <w:t>Les paiements seront effectués sur la base de la production des livrables tels que mentionné dans la Section 3 – Livrables et Tranches de Paiement</w:t>
            </w:r>
            <w:r>
              <w:rPr>
                <w:rFonts w:eastAsia="Times New Roman"/>
                <w:bCs/>
                <w:lang w:val="fr-FR" w:eastAsia="rw-RW"/>
              </w:rPr>
              <w:t>.</w:t>
            </w:r>
          </w:p>
          <w:p w14:paraId="46099B54" w14:textId="77777777" w:rsidR="003A195C" w:rsidRPr="004273E0" w:rsidRDefault="003A195C" w:rsidP="003A195C">
            <w:pPr>
              <w:jc w:val="both"/>
              <w:rPr>
                <w:rFonts w:cstheme="minorHAnsi"/>
                <w:b/>
                <w:i/>
                <w:lang w:val="fr-FR"/>
              </w:rPr>
            </w:pPr>
          </w:p>
          <w:p w14:paraId="67F13CA9" w14:textId="7998BB15" w:rsidR="00443E94" w:rsidRPr="007260D6" w:rsidRDefault="003A195C" w:rsidP="003A195C">
            <w:pPr>
              <w:jc w:val="both"/>
              <w:rPr>
                <w:rFonts w:cstheme="minorHAnsi"/>
                <w:b/>
                <w:i/>
                <w:lang w:val="fr-FR"/>
              </w:rPr>
            </w:pPr>
            <w:r w:rsidRPr="004273E0">
              <w:rPr>
                <w:rFonts w:cstheme="minorHAnsi"/>
                <w:b/>
                <w:i/>
                <w:lang w:val="fr-FR"/>
              </w:rPr>
              <w:t>Seulement les candidats ayant obtenu la note minimale combinée de 70/100 à l´évaluation technique seront considérés pour l’évaluation financière.</w:t>
            </w:r>
          </w:p>
        </w:tc>
      </w:tr>
    </w:tbl>
    <w:p w14:paraId="2F261440" w14:textId="77777777" w:rsidR="00AF4A69" w:rsidRPr="00BD7CD8" w:rsidRDefault="00AF4A69" w:rsidP="00C3053C">
      <w:pPr>
        <w:rPr>
          <w:rFonts w:cstheme="minorHAnsi"/>
          <w:b/>
          <w:lang w:val="fr-FR"/>
        </w:rPr>
      </w:pPr>
    </w:p>
    <w:p w14:paraId="4A14E738" w14:textId="1635D0D6" w:rsidR="00C3053C" w:rsidRPr="007260D6" w:rsidRDefault="002C0148" w:rsidP="00C3053C">
      <w:pPr>
        <w:rPr>
          <w:rFonts w:cstheme="minorHAnsi"/>
          <w:b/>
          <w:lang w:val="fr-FR"/>
        </w:rPr>
      </w:pPr>
      <w:r>
        <w:rPr>
          <w:rFonts w:cstheme="minorHAnsi"/>
          <w:b/>
        </w:rPr>
        <w:t>7</w:t>
      </w:r>
      <w:r w:rsidR="00C3053C" w:rsidRPr="007260D6">
        <w:rPr>
          <w:rFonts w:cstheme="minorHAnsi"/>
          <w:b/>
        </w:rPr>
        <w:t xml:space="preserve">. </w:t>
      </w:r>
      <w:r w:rsidR="00C3053C" w:rsidRPr="007260D6">
        <w:rPr>
          <w:rFonts w:eastAsia="Calibri" w:cstheme="minorHAnsi"/>
          <w:b/>
          <w:lang w:val="fr-FR"/>
        </w:rPr>
        <w:t>Autres informations pertinentes</w:t>
      </w:r>
    </w:p>
    <w:tbl>
      <w:tblPr>
        <w:tblStyle w:val="Grilledutableau"/>
        <w:tblW w:w="0" w:type="auto"/>
        <w:tblLook w:val="04A0" w:firstRow="1" w:lastRow="0" w:firstColumn="1" w:lastColumn="0" w:noHBand="0" w:noVBand="1"/>
      </w:tblPr>
      <w:tblGrid>
        <w:gridCol w:w="9350"/>
      </w:tblGrid>
      <w:tr w:rsidR="00C3053C" w:rsidRPr="00D66429" w14:paraId="42896A12" w14:textId="77777777" w:rsidTr="003A195C">
        <w:trPr>
          <w:trHeight w:val="2006"/>
        </w:trPr>
        <w:tc>
          <w:tcPr>
            <w:tcW w:w="9576" w:type="dxa"/>
          </w:tcPr>
          <w:p w14:paraId="1EF7382C" w14:textId="77777777" w:rsidR="00C3053C" w:rsidRPr="007260D6" w:rsidRDefault="00C3053C" w:rsidP="00C3053C">
            <w:pPr>
              <w:rPr>
                <w:rFonts w:cstheme="minorHAnsi"/>
                <w:lang w:val="fr-FR"/>
              </w:rPr>
            </w:pPr>
            <w:r w:rsidRPr="007260D6">
              <w:rPr>
                <w:rFonts w:cstheme="minorHAnsi"/>
                <w:lang w:val="fr-FR"/>
              </w:rPr>
              <w:t xml:space="preserve">Le soumissionnaire retenu de 65 ans ou plus sera appelé à présenter un certificat médical complet ainsi qu´un certificat d’aptitude physique à travailler et à voyager. Les frais des examens seront à sa charge et le rapport médical devra être approuvé par un médecin approuvé par les Nations Unis. </w:t>
            </w:r>
          </w:p>
          <w:p w14:paraId="0D32A7E2" w14:textId="77777777" w:rsidR="00C3053C" w:rsidRPr="007260D6" w:rsidRDefault="00C3053C" w:rsidP="00C3053C">
            <w:pPr>
              <w:rPr>
                <w:rFonts w:cstheme="minorHAnsi"/>
                <w:lang w:val="fr-FR"/>
              </w:rPr>
            </w:pPr>
          </w:p>
          <w:p w14:paraId="6B5F4FE8" w14:textId="77777777" w:rsidR="00C3053C" w:rsidRPr="007260D6" w:rsidRDefault="00C3053C" w:rsidP="00DC6C23">
            <w:pPr>
              <w:rPr>
                <w:rFonts w:cstheme="minorHAnsi"/>
                <w:lang w:val="fr-FR"/>
              </w:rPr>
            </w:pPr>
            <w:r w:rsidRPr="007260D6">
              <w:rPr>
                <w:rFonts w:cstheme="minorHAnsi"/>
                <w:lang w:val="fr-FR"/>
              </w:rPr>
              <w:t xml:space="preserve">Le consultant retenu devra prendre toutes les dispositions nécessaires pour faire les </w:t>
            </w:r>
            <w:r w:rsidRPr="007260D6">
              <w:rPr>
                <w:rFonts w:cstheme="minorHAnsi"/>
                <w:b/>
                <w:lang w:val="fr-FR"/>
              </w:rPr>
              <w:t xml:space="preserve">formations sécuritaires requises </w:t>
            </w:r>
            <w:r w:rsidRPr="007260D6">
              <w:rPr>
                <w:rFonts w:cstheme="minorHAnsi"/>
                <w:lang w:val="fr-FR"/>
              </w:rPr>
              <w:t>avant tout démarrage de mission (ces certificats sont obtenus en ligne, le PNUD fournira tous les détails au consultant retenu au moment de l´attribution du contrat).</w:t>
            </w:r>
          </w:p>
        </w:tc>
      </w:tr>
    </w:tbl>
    <w:p w14:paraId="143820B2" w14:textId="77777777" w:rsidR="00AF4A69" w:rsidRDefault="00AF4A69" w:rsidP="00A24134">
      <w:pPr>
        <w:rPr>
          <w:rFonts w:cstheme="minorHAnsi"/>
          <w:b/>
          <w:lang w:val="fr-FR"/>
        </w:rPr>
      </w:pPr>
    </w:p>
    <w:p w14:paraId="7D25DA8C" w14:textId="4E50FE49" w:rsidR="00103276" w:rsidRPr="007260D6" w:rsidRDefault="0082245E" w:rsidP="00A24134">
      <w:pPr>
        <w:rPr>
          <w:rFonts w:cstheme="minorHAnsi"/>
          <w:b/>
          <w:lang w:val="fr-FR"/>
        </w:rPr>
      </w:pPr>
      <w:r w:rsidRPr="007260D6">
        <w:rPr>
          <w:rFonts w:cstheme="minorHAnsi"/>
          <w:b/>
          <w:lang w:val="fr-FR"/>
        </w:rPr>
        <w:lastRenderedPageBreak/>
        <w:t>ANNEX</w:t>
      </w:r>
      <w:r w:rsidR="003A195C">
        <w:rPr>
          <w:rFonts w:cstheme="minorHAnsi"/>
          <w:b/>
          <w:lang w:val="fr-FR"/>
        </w:rPr>
        <w:t>E</w:t>
      </w:r>
      <w:r w:rsidRPr="007260D6">
        <w:rPr>
          <w:rFonts w:cstheme="minorHAnsi"/>
          <w:b/>
          <w:lang w:val="fr-FR"/>
        </w:rPr>
        <w:t xml:space="preserve"> 1</w:t>
      </w:r>
      <w:r w:rsidR="00167362" w:rsidRPr="007260D6">
        <w:rPr>
          <w:rFonts w:cstheme="minorHAnsi"/>
          <w:b/>
          <w:lang w:val="fr-FR"/>
        </w:rPr>
        <w:t xml:space="preserve"> – Termes et Conditions des contrats IC (</w:t>
      </w:r>
      <w:proofErr w:type="spellStart"/>
      <w:r w:rsidR="00167362" w:rsidRPr="007260D6">
        <w:rPr>
          <w:rFonts w:cstheme="minorHAnsi"/>
          <w:b/>
          <w:lang w:val="fr-FR"/>
        </w:rPr>
        <w:t>Individual</w:t>
      </w:r>
      <w:proofErr w:type="spellEnd"/>
      <w:r w:rsidR="00167362" w:rsidRPr="007260D6">
        <w:rPr>
          <w:rFonts w:cstheme="minorHAnsi"/>
          <w:b/>
          <w:lang w:val="fr-FR"/>
        </w:rPr>
        <w:t xml:space="preserve"> </w:t>
      </w:r>
      <w:proofErr w:type="spellStart"/>
      <w:r w:rsidR="00167362" w:rsidRPr="007260D6">
        <w:rPr>
          <w:rFonts w:cstheme="minorHAnsi"/>
          <w:b/>
          <w:lang w:val="fr-FR"/>
        </w:rPr>
        <w:t>Contracts</w:t>
      </w:r>
      <w:proofErr w:type="spellEnd"/>
      <w:r w:rsidR="00167362" w:rsidRPr="007260D6">
        <w:rPr>
          <w:rFonts w:cstheme="minorHAnsi"/>
          <w:b/>
          <w:lang w:val="fr-FR"/>
        </w:rPr>
        <w:t>)</w:t>
      </w:r>
    </w:p>
    <w:bookmarkStart w:id="8" w:name="_MON_1440321617"/>
    <w:bookmarkEnd w:id="8"/>
    <w:p w14:paraId="303E17C9" w14:textId="77777777" w:rsidR="004B1614" w:rsidRPr="007260D6" w:rsidRDefault="00A24A6D" w:rsidP="00A24134">
      <w:pPr>
        <w:rPr>
          <w:rFonts w:cstheme="minorHAnsi"/>
          <w:b/>
          <w:lang w:val="fr-FR"/>
        </w:rPr>
      </w:pPr>
      <w:r w:rsidRPr="007260D6">
        <w:rPr>
          <w:rFonts w:eastAsia="Times New Roman" w:cstheme="minorHAnsi"/>
          <w:b/>
          <w:noProof/>
          <w:lang w:eastAsia="rw-RW"/>
        </w:rPr>
        <w:object w:dxaOrig="1531" w:dyaOrig="990" w14:anchorId="4CA2B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6pt;height:51pt;mso-width-percent:0;mso-height-percent:0;mso-width-percent:0;mso-height-percent:0" o:ole="">
            <v:imagedata r:id="rId13" o:title=""/>
          </v:shape>
          <o:OLEObject Type="Embed" ProgID="Word.Document.12" ShapeID="_x0000_i1025" DrawAspect="Icon" ObjectID="_1683626518" r:id="rId14">
            <o:FieldCodes>\s</o:FieldCodes>
          </o:OLEObject>
        </w:object>
      </w:r>
    </w:p>
    <w:p w14:paraId="0EF7A4FD" w14:textId="0AE0906C" w:rsidR="003A195C" w:rsidRPr="004273E0" w:rsidRDefault="003A195C" w:rsidP="003A195C">
      <w:pPr>
        <w:rPr>
          <w:rFonts w:eastAsia="Times New Roman" w:cstheme="minorHAnsi"/>
          <w:b/>
          <w:noProof/>
          <w:lang w:val="fr-FR" w:eastAsia="rw-RW"/>
        </w:rPr>
      </w:pPr>
      <w:r w:rsidRPr="004273E0">
        <w:rPr>
          <w:rFonts w:cstheme="minorHAnsi"/>
          <w:b/>
          <w:lang w:val="fr-FR"/>
        </w:rPr>
        <w:t>ANNEX</w:t>
      </w:r>
      <w:r>
        <w:rPr>
          <w:rFonts w:cstheme="minorHAnsi"/>
          <w:b/>
          <w:lang w:val="fr-FR"/>
        </w:rPr>
        <w:t>E</w:t>
      </w:r>
      <w:r w:rsidRPr="004273E0">
        <w:rPr>
          <w:rFonts w:cstheme="minorHAnsi"/>
          <w:b/>
          <w:lang w:val="fr-FR"/>
        </w:rPr>
        <w:t xml:space="preserve"> 2 – Lettre de soumission au PNUD confirmant l´intérêt et la disponibilité du prestataire individuel (IC) pour la mission (y compris le tableau des couts)</w:t>
      </w:r>
    </w:p>
    <w:bookmarkStart w:id="9" w:name="_MON_1642487187"/>
    <w:bookmarkEnd w:id="9"/>
    <w:p w14:paraId="4D81453E" w14:textId="77777777" w:rsidR="003A195C" w:rsidRDefault="003A195C" w:rsidP="003A195C">
      <w:pPr>
        <w:rPr>
          <w:rFonts w:cstheme="minorHAnsi"/>
          <w:b/>
          <w:noProof/>
          <w:lang w:val="fr-FR"/>
        </w:rPr>
      </w:pPr>
      <w:r w:rsidRPr="004273E0">
        <w:rPr>
          <w:rFonts w:cstheme="minorHAnsi"/>
          <w:b/>
          <w:noProof/>
          <w:lang w:val="fr-FR"/>
        </w:rPr>
        <w:object w:dxaOrig="1478" w:dyaOrig="973" w14:anchorId="0ADE588C">
          <v:shape id="_x0000_i1026" type="#_x0000_t75" style="width:1in;height:51pt" o:ole="">
            <v:imagedata r:id="rId15" o:title=""/>
          </v:shape>
          <o:OLEObject Type="Embed" ProgID="Word.Document.12" ShapeID="_x0000_i1026" DrawAspect="Icon" ObjectID="_1683626519" r:id="rId16">
            <o:FieldCodes>\s</o:FieldCodes>
          </o:OLEObject>
        </w:object>
      </w:r>
    </w:p>
    <w:p w14:paraId="36C0255C" w14:textId="72D25A47" w:rsidR="00240981" w:rsidRPr="00C94C3F" w:rsidRDefault="00240981" w:rsidP="00C3053C">
      <w:pPr>
        <w:rPr>
          <w:rFonts w:cstheme="minorHAnsi"/>
          <w:b/>
          <w:lang w:val="fr-FR"/>
        </w:rPr>
      </w:pPr>
    </w:p>
    <w:sectPr w:rsidR="00240981" w:rsidRPr="00C94C3F" w:rsidSect="008429D1">
      <w:headerReference w:type="default" r:id="rId17"/>
      <w:footerReference w:type="default" r:id="rId18"/>
      <w:pgSz w:w="12240" w:h="15840"/>
      <w:pgMar w:top="1440" w:right="1440" w:bottom="99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3D19" w14:textId="77777777" w:rsidR="001F1680" w:rsidRDefault="001F1680" w:rsidP="00A24134">
      <w:pPr>
        <w:spacing w:after="0" w:line="240" w:lineRule="auto"/>
      </w:pPr>
      <w:r>
        <w:separator/>
      </w:r>
    </w:p>
  </w:endnote>
  <w:endnote w:type="continuationSeparator" w:id="0">
    <w:p w14:paraId="0AFF2A45" w14:textId="77777777" w:rsidR="001F1680" w:rsidRDefault="001F1680" w:rsidP="00A2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B8CA" w14:textId="77886263" w:rsidR="003343CB" w:rsidRPr="003F640F" w:rsidRDefault="00876D2A" w:rsidP="003F640F">
    <w:pPr>
      <w:pStyle w:val="Pieddepage"/>
    </w:pPr>
    <w:r>
      <w:rPr>
        <w:rFonts w:eastAsia="Times New Roman" w:cstheme="minorHAnsi"/>
        <w:b/>
        <w:lang w:val="fr-FR" w:eastAsia="rw-RW"/>
      </w:rPr>
      <w:t>09</w:t>
    </w:r>
    <w:r w:rsidR="00D26DF2">
      <w:rPr>
        <w:rFonts w:eastAsia="Times New Roman" w:cstheme="minorHAnsi"/>
        <w:b/>
        <w:lang w:val="fr-FR" w:eastAsia="rw-RW"/>
      </w:rPr>
      <w:t>5</w:t>
    </w:r>
    <w:r w:rsidR="007C29F9" w:rsidRPr="007C29F9">
      <w:rPr>
        <w:rFonts w:eastAsia="Times New Roman" w:cstheme="minorHAnsi"/>
        <w:b/>
        <w:lang w:val="fr-FR" w:eastAsia="rw-RW"/>
      </w:rPr>
      <w:t>/IC_</w:t>
    </w:r>
    <w:r>
      <w:rPr>
        <w:rFonts w:eastAsia="Times New Roman" w:cstheme="minorHAnsi"/>
        <w:b/>
        <w:lang w:val="fr-FR" w:eastAsia="rw-RW"/>
      </w:rPr>
      <w:t>N</w:t>
    </w:r>
    <w:r w:rsidR="00D26DF2">
      <w:rPr>
        <w:rFonts w:eastAsia="Times New Roman" w:cstheme="minorHAnsi"/>
        <w:b/>
        <w:lang w:val="fr-FR" w:eastAsia="rw-RW"/>
      </w:rPr>
      <w:t>A</w:t>
    </w:r>
    <w:r>
      <w:rPr>
        <w:rFonts w:eastAsia="Times New Roman" w:cstheme="minorHAnsi"/>
        <w:b/>
        <w:lang w:val="fr-FR" w:eastAsia="rw-RW"/>
      </w:rPr>
      <w:t>T/</w:t>
    </w:r>
    <w:r w:rsidR="002A49F8">
      <w:rPr>
        <w:rFonts w:eastAsia="Times New Roman" w:cstheme="minorHAnsi"/>
        <w:b/>
        <w:lang w:val="fr-FR" w:eastAsia="rw-RW"/>
      </w:rPr>
      <w:t>JUSTICE</w:t>
    </w:r>
    <w:r w:rsidR="007C29F9" w:rsidRPr="007C29F9">
      <w:rPr>
        <w:rFonts w:eastAsia="Times New Roman" w:cstheme="minorHAnsi"/>
        <w:b/>
        <w:lang w:val="fr-FR" w:eastAsia="rw-RW"/>
      </w:rPr>
      <w:t xml:space="preserve">/2021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34CE8" w14:textId="77777777" w:rsidR="001F1680" w:rsidRDefault="001F1680" w:rsidP="00A24134">
      <w:pPr>
        <w:spacing w:after="0" w:line="240" w:lineRule="auto"/>
      </w:pPr>
      <w:r>
        <w:separator/>
      </w:r>
    </w:p>
  </w:footnote>
  <w:footnote w:type="continuationSeparator" w:id="0">
    <w:p w14:paraId="4E964489" w14:textId="77777777" w:rsidR="001F1680" w:rsidRDefault="001F1680" w:rsidP="00A24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1858" w14:textId="77777777" w:rsidR="00BF6263" w:rsidRDefault="00BF6263" w:rsidP="00D56C11">
    <w:pPr>
      <w:pStyle w:val="En-tte"/>
      <w:jc w:val="right"/>
    </w:pPr>
    <w:r w:rsidRPr="001C0978">
      <w:rPr>
        <w:rFonts w:ascii="Times New Roman" w:hAnsi="Times New Roman"/>
        <w:b/>
        <w:noProof/>
        <w:sz w:val="28"/>
        <w:szCs w:val="28"/>
        <w:lang w:val="fr-FR" w:eastAsia="fr-FR"/>
      </w:rPr>
      <w:drawing>
        <wp:inline distT="0" distB="0" distL="0" distR="0" wp14:anchorId="5DEBD9AC" wp14:editId="3C0A7732">
          <wp:extent cx="409569" cy="105752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531" cy="1093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7C5C"/>
    <w:multiLevelType w:val="hybridMultilevel"/>
    <w:tmpl w:val="AF2E02EE"/>
    <w:lvl w:ilvl="0" w:tplc="240C000F">
      <w:start w:val="1"/>
      <w:numFmt w:val="decimal"/>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 w15:restartNumberingAfterBreak="0">
    <w:nsid w:val="071C7435"/>
    <w:multiLevelType w:val="hybridMultilevel"/>
    <w:tmpl w:val="BD96D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C576D0"/>
    <w:multiLevelType w:val="hybridMultilevel"/>
    <w:tmpl w:val="1102C3D6"/>
    <w:lvl w:ilvl="0" w:tplc="240C0017">
      <w:start w:val="1"/>
      <w:numFmt w:val="lowerLetter"/>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3" w15:restartNumberingAfterBreak="0">
    <w:nsid w:val="0EFA3D8B"/>
    <w:multiLevelType w:val="hybridMultilevel"/>
    <w:tmpl w:val="5D7CC75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F18509C"/>
    <w:multiLevelType w:val="hybridMultilevel"/>
    <w:tmpl w:val="4E9AD8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35E57"/>
    <w:multiLevelType w:val="hybridMultilevel"/>
    <w:tmpl w:val="E9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E02EE"/>
    <w:multiLevelType w:val="hybridMultilevel"/>
    <w:tmpl w:val="8BB2C948"/>
    <w:lvl w:ilvl="0" w:tplc="040C0001">
      <w:start w:val="1"/>
      <w:numFmt w:val="bullet"/>
      <w:lvlText w:val=""/>
      <w:lvlJc w:val="left"/>
      <w:pPr>
        <w:ind w:left="720" w:hanging="360"/>
      </w:pPr>
      <w:rPr>
        <w:rFonts w:ascii="Symbol" w:hAnsi="Symbol" w:hint="default"/>
      </w:rPr>
    </w:lvl>
    <w:lvl w:ilvl="1" w:tplc="8BFE1D22">
      <w:start w:val="2"/>
      <w:numFmt w:val="bullet"/>
      <w:lvlText w:val="•"/>
      <w:lvlJc w:val="left"/>
      <w:pPr>
        <w:ind w:left="1440" w:hanging="360"/>
      </w:pPr>
      <w:rPr>
        <w:rFonts w:ascii="Calibri" w:eastAsia="Times New Roman" w:hAnsi="Calibri" w:cs="Calibr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6856DA"/>
    <w:multiLevelType w:val="hybridMultilevel"/>
    <w:tmpl w:val="B1188D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1FA2C01"/>
    <w:multiLevelType w:val="hybridMultilevel"/>
    <w:tmpl w:val="DB8063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000248"/>
    <w:multiLevelType w:val="hybridMultilevel"/>
    <w:tmpl w:val="0E74C6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BC6C4A"/>
    <w:multiLevelType w:val="hybridMultilevel"/>
    <w:tmpl w:val="690687EA"/>
    <w:lvl w:ilvl="0" w:tplc="04090001">
      <w:start w:val="1"/>
      <w:numFmt w:val="bullet"/>
      <w:lvlText w:val=""/>
      <w:lvlJc w:val="left"/>
      <w:pPr>
        <w:ind w:left="622" w:hanging="360"/>
      </w:pPr>
      <w:rPr>
        <w:rFonts w:ascii="Symbol" w:hAnsi="Symbol" w:hint="default"/>
      </w:rPr>
    </w:lvl>
    <w:lvl w:ilvl="1" w:tplc="04090003" w:tentative="1">
      <w:start w:val="1"/>
      <w:numFmt w:val="bullet"/>
      <w:lvlText w:val="o"/>
      <w:lvlJc w:val="left"/>
      <w:pPr>
        <w:ind w:left="1342" w:hanging="360"/>
      </w:pPr>
      <w:rPr>
        <w:rFonts w:ascii="Courier New" w:hAnsi="Courier New" w:cs="Courier New" w:hint="default"/>
      </w:rPr>
    </w:lvl>
    <w:lvl w:ilvl="2" w:tplc="04090005" w:tentative="1">
      <w:start w:val="1"/>
      <w:numFmt w:val="bullet"/>
      <w:lvlText w:val=""/>
      <w:lvlJc w:val="left"/>
      <w:pPr>
        <w:ind w:left="2062" w:hanging="360"/>
      </w:pPr>
      <w:rPr>
        <w:rFonts w:ascii="Wingdings" w:hAnsi="Wingdings" w:hint="default"/>
      </w:rPr>
    </w:lvl>
    <w:lvl w:ilvl="3" w:tplc="04090001" w:tentative="1">
      <w:start w:val="1"/>
      <w:numFmt w:val="bullet"/>
      <w:lvlText w:val=""/>
      <w:lvlJc w:val="left"/>
      <w:pPr>
        <w:ind w:left="2782" w:hanging="360"/>
      </w:pPr>
      <w:rPr>
        <w:rFonts w:ascii="Symbol" w:hAnsi="Symbol" w:hint="default"/>
      </w:rPr>
    </w:lvl>
    <w:lvl w:ilvl="4" w:tplc="04090003" w:tentative="1">
      <w:start w:val="1"/>
      <w:numFmt w:val="bullet"/>
      <w:lvlText w:val="o"/>
      <w:lvlJc w:val="left"/>
      <w:pPr>
        <w:ind w:left="3502" w:hanging="360"/>
      </w:pPr>
      <w:rPr>
        <w:rFonts w:ascii="Courier New" w:hAnsi="Courier New" w:cs="Courier New" w:hint="default"/>
      </w:rPr>
    </w:lvl>
    <w:lvl w:ilvl="5" w:tplc="04090005" w:tentative="1">
      <w:start w:val="1"/>
      <w:numFmt w:val="bullet"/>
      <w:lvlText w:val=""/>
      <w:lvlJc w:val="left"/>
      <w:pPr>
        <w:ind w:left="4222" w:hanging="360"/>
      </w:pPr>
      <w:rPr>
        <w:rFonts w:ascii="Wingdings" w:hAnsi="Wingdings" w:hint="default"/>
      </w:rPr>
    </w:lvl>
    <w:lvl w:ilvl="6" w:tplc="04090001" w:tentative="1">
      <w:start w:val="1"/>
      <w:numFmt w:val="bullet"/>
      <w:lvlText w:val=""/>
      <w:lvlJc w:val="left"/>
      <w:pPr>
        <w:ind w:left="4942" w:hanging="360"/>
      </w:pPr>
      <w:rPr>
        <w:rFonts w:ascii="Symbol" w:hAnsi="Symbol" w:hint="default"/>
      </w:rPr>
    </w:lvl>
    <w:lvl w:ilvl="7" w:tplc="04090003" w:tentative="1">
      <w:start w:val="1"/>
      <w:numFmt w:val="bullet"/>
      <w:lvlText w:val="o"/>
      <w:lvlJc w:val="left"/>
      <w:pPr>
        <w:ind w:left="5662" w:hanging="360"/>
      </w:pPr>
      <w:rPr>
        <w:rFonts w:ascii="Courier New" w:hAnsi="Courier New" w:cs="Courier New" w:hint="default"/>
      </w:rPr>
    </w:lvl>
    <w:lvl w:ilvl="8" w:tplc="04090005" w:tentative="1">
      <w:start w:val="1"/>
      <w:numFmt w:val="bullet"/>
      <w:lvlText w:val=""/>
      <w:lvlJc w:val="left"/>
      <w:pPr>
        <w:ind w:left="6382" w:hanging="360"/>
      </w:pPr>
      <w:rPr>
        <w:rFonts w:ascii="Wingdings" w:hAnsi="Wingdings" w:hint="default"/>
      </w:rPr>
    </w:lvl>
  </w:abstractNum>
  <w:abstractNum w:abstractNumId="11" w15:restartNumberingAfterBreak="0">
    <w:nsid w:val="2A111325"/>
    <w:multiLevelType w:val="hybridMultilevel"/>
    <w:tmpl w:val="690C5D3E"/>
    <w:lvl w:ilvl="0" w:tplc="040C0001">
      <w:start w:val="1"/>
      <w:numFmt w:val="bullet"/>
      <w:lvlText w:val=""/>
      <w:lvlJc w:val="left"/>
      <w:pPr>
        <w:ind w:left="720" w:hanging="360"/>
      </w:pPr>
      <w:rPr>
        <w:rFonts w:ascii="Symbol" w:hAnsi="Symbol" w:hint="default"/>
      </w:rPr>
    </w:lvl>
    <w:lvl w:ilvl="1" w:tplc="8BFE1D22">
      <w:start w:val="2"/>
      <w:numFmt w:val="bullet"/>
      <w:lvlText w:val="•"/>
      <w:lvlJc w:val="left"/>
      <w:pPr>
        <w:ind w:left="1440" w:hanging="360"/>
      </w:pPr>
      <w:rPr>
        <w:rFonts w:ascii="Calibri" w:eastAsia="Times New Roman" w:hAnsi="Calibri" w:cs="Calibri" w:hint="default"/>
      </w:rPr>
    </w:lvl>
    <w:lvl w:ilvl="2" w:tplc="040C000D">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0807E1"/>
    <w:multiLevelType w:val="hybridMultilevel"/>
    <w:tmpl w:val="B12A4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56F57"/>
    <w:multiLevelType w:val="hybridMultilevel"/>
    <w:tmpl w:val="58E82010"/>
    <w:lvl w:ilvl="0" w:tplc="9AF63C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C5C0E"/>
    <w:multiLevelType w:val="hybridMultilevel"/>
    <w:tmpl w:val="70BA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C122CE"/>
    <w:multiLevelType w:val="hybridMultilevel"/>
    <w:tmpl w:val="F9EC68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04167B"/>
    <w:multiLevelType w:val="hybridMultilevel"/>
    <w:tmpl w:val="6FB00E58"/>
    <w:lvl w:ilvl="0" w:tplc="7F2E780A">
      <w:start w:val="1"/>
      <w:numFmt w:val="bullet"/>
      <w:lvlText w:val=""/>
      <w:lvlJc w:val="left"/>
      <w:pPr>
        <w:tabs>
          <w:tab w:val="num" w:pos="360"/>
        </w:tabs>
        <w:ind w:left="360" w:hanging="360"/>
      </w:pPr>
      <w:rPr>
        <w:rFonts w:ascii="Wingdings" w:hAnsi="Wingdings" w:hint="default"/>
        <w:sz w:val="16"/>
      </w:rPr>
    </w:lvl>
    <w:lvl w:ilvl="1" w:tplc="8BD87E46">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B76FAD"/>
    <w:multiLevelType w:val="hybridMultilevel"/>
    <w:tmpl w:val="39549E2A"/>
    <w:lvl w:ilvl="0" w:tplc="15F824E8">
      <w:start w:val="3"/>
      <w:numFmt w:val="bullet"/>
      <w:lvlText w:val="-"/>
      <w:lvlJc w:val="left"/>
      <w:pPr>
        <w:ind w:left="1060" w:hanging="700"/>
      </w:pPr>
      <w:rPr>
        <w:rFonts w:ascii="Candara" w:eastAsiaTheme="minorEastAsia" w:hAnsi="Candara"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2792D06"/>
    <w:multiLevelType w:val="hybridMultilevel"/>
    <w:tmpl w:val="177EA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96D57"/>
    <w:multiLevelType w:val="hybridMultilevel"/>
    <w:tmpl w:val="ED903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E72AA"/>
    <w:multiLevelType w:val="hybridMultilevel"/>
    <w:tmpl w:val="D6A2BB9E"/>
    <w:lvl w:ilvl="0" w:tplc="2E0CFD74">
      <w:start w:val="4"/>
      <w:numFmt w:val="bullet"/>
      <w:lvlText w:val="-"/>
      <w:lvlJc w:val="left"/>
      <w:pPr>
        <w:ind w:left="720" w:hanging="360"/>
      </w:pPr>
      <w:rPr>
        <w:rFonts w:ascii="Arial Narrow" w:eastAsia="Times New Roman" w:hAnsi="Arial Narrow" w:cs="Times New Roman"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1" w15:restartNumberingAfterBreak="0">
    <w:nsid w:val="55C10DB3"/>
    <w:multiLevelType w:val="hybridMultilevel"/>
    <w:tmpl w:val="78C0C8D4"/>
    <w:lvl w:ilvl="0" w:tplc="1EE47C9E">
      <w:start w:val="300"/>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2" w15:restartNumberingAfterBreak="0">
    <w:nsid w:val="575A522C"/>
    <w:multiLevelType w:val="multilevel"/>
    <w:tmpl w:val="615C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A653D1"/>
    <w:multiLevelType w:val="hybridMultilevel"/>
    <w:tmpl w:val="948675B4"/>
    <w:lvl w:ilvl="0" w:tplc="2E0CFD74">
      <w:start w:val="4"/>
      <w:numFmt w:val="bullet"/>
      <w:lvlText w:val="-"/>
      <w:lvlJc w:val="left"/>
      <w:pPr>
        <w:ind w:left="720" w:hanging="360"/>
      </w:pPr>
      <w:rPr>
        <w:rFonts w:ascii="Arial Narrow" w:eastAsia="Times New Roman" w:hAnsi="Arial Narrow" w:cs="Times New Roman"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4" w15:restartNumberingAfterBreak="0">
    <w:nsid w:val="59A671D6"/>
    <w:multiLevelType w:val="hybridMultilevel"/>
    <w:tmpl w:val="3B98AB7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DB81937"/>
    <w:multiLevelType w:val="hybridMultilevel"/>
    <w:tmpl w:val="624A412E"/>
    <w:lvl w:ilvl="0" w:tplc="0409000F">
      <w:start w:val="1"/>
      <w:numFmt w:val="decimal"/>
      <w:lvlText w:val="%1."/>
      <w:lvlJc w:val="left"/>
      <w:pPr>
        <w:ind w:left="720" w:hanging="360"/>
      </w:pPr>
    </w:lvl>
    <w:lvl w:ilvl="1" w:tplc="D4B257B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AC38DE"/>
    <w:multiLevelType w:val="hybridMultilevel"/>
    <w:tmpl w:val="8ACE86C6"/>
    <w:lvl w:ilvl="0" w:tplc="0409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BD5650"/>
    <w:multiLevelType w:val="hybridMultilevel"/>
    <w:tmpl w:val="C9D236AC"/>
    <w:lvl w:ilvl="0" w:tplc="040C000F">
      <w:start w:val="1"/>
      <w:numFmt w:val="decimal"/>
      <w:lvlText w:val="%1."/>
      <w:lvlJc w:val="left"/>
      <w:pPr>
        <w:ind w:left="720" w:hanging="360"/>
      </w:pPr>
      <w:rPr>
        <w:rFonts w:hint="default"/>
      </w:rPr>
    </w:lvl>
    <w:lvl w:ilvl="1" w:tplc="E392F55E">
      <w:start w:val="1"/>
      <w:numFmt w:val="lowerLetter"/>
      <w:lvlText w:val="%2)"/>
      <w:lvlJc w:val="left"/>
      <w:pPr>
        <w:ind w:left="144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22F759B"/>
    <w:multiLevelType w:val="hybridMultilevel"/>
    <w:tmpl w:val="FCE22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FB1302"/>
    <w:multiLevelType w:val="hybridMultilevel"/>
    <w:tmpl w:val="686A2312"/>
    <w:lvl w:ilvl="0" w:tplc="240C000B">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0" w15:restartNumberingAfterBreak="0">
    <w:nsid w:val="68F25FFD"/>
    <w:multiLevelType w:val="hybridMultilevel"/>
    <w:tmpl w:val="79FA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CA4723"/>
    <w:multiLevelType w:val="hybridMultilevel"/>
    <w:tmpl w:val="74FA025A"/>
    <w:lvl w:ilvl="0" w:tplc="040C0001">
      <w:start w:val="1"/>
      <w:numFmt w:val="bullet"/>
      <w:lvlText w:val=""/>
      <w:lvlJc w:val="left"/>
      <w:pPr>
        <w:ind w:left="720" w:hanging="360"/>
      </w:pPr>
      <w:rPr>
        <w:rFonts w:ascii="Symbol" w:hAnsi="Symbol" w:hint="default"/>
      </w:rPr>
    </w:lvl>
    <w:lvl w:ilvl="1" w:tplc="8BFE1D22">
      <w:start w:val="2"/>
      <w:numFmt w:val="bullet"/>
      <w:lvlText w:val="•"/>
      <w:lvlJc w:val="left"/>
      <w:pPr>
        <w:ind w:left="1440" w:hanging="360"/>
      </w:pPr>
      <w:rPr>
        <w:rFonts w:ascii="Calibri" w:eastAsia="Times New Roman" w:hAnsi="Calibri" w:cs="Calibri" w:hint="default"/>
      </w:rPr>
    </w:lvl>
    <w:lvl w:ilvl="2" w:tplc="040C000D">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42403E"/>
    <w:multiLevelType w:val="hybridMultilevel"/>
    <w:tmpl w:val="A202D3AC"/>
    <w:lvl w:ilvl="0" w:tplc="2E0CFD74">
      <w:start w:val="4"/>
      <w:numFmt w:val="bullet"/>
      <w:lvlText w:val="-"/>
      <w:lvlJc w:val="left"/>
      <w:pPr>
        <w:ind w:left="720" w:hanging="360"/>
      </w:pPr>
      <w:rPr>
        <w:rFonts w:ascii="Arial Narrow" w:eastAsia="Times New Roman" w:hAnsi="Arial Narrow" w:cs="Times New Roman"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3" w15:restartNumberingAfterBreak="0">
    <w:nsid w:val="6A842317"/>
    <w:multiLevelType w:val="multilevel"/>
    <w:tmpl w:val="E92E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1A1557"/>
    <w:multiLevelType w:val="hybridMultilevel"/>
    <w:tmpl w:val="982C4C7E"/>
    <w:lvl w:ilvl="0" w:tplc="209EC7F4">
      <w:start w:val="1"/>
      <w:numFmt w:val="lowerLetter"/>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35" w15:restartNumberingAfterBreak="0">
    <w:nsid w:val="6D8E3858"/>
    <w:multiLevelType w:val="hybridMultilevel"/>
    <w:tmpl w:val="0ADE2AAA"/>
    <w:lvl w:ilvl="0" w:tplc="63B80738">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2E168F3"/>
    <w:multiLevelType w:val="hybridMultilevel"/>
    <w:tmpl w:val="E6AE39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BF03E7"/>
    <w:multiLevelType w:val="hybridMultilevel"/>
    <w:tmpl w:val="EDA6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2"/>
  </w:num>
  <w:num w:numId="4">
    <w:abstractNumId w:val="9"/>
  </w:num>
  <w:num w:numId="5">
    <w:abstractNumId w:val="20"/>
  </w:num>
  <w:num w:numId="6">
    <w:abstractNumId w:val="5"/>
  </w:num>
  <w:num w:numId="7">
    <w:abstractNumId w:val="37"/>
  </w:num>
  <w:num w:numId="8">
    <w:abstractNumId w:val="18"/>
  </w:num>
  <w:num w:numId="9">
    <w:abstractNumId w:val="25"/>
  </w:num>
  <w:num w:numId="10">
    <w:abstractNumId w:val="12"/>
  </w:num>
  <w:num w:numId="11">
    <w:abstractNumId w:val="19"/>
  </w:num>
  <w:num w:numId="12">
    <w:abstractNumId w:val="28"/>
  </w:num>
  <w:num w:numId="13">
    <w:abstractNumId w:val="26"/>
  </w:num>
  <w:num w:numId="14">
    <w:abstractNumId w:val="36"/>
  </w:num>
  <w:num w:numId="15">
    <w:abstractNumId w:val="8"/>
  </w:num>
  <w:num w:numId="16">
    <w:abstractNumId w:val="29"/>
  </w:num>
  <w:num w:numId="17">
    <w:abstractNumId w:val="15"/>
  </w:num>
  <w:num w:numId="18">
    <w:abstractNumId w:val="13"/>
  </w:num>
  <w:num w:numId="19">
    <w:abstractNumId w:val="10"/>
  </w:num>
  <w:num w:numId="20">
    <w:abstractNumId w:val="30"/>
  </w:num>
  <w:num w:numId="21">
    <w:abstractNumId w:val="4"/>
  </w:num>
  <w:num w:numId="22">
    <w:abstractNumId w:val="34"/>
  </w:num>
  <w:num w:numId="23">
    <w:abstractNumId w:val="14"/>
  </w:num>
  <w:num w:numId="24">
    <w:abstractNumId w:val="3"/>
  </w:num>
  <w:num w:numId="25">
    <w:abstractNumId w:val="17"/>
  </w:num>
  <w:num w:numId="26">
    <w:abstractNumId w:val="7"/>
  </w:num>
  <w:num w:numId="27">
    <w:abstractNumId w:val="35"/>
  </w:num>
  <w:num w:numId="28">
    <w:abstractNumId w:val="23"/>
  </w:num>
  <w:num w:numId="29">
    <w:abstractNumId w:val="6"/>
  </w:num>
  <w:num w:numId="30">
    <w:abstractNumId w:val="27"/>
  </w:num>
  <w:num w:numId="31">
    <w:abstractNumId w:val="31"/>
  </w:num>
  <w:num w:numId="32">
    <w:abstractNumId w:val="11"/>
  </w:num>
  <w:num w:numId="33">
    <w:abstractNumId w:val="1"/>
  </w:num>
  <w:num w:numId="34">
    <w:abstractNumId w:val="32"/>
  </w:num>
  <w:num w:numId="35">
    <w:abstractNumId w:val="0"/>
  </w:num>
  <w:num w:numId="36">
    <w:abstractNumId w:val="16"/>
  </w:num>
  <w:num w:numId="37">
    <w:abstractNumId w:val="33"/>
  </w:num>
  <w:num w:numId="38">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22"/>
    <w:rsid w:val="000008D6"/>
    <w:rsid w:val="00003CF1"/>
    <w:rsid w:val="00005A87"/>
    <w:rsid w:val="0001012F"/>
    <w:rsid w:val="000121F0"/>
    <w:rsid w:val="0001469E"/>
    <w:rsid w:val="00023420"/>
    <w:rsid w:val="0002396D"/>
    <w:rsid w:val="000247EB"/>
    <w:rsid w:val="000440EC"/>
    <w:rsid w:val="00057DA8"/>
    <w:rsid w:val="000608C0"/>
    <w:rsid w:val="00076BC5"/>
    <w:rsid w:val="0008283A"/>
    <w:rsid w:val="000853CD"/>
    <w:rsid w:val="00086485"/>
    <w:rsid w:val="00092DBB"/>
    <w:rsid w:val="000964DE"/>
    <w:rsid w:val="00096893"/>
    <w:rsid w:val="0009778F"/>
    <w:rsid w:val="00097CE8"/>
    <w:rsid w:val="000A6993"/>
    <w:rsid w:val="000B254C"/>
    <w:rsid w:val="000D2201"/>
    <w:rsid w:val="000D7BD3"/>
    <w:rsid w:val="000E1EB5"/>
    <w:rsid w:val="000E2C6B"/>
    <w:rsid w:val="000E45E5"/>
    <w:rsid w:val="000E6FDF"/>
    <w:rsid w:val="000F2D52"/>
    <w:rsid w:val="000F367B"/>
    <w:rsid w:val="00103276"/>
    <w:rsid w:val="00116518"/>
    <w:rsid w:val="00121461"/>
    <w:rsid w:val="00123982"/>
    <w:rsid w:val="001262DF"/>
    <w:rsid w:val="00134850"/>
    <w:rsid w:val="00134A66"/>
    <w:rsid w:val="001354D5"/>
    <w:rsid w:val="0014448D"/>
    <w:rsid w:val="001446F6"/>
    <w:rsid w:val="00144DE7"/>
    <w:rsid w:val="001473B3"/>
    <w:rsid w:val="00151CC7"/>
    <w:rsid w:val="00157D70"/>
    <w:rsid w:val="001608DE"/>
    <w:rsid w:val="00164555"/>
    <w:rsid w:val="00167362"/>
    <w:rsid w:val="00170654"/>
    <w:rsid w:val="00170915"/>
    <w:rsid w:val="00173BB8"/>
    <w:rsid w:val="00174B83"/>
    <w:rsid w:val="00180DF8"/>
    <w:rsid w:val="0018325D"/>
    <w:rsid w:val="00185026"/>
    <w:rsid w:val="001922DD"/>
    <w:rsid w:val="001922FE"/>
    <w:rsid w:val="001A0DCE"/>
    <w:rsid w:val="001A7B70"/>
    <w:rsid w:val="001C10E0"/>
    <w:rsid w:val="001C2F5F"/>
    <w:rsid w:val="001C7567"/>
    <w:rsid w:val="001D2541"/>
    <w:rsid w:val="001D4432"/>
    <w:rsid w:val="001D6CD5"/>
    <w:rsid w:val="001E0176"/>
    <w:rsid w:val="001E22BC"/>
    <w:rsid w:val="001E30BA"/>
    <w:rsid w:val="001E7C26"/>
    <w:rsid w:val="001F1680"/>
    <w:rsid w:val="00200AA0"/>
    <w:rsid w:val="00205DFD"/>
    <w:rsid w:val="00210248"/>
    <w:rsid w:val="0021101E"/>
    <w:rsid w:val="00213A46"/>
    <w:rsid w:val="00213D4A"/>
    <w:rsid w:val="00215236"/>
    <w:rsid w:val="00221B38"/>
    <w:rsid w:val="00221BAA"/>
    <w:rsid w:val="002223E0"/>
    <w:rsid w:val="00240981"/>
    <w:rsid w:val="002526AF"/>
    <w:rsid w:val="002574C3"/>
    <w:rsid w:val="00270AEA"/>
    <w:rsid w:val="002778D9"/>
    <w:rsid w:val="00277E8A"/>
    <w:rsid w:val="00287F49"/>
    <w:rsid w:val="00293DAE"/>
    <w:rsid w:val="002A0E25"/>
    <w:rsid w:val="002A1486"/>
    <w:rsid w:val="002A2E44"/>
    <w:rsid w:val="002A40BE"/>
    <w:rsid w:val="002A49F8"/>
    <w:rsid w:val="002A57CC"/>
    <w:rsid w:val="002A5E51"/>
    <w:rsid w:val="002A6182"/>
    <w:rsid w:val="002A64C5"/>
    <w:rsid w:val="002A7413"/>
    <w:rsid w:val="002B0A5E"/>
    <w:rsid w:val="002B197A"/>
    <w:rsid w:val="002B3E24"/>
    <w:rsid w:val="002B78F9"/>
    <w:rsid w:val="002C0148"/>
    <w:rsid w:val="002C2C8E"/>
    <w:rsid w:val="002C5E0C"/>
    <w:rsid w:val="002C745A"/>
    <w:rsid w:val="002D3487"/>
    <w:rsid w:val="002D4965"/>
    <w:rsid w:val="002D6025"/>
    <w:rsid w:val="002E057C"/>
    <w:rsid w:val="002E6AFF"/>
    <w:rsid w:val="002F799A"/>
    <w:rsid w:val="002F7B77"/>
    <w:rsid w:val="00301ADA"/>
    <w:rsid w:val="003021DD"/>
    <w:rsid w:val="00314F51"/>
    <w:rsid w:val="00316359"/>
    <w:rsid w:val="00322190"/>
    <w:rsid w:val="003230F4"/>
    <w:rsid w:val="003231AD"/>
    <w:rsid w:val="00325928"/>
    <w:rsid w:val="0033218C"/>
    <w:rsid w:val="003322B0"/>
    <w:rsid w:val="00332354"/>
    <w:rsid w:val="0033411B"/>
    <w:rsid w:val="003343CB"/>
    <w:rsid w:val="00336E59"/>
    <w:rsid w:val="00336EF8"/>
    <w:rsid w:val="00343717"/>
    <w:rsid w:val="00343852"/>
    <w:rsid w:val="00343A62"/>
    <w:rsid w:val="0034697D"/>
    <w:rsid w:val="003505F2"/>
    <w:rsid w:val="003525BC"/>
    <w:rsid w:val="00354655"/>
    <w:rsid w:val="00374D57"/>
    <w:rsid w:val="00374F58"/>
    <w:rsid w:val="003754C3"/>
    <w:rsid w:val="00376BDD"/>
    <w:rsid w:val="0037729A"/>
    <w:rsid w:val="00377996"/>
    <w:rsid w:val="0038031A"/>
    <w:rsid w:val="003812A9"/>
    <w:rsid w:val="003836C0"/>
    <w:rsid w:val="00393024"/>
    <w:rsid w:val="00394B99"/>
    <w:rsid w:val="003A195C"/>
    <w:rsid w:val="003A22D4"/>
    <w:rsid w:val="003A79B3"/>
    <w:rsid w:val="003A7D2F"/>
    <w:rsid w:val="003B0C3C"/>
    <w:rsid w:val="003B189C"/>
    <w:rsid w:val="003B1D08"/>
    <w:rsid w:val="003B29A4"/>
    <w:rsid w:val="003B49B0"/>
    <w:rsid w:val="003D35D1"/>
    <w:rsid w:val="003E5BA9"/>
    <w:rsid w:val="003F0258"/>
    <w:rsid w:val="003F640F"/>
    <w:rsid w:val="004068DF"/>
    <w:rsid w:val="004124E0"/>
    <w:rsid w:val="00414A4F"/>
    <w:rsid w:val="00431ED4"/>
    <w:rsid w:val="00432027"/>
    <w:rsid w:val="00440ECE"/>
    <w:rsid w:val="004421AF"/>
    <w:rsid w:val="00443E94"/>
    <w:rsid w:val="00445903"/>
    <w:rsid w:val="00453FF4"/>
    <w:rsid w:val="00464661"/>
    <w:rsid w:val="00473B49"/>
    <w:rsid w:val="004758AA"/>
    <w:rsid w:val="004762C8"/>
    <w:rsid w:val="0048306B"/>
    <w:rsid w:val="004830B9"/>
    <w:rsid w:val="00484D67"/>
    <w:rsid w:val="00497F1C"/>
    <w:rsid w:val="004A2B79"/>
    <w:rsid w:val="004A474D"/>
    <w:rsid w:val="004A59DB"/>
    <w:rsid w:val="004B0399"/>
    <w:rsid w:val="004B1614"/>
    <w:rsid w:val="004D3F24"/>
    <w:rsid w:val="004D4E60"/>
    <w:rsid w:val="004E1860"/>
    <w:rsid w:val="004E6556"/>
    <w:rsid w:val="004F4F1B"/>
    <w:rsid w:val="004F50EA"/>
    <w:rsid w:val="00503510"/>
    <w:rsid w:val="00504B1D"/>
    <w:rsid w:val="005063F9"/>
    <w:rsid w:val="005131C5"/>
    <w:rsid w:val="005141F6"/>
    <w:rsid w:val="005166E0"/>
    <w:rsid w:val="005220E7"/>
    <w:rsid w:val="005230EF"/>
    <w:rsid w:val="00526069"/>
    <w:rsid w:val="005342F9"/>
    <w:rsid w:val="00540BD0"/>
    <w:rsid w:val="00550CF0"/>
    <w:rsid w:val="00550F68"/>
    <w:rsid w:val="0055219C"/>
    <w:rsid w:val="00552801"/>
    <w:rsid w:val="005563BE"/>
    <w:rsid w:val="00557FCC"/>
    <w:rsid w:val="0056423A"/>
    <w:rsid w:val="00566D16"/>
    <w:rsid w:val="005843A0"/>
    <w:rsid w:val="00586970"/>
    <w:rsid w:val="005B00D9"/>
    <w:rsid w:val="005B038A"/>
    <w:rsid w:val="005B06EA"/>
    <w:rsid w:val="005C1B66"/>
    <w:rsid w:val="005C2FEA"/>
    <w:rsid w:val="005C5B19"/>
    <w:rsid w:val="005C61F1"/>
    <w:rsid w:val="005D2F5C"/>
    <w:rsid w:val="005E5645"/>
    <w:rsid w:val="005E7853"/>
    <w:rsid w:val="005F0A94"/>
    <w:rsid w:val="005F1B65"/>
    <w:rsid w:val="005F1C17"/>
    <w:rsid w:val="005F5DD8"/>
    <w:rsid w:val="005F64C1"/>
    <w:rsid w:val="00605B7A"/>
    <w:rsid w:val="006060A5"/>
    <w:rsid w:val="00615FB7"/>
    <w:rsid w:val="0061692B"/>
    <w:rsid w:val="00627043"/>
    <w:rsid w:val="0063063C"/>
    <w:rsid w:val="0063524A"/>
    <w:rsid w:val="00637859"/>
    <w:rsid w:val="00641C45"/>
    <w:rsid w:val="00642CC7"/>
    <w:rsid w:val="0064492C"/>
    <w:rsid w:val="00650FEE"/>
    <w:rsid w:val="00653D95"/>
    <w:rsid w:val="0065681E"/>
    <w:rsid w:val="0065710B"/>
    <w:rsid w:val="0066198E"/>
    <w:rsid w:val="00662312"/>
    <w:rsid w:val="00666EED"/>
    <w:rsid w:val="00671528"/>
    <w:rsid w:val="00676AD5"/>
    <w:rsid w:val="00676F6B"/>
    <w:rsid w:val="006822FB"/>
    <w:rsid w:val="00682EC3"/>
    <w:rsid w:val="0068404C"/>
    <w:rsid w:val="00684307"/>
    <w:rsid w:val="00687F7C"/>
    <w:rsid w:val="006A58C1"/>
    <w:rsid w:val="006B5946"/>
    <w:rsid w:val="006C491D"/>
    <w:rsid w:val="006C5D0B"/>
    <w:rsid w:val="006E0E23"/>
    <w:rsid w:val="006E1090"/>
    <w:rsid w:val="006E4092"/>
    <w:rsid w:val="006E4DAC"/>
    <w:rsid w:val="006F32E7"/>
    <w:rsid w:val="006F4513"/>
    <w:rsid w:val="0070241B"/>
    <w:rsid w:val="00702B00"/>
    <w:rsid w:val="007036F0"/>
    <w:rsid w:val="00711A47"/>
    <w:rsid w:val="00711F0F"/>
    <w:rsid w:val="00714D65"/>
    <w:rsid w:val="00717476"/>
    <w:rsid w:val="007222BB"/>
    <w:rsid w:val="00724CB4"/>
    <w:rsid w:val="007260D6"/>
    <w:rsid w:val="00726A53"/>
    <w:rsid w:val="00733BAA"/>
    <w:rsid w:val="007354EA"/>
    <w:rsid w:val="00741FDD"/>
    <w:rsid w:val="0074230B"/>
    <w:rsid w:val="00763D8C"/>
    <w:rsid w:val="00764FD8"/>
    <w:rsid w:val="007650C2"/>
    <w:rsid w:val="007654A8"/>
    <w:rsid w:val="00765B08"/>
    <w:rsid w:val="00767BC6"/>
    <w:rsid w:val="00776FB1"/>
    <w:rsid w:val="00782936"/>
    <w:rsid w:val="007A00F5"/>
    <w:rsid w:val="007B036A"/>
    <w:rsid w:val="007B467A"/>
    <w:rsid w:val="007B4C05"/>
    <w:rsid w:val="007B4EEB"/>
    <w:rsid w:val="007B6AE2"/>
    <w:rsid w:val="007C29F9"/>
    <w:rsid w:val="007C4235"/>
    <w:rsid w:val="007C5E7F"/>
    <w:rsid w:val="007C60BB"/>
    <w:rsid w:val="007C7C30"/>
    <w:rsid w:val="007D382E"/>
    <w:rsid w:val="007E26CE"/>
    <w:rsid w:val="007E3539"/>
    <w:rsid w:val="007E4F76"/>
    <w:rsid w:val="007E6298"/>
    <w:rsid w:val="00803E8D"/>
    <w:rsid w:val="00806135"/>
    <w:rsid w:val="00810FC3"/>
    <w:rsid w:val="00816B78"/>
    <w:rsid w:val="0081777B"/>
    <w:rsid w:val="008221DF"/>
    <w:rsid w:val="0082245E"/>
    <w:rsid w:val="008346A5"/>
    <w:rsid w:val="00834D1A"/>
    <w:rsid w:val="0083711D"/>
    <w:rsid w:val="00837F09"/>
    <w:rsid w:val="008429D1"/>
    <w:rsid w:val="00845D5B"/>
    <w:rsid w:val="00852471"/>
    <w:rsid w:val="008567E4"/>
    <w:rsid w:val="00856D05"/>
    <w:rsid w:val="008757BA"/>
    <w:rsid w:val="00875DF3"/>
    <w:rsid w:val="00876D2A"/>
    <w:rsid w:val="008800F4"/>
    <w:rsid w:val="00881645"/>
    <w:rsid w:val="00882780"/>
    <w:rsid w:val="00885D39"/>
    <w:rsid w:val="0088741C"/>
    <w:rsid w:val="008A0260"/>
    <w:rsid w:val="008A277A"/>
    <w:rsid w:val="008A4E69"/>
    <w:rsid w:val="008A6F73"/>
    <w:rsid w:val="008A74CB"/>
    <w:rsid w:val="008B33D2"/>
    <w:rsid w:val="008B4DB7"/>
    <w:rsid w:val="008B6321"/>
    <w:rsid w:val="008D024C"/>
    <w:rsid w:val="008E10A2"/>
    <w:rsid w:val="008E128B"/>
    <w:rsid w:val="008E21EC"/>
    <w:rsid w:val="008E2EA0"/>
    <w:rsid w:val="008E31C7"/>
    <w:rsid w:val="008E4FFB"/>
    <w:rsid w:val="008F0E6F"/>
    <w:rsid w:val="008F46FD"/>
    <w:rsid w:val="008F751B"/>
    <w:rsid w:val="009002C2"/>
    <w:rsid w:val="00906A13"/>
    <w:rsid w:val="00916940"/>
    <w:rsid w:val="00916E2F"/>
    <w:rsid w:val="009208E8"/>
    <w:rsid w:val="00922409"/>
    <w:rsid w:val="00922731"/>
    <w:rsid w:val="00935DF2"/>
    <w:rsid w:val="00944F40"/>
    <w:rsid w:val="0094614C"/>
    <w:rsid w:val="0094779C"/>
    <w:rsid w:val="00950C7B"/>
    <w:rsid w:val="00950F59"/>
    <w:rsid w:val="009546DB"/>
    <w:rsid w:val="0095565B"/>
    <w:rsid w:val="009630B9"/>
    <w:rsid w:val="009723CE"/>
    <w:rsid w:val="00976D3C"/>
    <w:rsid w:val="00976E13"/>
    <w:rsid w:val="00977742"/>
    <w:rsid w:val="009912B9"/>
    <w:rsid w:val="00991B76"/>
    <w:rsid w:val="00991F1B"/>
    <w:rsid w:val="00993D9D"/>
    <w:rsid w:val="00993E07"/>
    <w:rsid w:val="0099678D"/>
    <w:rsid w:val="009A611D"/>
    <w:rsid w:val="009B45BD"/>
    <w:rsid w:val="009B61EA"/>
    <w:rsid w:val="009B761F"/>
    <w:rsid w:val="009C3149"/>
    <w:rsid w:val="009C7263"/>
    <w:rsid w:val="009C7D23"/>
    <w:rsid w:val="009D4722"/>
    <w:rsid w:val="009E2B22"/>
    <w:rsid w:val="009E74E7"/>
    <w:rsid w:val="009F3333"/>
    <w:rsid w:val="00A030A0"/>
    <w:rsid w:val="00A04203"/>
    <w:rsid w:val="00A04F9B"/>
    <w:rsid w:val="00A0735A"/>
    <w:rsid w:val="00A24134"/>
    <w:rsid w:val="00A24A6D"/>
    <w:rsid w:val="00A33A9F"/>
    <w:rsid w:val="00A34242"/>
    <w:rsid w:val="00A35C84"/>
    <w:rsid w:val="00A4217E"/>
    <w:rsid w:val="00A538B9"/>
    <w:rsid w:val="00A56880"/>
    <w:rsid w:val="00A60E3F"/>
    <w:rsid w:val="00A62AAB"/>
    <w:rsid w:val="00A62FDC"/>
    <w:rsid w:val="00A6756E"/>
    <w:rsid w:val="00A7215E"/>
    <w:rsid w:val="00A766AD"/>
    <w:rsid w:val="00A83454"/>
    <w:rsid w:val="00A84AEE"/>
    <w:rsid w:val="00A85364"/>
    <w:rsid w:val="00A90D06"/>
    <w:rsid w:val="00A91D81"/>
    <w:rsid w:val="00A9207D"/>
    <w:rsid w:val="00A932C0"/>
    <w:rsid w:val="00A9494D"/>
    <w:rsid w:val="00A97E38"/>
    <w:rsid w:val="00AA449A"/>
    <w:rsid w:val="00AA4872"/>
    <w:rsid w:val="00AA5957"/>
    <w:rsid w:val="00AA5BAE"/>
    <w:rsid w:val="00AA7114"/>
    <w:rsid w:val="00AA76B6"/>
    <w:rsid w:val="00AB24DE"/>
    <w:rsid w:val="00AB3424"/>
    <w:rsid w:val="00AB6727"/>
    <w:rsid w:val="00AB7DDE"/>
    <w:rsid w:val="00AC6EA2"/>
    <w:rsid w:val="00AC6F4C"/>
    <w:rsid w:val="00AD129C"/>
    <w:rsid w:val="00AD5158"/>
    <w:rsid w:val="00AE0276"/>
    <w:rsid w:val="00AE66AE"/>
    <w:rsid w:val="00AF1B68"/>
    <w:rsid w:val="00AF28E5"/>
    <w:rsid w:val="00AF3C0C"/>
    <w:rsid w:val="00AF4A69"/>
    <w:rsid w:val="00AF6929"/>
    <w:rsid w:val="00B00EF2"/>
    <w:rsid w:val="00B060AE"/>
    <w:rsid w:val="00B138A9"/>
    <w:rsid w:val="00B21311"/>
    <w:rsid w:val="00B2445F"/>
    <w:rsid w:val="00B24D48"/>
    <w:rsid w:val="00B267C3"/>
    <w:rsid w:val="00B27830"/>
    <w:rsid w:val="00B3038B"/>
    <w:rsid w:val="00B31E98"/>
    <w:rsid w:val="00B33B7F"/>
    <w:rsid w:val="00B376C7"/>
    <w:rsid w:val="00B42CD1"/>
    <w:rsid w:val="00B42DD4"/>
    <w:rsid w:val="00B438A3"/>
    <w:rsid w:val="00B43A67"/>
    <w:rsid w:val="00B4412E"/>
    <w:rsid w:val="00B460B2"/>
    <w:rsid w:val="00B47624"/>
    <w:rsid w:val="00B47D9C"/>
    <w:rsid w:val="00B527DC"/>
    <w:rsid w:val="00B5352D"/>
    <w:rsid w:val="00B53585"/>
    <w:rsid w:val="00B60FD8"/>
    <w:rsid w:val="00B614F9"/>
    <w:rsid w:val="00B667C2"/>
    <w:rsid w:val="00B66CC9"/>
    <w:rsid w:val="00B703AD"/>
    <w:rsid w:val="00B7066E"/>
    <w:rsid w:val="00B72469"/>
    <w:rsid w:val="00B85129"/>
    <w:rsid w:val="00B871A7"/>
    <w:rsid w:val="00B879BD"/>
    <w:rsid w:val="00B94849"/>
    <w:rsid w:val="00BB4318"/>
    <w:rsid w:val="00BC107A"/>
    <w:rsid w:val="00BC623E"/>
    <w:rsid w:val="00BC64B8"/>
    <w:rsid w:val="00BD09E0"/>
    <w:rsid w:val="00BD46D7"/>
    <w:rsid w:val="00BD7CD8"/>
    <w:rsid w:val="00BE6FC2"/>
    <w:rsid w:val="00BF32D9"/>
    <w:rsid w:val="00BF3F19"/>
    <w:rsid w:val="00BF6263"/>
    <w:rsid w:val="00C03793"/>
    <w:rsid w:val="00C05F12"/>
    <w:rsid w:val="00C13782"/>
    <w:rsid w:val="00C15ABF"/>
    <w:rsid w:val="00C15FE4"/>
    <w:rsid w:val="00C22E07"/>
    <w:rsid w:val="00C2339D"/>
    <w:rsid w:val="00C3053C"/>
    <w:rsid w:val="00C40A32"/>
    <w:rsid w:val="00C528A1"/>
    <w:rsid w:val="00C54CFE"/>
    <w:rsid w:val="00C5504F"/>
    <w:rsid w:val="00C564EB"/>
    <w:rsid w:val="00C615FD"/>
    <w:rsid w:val="00C62F49"/>
    <w:rsid w:val="00C64099"/>
    <w:rsid w:val="00C641FE"/>
    <w:rsid w:val="00C65EA1"/>
    <w:rsid w:val="00C73042"/>
    <w:rsid w:val="00C74855"/>
    <w:rsid w:val="00C75B64"/>
    <w:rsid w:val="00C76D0D"/>
    <w:rsid w:val="00C82325"/>
    <w:rsid w:val="00C94C3F"/>
    <w:rsid w:val="00C95583"/>
    <w:rsid w:val="00C978E6"/>
    <w:rsid w:val="00CA2CE9"/>
    <w:rsid w:val="00CB0DEA"/>
    <w:rsid w:val="00CB68B7"/>
    <w:rsid w:val="00CC1E8E"/>
    <w:rsid w:val="00CD14E5"/>
    <w:rsid w:val="00CD41C8"/>
    <w:rsid w:val="00CE691E"/>
    <w:rsid w:val="00CF1020"/>
    <w:rsid w:val="00CF522C"/>
    <w:rsid w:val="00D0095F"/>
    <w:rsid w:val="00D02344"/>
    <w:rsid w:val="00D1513C"/>
    <w:rsid w:val="00D17475"/>
    <w:rsid w:val="00D20044"/>
    <w:rsid w:val="00D2659A"/>
    <w:rsid w:val="00D26DF2"/>
    <w:rsid w:val="00D4402B"/>
    <w:rsid w:val="00D50C2F"/>
    <w:rsid w:val="00D54A05"/>
    <w:rsid w:val="00D56C11"/>
    <w:rsid w:val="00D56C66"/>
    <w:rsid w:val="00D660DE"/>
    <w:rsid w:val="00D66429"/>
    <w:rsid w:val="00D72CA7"/>
    <w:rsid w:val="00D746A9"/>
    <w:rsid w:val="00D7566A"/>
    <w:rsid w:val="00D758FB"/>
    <w:rsid w:val="00D92FCE"/>
    <w:rsid w:val="00DA646F"/>
    <w:rsid w:val="00DA6EEB"/>
    <w:rsid w:val="00DB0EB6"/>
    <w:rsid w:val="00DB13D3"/>
    <w:rsid w:val="00DB4E3B"/>
    <w:rsid w:val="00DB77DD"/>
    <w:rsid w:val="00DB7F57"/>
    <w:rsid w:val="00DC2CB2"/>
    <w:rsid w:val="00DC74D2"/>
    <w:rsid w:val="00DD3BA3"/>
    <w:rsid w:val="00DE1432"/>
    <w:rsid w:val="00DE5DA4"/>
    <w:rsid w:val="00DF1DC4"/>
    <w:rsid w:val="00DF61A0"/>
    <w:rsid w:val="00E1301D"/>
    <w:rsid w:val="00E1553B"/>
    <w:rsid w:val="00E33760"/>
    <w:rsid w:val="00E3478B"/>
    <w:rsid w:val="00E35467"/>
    <w:rsid w:val="00E3588F"/>
    <w:rsid w:val="00E41813"/>
    <w:rsid w:val="00E430E5"/>
    <w:rsid w:val="00E43E7F"/>
    <w:rsid w:val="00E44214"/>
    <w:rsid w:val="00E533DA"/>
    <w:rsid w:val="00E53AB2"/>
    <w:rsid w:val="00E54A8B"/>
    <w:rsid w:val="00E56341"/>
    <w:rsid w:val="00E57459"/>
    <w:rsid w:val="00E6390C"/>
    <w:rsid w:val="00E6715E"/>
    <w:rsid w:val="00E67628"/>
    <w:rsid w:val="00E73D68"/>
    <w:rsid w:val="00E75675"/>
    <w:rsid w:val="00E76CD1"/>
    <w:rsid w:val="00E8310E"/>
    <w:rsid w:val="00E849D6"/>
    <w:rsid w:val="00E84CA5"/>
    <w:rsid w:val="00E90323"/>
    <w:rsid w:val="00E92F40"/>
    <w:rsid w:val="00E94857"/>
    <w:rsid w:val="00E94CCB"/>
    <w:rsid w:val="00EA2186"/>
    <w:rsid w:val="00EA50D0"/>
    <w:rsid w:val="00EA697D"/>
    <w:rsid w:val="00EB1B71"/>
    <w:rsid w:val="00EB217C"/>
    <w:rsid w:val="00EC2E68"/>
    <w:rsid w:val="00EC37F1"/>
    <w:rsid w:val="00ED319C"/>
    <w:rsid w:val="00ED649B"/>
    <w:rsid w:val="00ED7C12"/>
    <w:rsid w:val="00EE4B2E"/>
    <w:rsid w:val="00EF151F"/>
    <w:rsid w:val="00EF31F4"/>
    <w:rsid w:val="00F06319"/>
    <w:rsid w:val="00F113EE"/>
    <w:rsid w:val="00F22E57"/>
    <w:rsid w:val="00F2411C"/>
    <w:rsid w:val="00F24494"/>
    <w:rsid w:val="00F30D52"/>
    <w:rsid w:val="00F31E7E"/>
    <w:rsid w:val="00F32CF6"/>
    <w:rsid w:val="00F35A73"/>
    <w:rsid w:val="00F40EEB"/>
    <w:rsid w:val="00F4765B"/>
    <w:rsid w:val="00F54D7A"/>
    <w:rsid w:val="00F64848"/>
    <w:rsid w:val="00F65F9E"/>
    <w:rsid w:val="00F66064"/>
    <w:rsid w:val="00F662A3"/>
    <w:rsid w:val="00F75DB1"/>
    <w:rsid w:val="00F7753E"/>
    <w:rsid w:val="00F824B4"/>
    <w:rsid w:val="00F84875"/>
    <w:rsid w:val="00F9130D"/>
    <w:rsid w:val="00F918E6"/>
    <w:rsid w:val="00F92DEC"/>
    <w:rsid w:val="00F9340D"/>
    <w:rsid w:val="00FA6913"/>
    <w:rsid w:val="00FB00F8"/>
    <w:rsid w:val="00FB0472"/>
    <w:rsid w:val="00FB2748"/>
    <w:rsid w:val="00FC096F"/>
    <w:rsid w:val="00FC2EB1"/>
    <w:rsid w:val="00FC5CF1"/>
    <w:rsid w:val="00FC6116"/>
    <w:rsid w:val="00FD5024"/>
    <w:rsid w:val="00FD63F5"/>
    <w:rsid w:val="00FE0AD6"/>
    <w:rsid w:val="00FE7440"/>
    <w:rsid w:val="00FE7C9D"/>
    <w:rsid w:val="00FF06CC"/>
    <w:rsid w:val="00FF0CD6"/>
    <w:rsid w:val="00FF1660"/>
    <w:rsid w:val="00FF2D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496A"/>
  <w15:docId w15:val="{5E22DF45-8CB8-4489-A1D5-26923F39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07D"/>
  </w:style>
  <w:style w:type="paragraph" w:styleId="Titre1">
    <w:name w:val="heading 1"/>
    <w:basedOn w:val="Normal"/>
    <w:next w:val="Normal"/>
    <w:link w:val="Titre1Car"/>
    <w:uiPriority w:val="9"/>
    <w:qFormat/>
    <w:rsid w:val="00213A46"/>
    <w:pPr>
      <w:spacing w:before="200" w:after="0" w:line="240" w:lineRule="auto"/>
      <w:jc w:val="both"/>
      <w:outlineLvl w:val="0"/>
    </w:pPr>
    <w:rPr>
      <w:rFonts w:ascii="Calibri" w:eastAsia="Times New Roman" w:hAnsi="Calibri" w:cs="Times New Roman"/>
      <w:b/>
      <w:bCs/>
      <w:sz w:val="20"/>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2B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2B22"/>
    <w:rPr>
      <w:rFonts w:ascii="Tahoma" w:hAnsi="Tahoma" w:cs="Tahoma"/>
      <w:sz w:val="16"/>
      <w:szCs w:val="16"/>
    </w:rPr>
  </w:style>
  <w:style w:type="paragraph" w:styleId="En-tte">
    <w:name w:val="header"/>
    <w:basedOn w:val="Normal"/>
    <w:link w:val="En-tteCar"/>
    <w:uiPriority w:val="99"/>
    <w:unhideWhenUsed/>
    <w:rsid w:val="00A24134"/>
    <w:pPr>
      <w:tabs>
        <w:tab w:val="center" w:pos="4680"/>
        <w:tab w:val="right" w:pos="9360"/>
      </w:tabs>
      <w:spacing w:after="0" w:line="240" w:lineRule="auto"/>
    </w:pPr>
  </w:style>
  <w:style w:type="character" w:customStyle="1" w:styleId="En-tteCar">
    <w:name w:val="En-tête Car"/>
    <w:basedOn w:val="Policepardfaut"/>
    <w:link w:val="En-tte"/>
    <w:uiPriority w:val="99"/>
    <w:rsid w:val="00A24134"/>
  </w:style>
  <w:style w:type="paragraph" w:styleId="Pieddepage">
    <w:name w:val="footer"/>
    <w:basedOn w:val="Normal"/>
    <w:link w:val="PieddepageCar"/>
    <w:uiPriority w:val="99"/>
    <w:unhideWhenUsed/>
    <w:rsid w:val="00A2413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24134"/>
  </w:style>
  <w:style w:type="paragraph" w:styleId="Paragraphedeliste">
    <w:name w:val="List Paragraph"/>
    <w:aliases w:val="References,Listes,List Paragraph (bulleted list),Bullet 1 List,Indent Paragraph,Liste couleur - Accent 111,List Paragraph1,Dot pt,Bullet Points,List Paragraph Char Char Char,Indicator Text,Numbered Para 1,Bullet 1,MAIN CONTENT"/>
    <w:basedOn w:val="Normal"/>
    <w:link w:val="ParagraphedelisteCar"/>
    <w:uiPriority w:val="34"/>
    <w:qFormat/>
    <w:rsid w:val="00FF2D1B"/>
    <w:pPr>
      <w:ind w:left="720"/>
      <w:contextualSpacing/>
    </w:pPr>
  </w:style>
  <w:style w:type="table" w:styleId="Grilledutableau">
    <w:name w:val="Table Grid"/>
    <w:basedOn w:val="TableauNormal"/>
    <w:rsid w:val="004758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C64099"/>
    <w:rPr>
      <w:b/>
      <w:bCs/>
    </w:rPr>
  </w:style>
  <w:style w:type="character" w:styleId="Marquedecommentaire">
    <w:name w:val="annotation reference"/>
    <w:basedOn w:val="Policepardfaut"/>
    <w:uiPriority w:val="99"/>
    <w:semiHidden/>
    <w:unhideWhenUsed/>
    <w:rsid w:val="00F918E6"/>
    <w:rPr>
      <w:sz w:val="16"/>
      <w:szCs w:val="16"/>
    </w:rPr>
  </w:style>
  <w:style w:type="paragraph" w:styleId="Commentaire">
    <w:name w:val="annotation text"/>
    <w:basedOn w:val="Normal"/>
    <w:link w:val="CommentaireCar"/>
    <w:uiPriority w:val="99"/>
    <w:semiHidden/>
    <w:unhideWhenUsed/>
    <w:rsid w:val="00F918E6"/>
    <w:pPr>
      <w:spacing w:line="240" w:lineRule="auto"/>
    </w:pPr>
    <w:rPr>
      <w:sz w:val="20"/>
      <w:szCs w:val="20"/>
    </w:rPr>
  </w:style>
  <w:style w:type="character" w:customStyle="1" w:styleId="CommentaireCar">
    <w:name w:val="Commentaire Car"/>
    <w:basedOn w:val="Policepardfaut"/>
    <w:link w:val="Commentaire"/>
    <w:uiPriority w:val="99"/>
    <w:semiHidden/>
    <w:rsid w:val="00F918E6"/>
    <w:rPr>
      <w:sz w:val="20"/>
      <w:szCs w:val="20"/>
    </w:rPr>
  </w:style>
  <w:style w:type="paragraph" w:styleId="Objetducommentaire">
    <w:name w:val="annotation subject"/>
    <w:basedOn w:val="Commentaire"/>
    <w:next w:val="Commentaire"/>
    <w:link w:val="ObjetducommentaireCar"/>
    <w:uiPriority w:val="99"/>
    <w:semiHidden/>
    <w:unhideWhenUsed/>
    <w:rsid w:val="00F918E6"/>
    <w:rPr>
      <w:b/>
      <w:bCs/>
    </w:rPr>
  </w:style>
  <w:style w:type="character" w:customStyle="1" w:styleId="ObjetducommentaireCar">
    <w:name w:val="Objet du commentaire Car"/>
    <w:basedOn w:val="CommentaireCar"/>
    <w:link w:val="Objetducommentaire"/>
    <w:uiPriority w:val="99"/>
    <w:semiHidden/>
    <w:rsid w:val="00F918E6"/>
    <w:rPr>
      <w:b/>
      <w:bCs/>
      <w:sz w:val="20"/>
      <w:szCs w:val="20"/>
    </w:rPr>
  </w:style>
  <w:style w:type="character" w:styleId="Lienhypertexte">
    <w:name w:val="Hyperlink"/>
    <w:basedOn w:val="Policepardfaut"/>
    <w:uiPriority w:val="99"/>
    <w:unhideWhenUsed/>
    <w:rsid w:val="00086485"/>
    <w:rPr>
      <w:color w:val="0000FF" w:themeColor="hyperlink"/>
      <w:u w:val="single"/>
    </w:rPr>
  </w:style>
  <w:style w:type="character" w:customStyle="1" w:styleId="Mentionnonrsolue1">
    <w:name w:val="Mention non résolue1"/>
    <w:basedOn w:val="Policepardfaut"/>
    <w:uiPriority w:val="99"/>
    <w:semiHidden/>
    <w:unhideWhenUsed/>
    <w:rsid w:val="00FC5CF1"/>
    <w:rPr>
      <w:color w:val="808080"/>
      <w:shd w:val="clear" w:color="auto" w:fill="E6E6E6"/>
    </w:rPr>
  </w:style>
  <w:style w:type="character" w:customStyle="1" w:styleId="ParagraphedelisteCar">
    <w:name w:val="Paragraphe de liste Car"/>
    <w:aliases w:val="References Car,Listes Car,List Paragraph (bulleted list) Car,Bullet 1 List Car,Indent Paragraph Car,Liste couleur - Accent 111 Car,List Paragraph1 Car,Dot pt Car,Bullet Points Car,List Paragraph Char Char Char Car,Bullet 1 Car"/>
    <w:link w:val="Paragraphedeliste"/>
    <w:uiPriority w:val="34"/>
    <w:qFormat/>
    <w:rsid w:val="00D758FB"/>
  </w:style>
  <w:style w:type="paragraph" w:styleId="PrformatHTML">
    <w:name w:val="HTML Preformatted"/>
    <w:basedOn w:val="Normal"/>
    <w:link w:val="PrformatHTMLCar"/>
    <w:uiPriority w:val="99"/>
    <w:semiHidden/>
    <w:unhideWhenUsed/>
    <w:rsid w:val="00E73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E73D68"/>
    <w:rPr>
      <w:rFonts w:ascii="Courier New" w:eastAsia="Times New Roman" w:hAnsi="Courier New" w:cs="Courier New"/>
      <w:sz w:val="20"/>
      <w:szCs w:val="20"/>
      <w:lang w:val="fr-FR" w:eastAsia="fr-FR"/>
    </w:rPr>
  </w:style>
  <w:style w:type="paragraph" w:customStyle="1" w:styleId="BankNormal">
    <w:name w:val="BankNormal"/>
    <w:basedOn w:val="Normal"/>
    <w:rsid w:val="00CA2CE9"/>
    <w:pPr>
      <w:spacing w:after="240" w:line="240" w:lineRule="auto"/>
    </w:pPr>
    <w:rPr>
      <w:rFonts w:ascii="Times New Roman" w:eastAsia="Times New Roman" w:hAnsi="Times New Roman" w:cs="Times New Roman"/>
      <w:sz w:val="24"/>
      <w:szCs w:val="20"/>
    </w:rPr>
  </w:style>
  <w:style w:type="character" w:styleId="CitationHTML">
    <w:name w:val="HTML Cite"/>
    <w:basedOn w:val="Policepardfaut"/>
    <w:uiPriority w:val="99"/>
    <w:semiHidden/>
    <w:unhideWhenUsed/>
    <w:rsid w:val="00FC096F"/>
    <w:rPr>
      <w:i/>
      <w:iCs/>
    </w:rPr>
  </w:style>
  <w:style w:type="character" w:styleId="Lienhypertextesuivivisit">
    <w:name w:val="FollowedHyperlink"/>
    <w:basedOn w:val="Policepardfaut"/>
    <w:uiPriority w:val="99"/>
    <w:semiHidden/>
    <w:unhideWhenUsed/>
    <w:rsid w:val="00FC096F"/>
    <w:rPr>
      <w:color w:val="800080" w:themeColor="followedHyperlink"/>
      <w:u w:val="single"/>
    </w:rPr>
  </w:style>
  <w:style w:type="character" w:customStyle="1" w:styleId="Titre1Car">
    <w:name w:val="Titre 1 Car"/>
    <w:basedOn w:val="Policepardfaut"/>
    <w:link w:val="Titre1"/>
    <w:uiPriority w:val="9"/>
    <w:rsid w:val="00213A46"/>
    <w:rPr>
      <w:rFonts w:ascii="Calibri" w:eastAsia="Times New Roman" w:hAnsi="Calibri" w:cs="Times New Roman"/>
      <w:b/>
      <w:bCs/>
      <w:sz w:val="20"/>
      <w:szCs w:val="27"/>
      <w:lang w:eastAsia="fr-BE"/>
    </w:rPr>
  </w:style>
  <w:style w:type="paragraph" w:styleId="Retraitcorpsdetexte">
    <w:name w:val="Body Text Indent"/>
    <w:basedOn w:val="Normal"/>
    <w:link w:val="RetraitcorpsdetexteCar"/>
    <w:rsid w:val="00D56C11"/>
    <w:pPr>
      <w:spacing w:after="0" w:line="240" w:lineRule="auto"/>
      <w:ind w:left="1440"/>
    </w:pPr>
    <w:rPr>
      <w:rFonts w:ascii="Times New Roman" w:eastAsia="Times New Roman" w:hAnsi="Times New Roman" w:cs="Times New Roman"/>
      <w:sz w:val="24"/>
      <w:szCs w:val="24"/>
      <w:lang w:val="fr-FR" w:eastAsia="rw-RW"/>
    </w:rPr>
  </w:style>
  <w:style w:type="character" w:customStyle="1" w:styleId="RetraitcorpsdetexteCar">
    <w:name w:val="Retrait corps de texte Car"/>
    <w:basedOn w:val="Policepardfaut"/>
    <w:link w:val="Retraitcorpsdetexte"/>
    <w:rsid w:val="00D56C11"/>
    <w:rPr>
      <w:rFonts w:ascii="Times New Roman" w:eastAsia="Times New Roman" w:hAnsi="Times New Roman" w:cs="Times New Roman"/>
      <w:sz w:val="24"/>
      <w:szCs w:val="24"/>
      <w:lang w:val="fr-FR" w:eastAsia="rw-RW"/>
    </w:rPr>
  </w:style>
  <w:style w:type="paragraph" w:styleId="NormalWeb">
    <w:name w:val="Normal (Web)"/>
    <w:basedOn w:val="Normal"/>
    <w:uiPriority w:val="99"/>
    <w:unhideWhenUsed/>
    <w:rsid w:val="002C745A"/>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174B83"/>
    <w:pPr>
      <w:spacing w:after="0" w:line="240" w:lineRule="auto"/>
    </w:pPr>
    <w:rPr>
      <w:rFonts w:ascii="Calibri" w:eastAsia="Calibri" w:hAnsi="Calibri" w:cs="Times New Roman"/>
      <w:sz w:val="20"/>
      <w:szCs w:val="20"/>
      <w:lang w:val="en-PH"/>
    </w:rPr>
  </w:style>
  <w:style w:type="character" w:customStyle="1" w:styleId="NotedebasdepageCar">
    <w:name w:val="Note de bas de page Car"/>
    <w:basedOn w:val="Policepardfaut"/>
    <w:link w:val="Notedebasdepage"/>
    <w:uiPriority w:val="99"/>
    <w:semiHidden/>
    <w:rsid w:val="00174B83"/>
    <w:rPr>
      <w:rFonts w:ascii="Calibri" w:eastAsia="Calibri" w:hAnsi="Calibri" w:cs="Times New Roman"/>
      <w:sz w:val="20"/>
      <w:szCs w:val="20"/>
      <w:lang w:val="en-PH"/>
    </w:rPr>
  </w:style>
  <w:style w:type="character" w:styleId="Appelnotedebasdep">
    <w:name w:val="footnote reference"/>
    <w:uiPriority w:val="99"/>
    <w:semiHidden/>
    <w:unhideWhenUsed/>
    <w:rsid w:val="00174B83"/>
    <w:rPr>
      <w:vertAlign w:val="superscript"/>
    </w:rPr>
  </w:style>
  <w:style w:type="paragraph" w:customStyle="1" w:styleId="Default">
    <w:name w:val="Default"/>
    <w:rsid w:val="002A57CC"/>
    <w:pPr>
      <w:autoSpaceDE w:val="0"/>
      <w:autoSpaceDN w:val="0"/>
      <w:adjustRightInd w:val="0"/>
      <w:spacing w:after="0" w:line="240" w:lineRule="auto"/>
    </w:pPr>
    <w:rPr>
      <w:rFonts w:ascii="Nyala" w:hAnsi="Nyala" w:cs="Nyala"/>
      <w:color w:val="000000"/>
      <w:sz w:val="24"/>
      <w:szCs w:val="24"/>
      <w:lang w:val="fr-CD"/>
    </w:rPr>
  </w:style>
  <w:style w:type="character" w:styleId="Mentionnonrsolue">
    <w:name w:val="Unresolved Mention"/>
    <w:basedOn w:val="Policepardfaut"/>
    <w:uiPriority w:val="99"/>
    <w:semiHidden/>
    <w:unhideWhenUsed/>
    <w:rsid w:val="00C7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08047">
      <w:bodyDiv w:val="1"/>
      <w:marLeft w:val="0"/>
      <w:marRight w:val="0"/>
      <w:marTop w:val="0"/>
      <w:marBottom w:val="0"/>
      <w:divBdr>
        <w:top w:val="none" w:sz="0" w:space="0" w:color="auto"/>
        <w:left w:val="none" w:sz="0" w:space="0" w:color="auto"/>
        <w:bottom w:val="none" w:sz="0" w:space="0" w:color="auto"/>
        <w:right w:val="none" w:sz="0" w:space="0" w:color="auto"/>
      </w:divBdr>
    </w:div>
    <w:div w:id="617028009">
      <w:bodyDiv w:val="1"/>
      <w:marLeft w:val="0"/>
      <w:marRight w:val="0"/>
      <w:marTop w:val="0"/>
      <w:marBottom w:val="0"/>
      <w:divBdr>
        <w:top w:val="none" w:sz="0" w:space="0" w:color="auto"/>
        <w:left w:val="none" w:sz="0" w:space="0" w:color="auto"/>
        <w:bottom w:val="none" w:sz="0" w:space="0" w:color="auto"/>
        <w:right w:val="none" w:sz="0" w:space="0" w:color="auto"/>
      </w:divBdr>
    </w:div>
    <w:div w:id="695890077">
      <w:bodyDiv w:val="1"/>
      <w:marLeft w:val="0"/>
      <w:marRight w:val="0"/>
      <w:marTop w:val="0"/>
      <w:marBottom w:val="0"/>
      <w:divBdr>
        <w:top w:val="none" w:sz="0" w:space="0" w:color="auto"/>
        <w:left w:val="none" w:sz="0" w:space="0" w:color="auto"/>
        <w:bottom w:val="none" w:sz="0" w:space="0" w:color="auto"/>
        <w:right w:val="none" w:sz="0" w:space="0" w:color="auto"/>
      </w:divBdr>
    </w:div>
    <w:div w:id="826556854">
      <w:bodyDiv w:val="1"/>
      <w:marLeft w:val="0"/>
      <w:marRight w:val="0"/>
      <w:marTop w:val="0"/>
      <w:marBottom w:val="0"/>
      <w:divBdr>
        <w:top w:val="none" w:sz="0" w:space="0" w:color="auto"/>
        <w:left w:val="none" w:sz="0" w:space="0" w:color="auto"/>
        <w:bottom w:val="none" w:sz="0" w:space="0" w:color="auto"/>
        <w:right w:val="none" w:sz="0" w:space="0" w:color="auto"/>
      </w:divBdr>
      <w:divsChild>
        <w:div w:id="97213976">
          <w:marLeft w:val="0"/>
          <w:marRight w:val="0"/>
          <w:marTop w:val="0"/>
          <w:marBottom w:val="0"/>
          <w:divBdr>
            <w:top w:val="none" w:sz="0" w:space="0" w:color="auto"/>
            <w:left w:val="none" w:sz="0" w:space="0" w:color="auto"/>
            <w:bottom w:val="none" w:sz="0" w:space="0" w:color="auto"/>
            <w:right w:val="none" w:sz="0" w:space="0" w:color="auto"/>
          </w:divBdr>
        </w:div>
        <w:div w:id="284626246">
          <w:marLeft w:val="0"/>
          <w:marRight w:val="0"/>
          <w:marTop w:val="0"/>
          <w:marBottom w:val="0"/>
          <w:divBdr>
            <w:top w:val="none" w:sz="0" w:space="0" w:color="auto"/>
            <w:left w:val="none" w:sz="0" w:space="0" w:color="auto"/>
            <w:bottom w:val="none" w:sz="0" w:space="0" w:color="auto"/>
            <w:right w:val="none" w:sz="0" w:space="0" w:color="auto"/>
          </w:divBdr>
        </w:div>
        <w:div w:id="489709597">
          <w:marLeft w:val="0"/>
          <w:marRight w:val="0"/>
          <w:marTop w:val="0"/>
          <w:marBottom w:val="0"/>
          <w:divBdr>
            <w:top w:val="none" w:sz="0" w:space="0" w:color="auto"/>
            <w:left w:val="none" w:sz="0" w:space="0" w:color="auto"/>
            <w:bottom w:val="none" w:sz="0" w:space="0" w:color="auto"/>
            <w:right w:val="none" w:sz="0" w:space="0" w:color="auto"/>
          </w:divBdr>
        </w:div>
        <w:div w:id="514808388">
          <w:marLeft w:val="0"/>
          <w:marRight w:val="0"/>
          <w:marTop w:val="0"/>
          <w:marBottom w:val="0"/>
          <w:divBdr>
            <w:top w:val="none" w:sz="0" w:space="0" w:color="auto"/>
            <w:left w:val="none" w:sz="0" w:space="0" w:color="auto"/>
            <w:bottom w:val="none" w:sz="0" w:space="0" w:color="auto"/>
            <w:right w:val="none" w:sz="0" w:space="0" w:color="auto"/>
          </w:divBdr>
        </w:div>
        <w:div w:id="581185812">
          <w:marLeft w:val="0"/>
          <w:marRight w:val="0"/>
          <w:marTop w:val="0"/>
          <w:marBottom w:val="0"/>
          <w:divBdr>
            <w:top w:val="none" w:sz="0" w:space="0" w:color="auto"/>
            <w:left w:val="none" w:sz="0" w:space="0" w:color="auto"/>
            <w:bottom w:val="none" w:sz="0" w:space="0" w:color="auto"/>
            <w:right w:val="none" w:sz="0" w:space="0" w:color="auto"/>
          </w:divBdr>
        </w:div>
        <w:div w:id="630867649">
          <w:marLeft w:val="0"/>
          <w:marRight w:val="0"/>
          <w:marTop w:val="0"/>
          <w:marBottom w:val="0"/>
          <w:divBdr>
            <w:top w:val="none" w:sz="0" w:space="0" w:color="auto"/>
            <w:left w:val="none" w:sz="0" w:space="0" w:color="auto"/>
            <w:bottom w:val="none" w:sz="0" w:space="0" w:color="auto"/>
            <w:right w:val="none" w:sz="0" w:space="0" w:color="auto"/>
          </w:divBdr>
        </w:div>
        <w:div w:id="869294344">
          <w:marLeft w:val="0"/>
          <w:marRight w:val="0"/>
          <w:marTop w:val="0"/>
          <w:marBottom w:val="0"/>
          <w:divBdr>
            <w:top w:val="none" w:sz="0" w:space="0" w:color="auto"/>
            <w:left w:val="none" w:sz="0" w:space="0" w:color="auto"/>
            <w:bottom w:val="none" w:sz="0" w:space="0" w:color="auto"/>
            <w:right w:val="none" w:sz="0" w:space="0" w:color="auto"/>
          </w:divBdr>
        </w:div>
        <w:div w:id="1112893884">
          <w:marLeft w:val="0"/>
          <w:marRight w:val="0"/>
          <w:marTop w:val="0"/>
          <w:marBottom w:val="0"/>
          <w:divBdr>
            <w:top w:val="none" w:sz="0" w:space="0" w:color="auto"/>
            <w:left w:val="none" w:sz="0" w:space="0" w:color="auto"/>
            <w:bottom w:val="none" w:sz="0" w:space="0" w:color="auto"/>
            <w:right w:val="none" w:sz="0" w:space="0" w:color="auto"/>
          </w:divBdr>
        </w:div>
        <w:div w:id="1270428515">
          <w:marLeft w:val="0"/>
          <w:marRight w:val="0"/>
          <w:marTop w:val="0"/>
          <w:marBottom w:val="0"/>
          <w:divBdr>
            <w:top w:val="none" w:sz="0" w:space="0" w:color="auto"/>
            <w:left w:val="none" w:sz="0" w:space="0" w:color="auto"/>
            <w:bottom w:val="none" w:sz="0" w:space="0" w:color="auto"/>
            <w:right w:val="none" w:sz="0" w:space="0" w:color="auto"/>
          </w:divBdr>
        </w:div>
        <w:div w:id="1412461260">
          <w:marLeft w:val="0"/>
          <w:marRight w:val="0"/>
          <w:marTop w:val="0"/>
          <w:marBottom w:val="0"/>
          <w:divBdr>
            <w:top w:val="none" w:sz="0" w:space="0" w:color="auto"/>
            <w:left w:val="none" w:sz="0" w:space="0" w:color="auto"/>
            <w:bottom w:val="none" w:sz="0" w:space="0" w:color="auto"/>
            <w:right w:val="none" w:sz="0" w:space="0" w:color="auto"/>
          </w:divBdr>
        </w:div>
        <w:div w:id="1455292489">
          <w:marLeft w:val="0"/>
          <w:marRight w:val="0"/>
          <w:marTop w:val="0"/>
          <w:marBottom w:val="0"/>
          <w:divBdr>
            <w:top w:val="none" w:sz="0" w:space="0" w:color="auto"/>
            <w:left w:val="none" w:sz="0" w:space="0" w:color="auto"/>
            <w:bottom w:val="none" w:sz="0" w:space="0" w:color="auto"/>
            <w:right w:val="none" w:sz="0" w:space="0" w:color="auto"/>
          </w:divBdr>
        </w:div>
        <w:div w:id="1471442460">
          <w:marLeft w:val="0"/>
          <w:marRight w:val="0"/>
          <w:marTop w:val="0"/>
          <w:marBottom w:val="0"/>
          <w:divBdr>
            <w:top w:val="none" w:sz="0" w:space="0" w:color="auto"/>
            <w:left w:val="none" w:sz="0" w:space="0" w:color="auto"/>
            <w:bottom w:val="none" w:sz="0" w:space="0" w:color="auto"/>
            <w:right w:val="none" w:sz="0" w:space="0" w:color="auto"/>
          </w:divBdr>
        </w:div>
        <w:div w:id="1509757750">
          <w:marLeft w:val="0"/>
          <w:marRight w:val="0"/>
          <w:marTop w:val="0"/>
          <w:marBottom w:val="0"/>
          <w:divBdr>
            <w:top w:val="none" w:sz="0" w:space="0" w:color="auto"/>
            <w:left w:val="none" w:sz="0" w:space="0" w:color="auto"/>
            <w:bottom w:val="none" w:sz="0" w:space="0" w:color="auto"/>
            <w:right w:val="none" w:sz="0" w:space="0" w:color="auto"/>
          </w:divBdr>
        </w:div>
        <w:div w:id="1611083374">
          <w:marLeft w:val="0"/>
          <w:marRight w:val="0"/>
          <w:marTop w:val="0"/>
          <w:marBottom w:val="0"/>
          <w:divBdr>
            <w:top w:val="none" w:sz="0" w:space="0" w:color="auto"/>
            <w:left w:val="none" w:sz="0" w:space="0" w:color="auto"/>
            <w:bottom w:val="none" w:sz="0" w:space="0" w:color="auto"/>
            <w:right w:val="none" w:sz="0" w:space="0" w:color="auto"/>
          </w:divBdr>
        </w:div>
        <w:div w:id="1635790037">
          <w:marLeft w:val="0"/>
          <w:marRight w:val="0"/>
          <w:marTop w:val="0"/>
          <w:marBottom w:val="0"/>
          <w:divBdr>
            <w:top w:val="none" w:sz="0" w:space="0" w:color="auto"/>
            <w:left w:val="none" w:sz="0" w:space="0" w:color="auto"/>
            <w:bottom w:val="none" w:sz="0" w:space="0" w:color="auto"/>
            <w:right w:val="none" w:sz="0" w:space="0" w:color="auto"/>
          </w:divBdr>
        </w:div>
        <w:div w:id="1749186808">
          <w:marLeft w:val="0"/>
          <w:marRight w:val="0"/>
          <w:marTop w:val="0"/>
          <w:marBottom w:val="0"/>
          <w:divBdr>
            <w:top w:val="none" w:sz="0" w:space="0" w:color="auto"/>
            <w:left w:val="none" w:sz="0" w:space="0" w:color="auto"/>
            <w:bottom w:val="none" w:sz="0" w:space="0" w:color="auto"/>
            <w:right w:val="none" w:sz="0" w:space="0" w:color="auto"/>
          </w:divBdr>
        </w:div>
        <w:div w:id="1839038404">
          <w:marLeft w:val="0"/>
          <w:marRight w:val="0"/>
          <w:marTop w:val="0"/>
          <w:marBottom w:val="0"/>
          <w:divBdr>
            <w:top w:val="none" w:sz="0" w:space="0" w:color="auto"/>
            <w:left w:val="none" w:sz="0" w:space="0" w:color="auto"/>
            <w:bottom w:val="none" w:sz="0" w:space="0" w:color="auto"/>
            <w:right w:val="none" w:sz="0" w:space="0" w:color="auto"/>
          </w:divBdr>
        </w:div>
        <w:div w:id="1869679268">
          <w:marLeft w:val="0"/>
          <w:marRight w:val="0"/>
          <w:marTop w:val="0"/>
          <w:marBottom w:val="0"/>
          <w:divBdr>
            <w:top w:val="none" w:sz="0" w:space="0" w:color="auto"/>
            <w:left w:val="none" w:sz="0" w:space="0" w:color="auto"/>
            <w:bottom w:val="none" w:sz="0" w:space="0" w:color="auto"/>
            <w:right w:val="none" w:sz="0" w:space="0" w:color="auto"/>
          </w:divBdr>
        </w:div>
        <w:div w:id="1956138180">
          <w:marLeft w:val="0"/>
          <w:marRight w:val="0"/>
          <w:marTop w:val="0"/>
          <w:marBottom w:val="0"/>
          <w:divBdr>
            <w:top w:val="none" w:sz="0" w:space="0" w:color="auto"/>
            <w:left w:val="none" w:sz="0" w:space="0" w:color="auto"/>
            <w:bottom w:val="none" w:sz="0" w:space="0" w:color="auto"/>
            <w:right w:val="none" w:sz="0" w:space="0" w:color="auto"/>
          </w:divBdr>
        </w:div>
        <w:div w:id="2071684966">
          <w:marLeft w:val="0"/>
          <w:marRight w:val="0"/>
          <w:marTop w:val="0"/>
          <w:marBottom w:val="0"/>
          <w:divBdr>
            <w:top w:val="none" w:sz="0" w:space="0" w:color="auto"/>
            <w:left w:val="none" w:sz="0" w:space="0" w:color="auto"/>
            <w:bottom w:val="none" w:sz="0" w:space="0" w:color="auto"/>
            <w:right w:val="none" w:sz="0" w:space="0" w:color="auto"/>
          </w:divBdr>
        </w:div>
        <w:div w:id="2127767262">
          <w:marLeft w:val="0"/>
          <w:marRight w:val="0"/>
          <w:marTop w:val="0"/>
          <w:marBottom w:val="0"/>
          <w:divBdr>
            <w:top w:val="none" w:sz="0" w:space="0" w:color="auto"/>
            <w:left w:val="none" w:sz="0" w:space="0" w:color="auto"/>
            <w:bottom w:val="none" w:sz="0" w:space="0" w:color="auto"/>
            <w:right w:val="none" w:sz="0" w:space="0" w:color="auto"/>
          </w:divBdr>
        </w:div>
      </w:divsChild>
    </w:div>
    <w:div w:id="909534131">
      <w:bodyDiv w:val="1"/>
      <w:marLeft w:val="0"/>
      <w:marRight w:val="0"/>
      <w:marTop w:val="0"/>
      <w:marBottom w:val="0"/>
      <w:divBdr>
        <w:top w:val="none" w:sz="0" w:space="0" w:color="auto"/>
        <w:left w:val="none" w:sz="0" w:space="0" w:color="auto"/>
        <w:bottom w:val="none" w:sz="0" w:space="0" w:color="auto"/>
        <w:right w:val="none" w:sz="0" w:space="0" w:color="auto"/>
      </w:divBdr>
    </w:div>
    <w:div w:id="989595692">
      <w:bodyDiv w:val="1"/>
      <w:marLeft w:val="0"/>
      <w:marRight w:val="0"/>
      <w:marTop w:val="0"/>
      <w:marBottom w:val="0"/>
      <w:divBdr>
        <w:top w:val="none" w:sz="0" w:space="0" w:color="auto"/>
        <w:left w:val="none" w:sz="0" w:space="0" w:color="auto"/>
        <w:bottom w:val="none" w:sz="0" w:space="0" w:color="auto"/>
        <w:right w:val="none" w:sz="0" w:space="0" w:color="auto"/>
      </w:divBdr>
    </w:div>
    <w:div w:id="110588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umission.info@und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soumission.cd@undp.org"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32A53C686944FA4AE66FEA393C65D" ma:contentTypeVersion="13" ma:contentTypeDescription="Create a new document." ma:contentTypeScope="" ma:versionID="a449a1e203afaecf3d2aa3a233b52d84">
  <xsd:schema xmlns:xsd="http://www.w3.org/2001/XMLSchema" xmlns:xs="http://www.w3.org/2001/XMLSchema" xmlns:p="http://schemas.microsoft.com/office/2006/metadata/properties" xmlns:ns3="ae2b185d-a7a7-4a7e-8540-615fcb47c7dd" xmlns:ns4="3c8b5596-36d7-4b92-8132-184dbc4978b4" targetNamespace="http://schemas.microsoft.com/office/2006/metadata/properties" ma:root="true" ma:fieldsID="33f29cd56888c7c9d248043939c83578" ns3:_="" ns4:_="">
    <xsd:import namespace="ae2b185d-a7a7-4a7e-8540-615fcb47c7dd"/>
    <xsd:import namespace="3c8b5596-36d7-4b92-8132-184dbc4978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b185d-a7a7-4a7e-8540-615fcb47c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8b5596-36d7-4b92-8132-184dbc4978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3188A-3C9A-43F8-B8BD-570760179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b185d-a7a7-4a7e-8540-615fcb47c7dd"/>
    <ds:schemaRef ds:uri="3c8b5596-36d7-4b92-8132-184dbc497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FF995C-8971-4710-B30A-45A756201B82}">
  <ds:schemaRefs>
    <ds:schemaRef ds:uri="http://schemas.openxmlformats.org/officeDocument/2006/bibliography"/>
  </ds:schemaRefs>
</ds:datastoreItem>
</file>

<file path=customXml/itemProps3.xml><?xml version="1.0" encoding="utf-8"?>
<ds:datastoreItem xmlns:ds="http://schemas.openxmlformats.org/officeDocument/2006/customXml" ds:itemID="{6B640DA5-E4C7-410C-9B0F-0BECA3910A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7199FF-56B2-486B-9A80-0F8C08BB7E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3832</Words>
  <Characters>21077</Characters>
  <Application>Microsoft Office Word</Application>
  <DocSecurity>0</DocSecurity>
  <Lines>175</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Individual Consultant Procurement Notice</vt:lpstr>
      <vt:lpstr>Individual Consultant Procurement Notice</vt:lpstr>
    </vt:vector>
  </TitlesOfParts>
  <Company>UNDP</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Consultant Procurement Notice</dc:title>
  <dc:subject/>
  <dc:creator>Grace H. Botey</dc:creator>
  <cp:keywords/>
  <dc:description/>
  <cp:lastModifiedBy>Mek Nzuzi</cp:lastModifiedBy>
  <cp:revision>2</cp:revision>
  <cp:lastPrinted>2011-03-24T14:16:00Z</cp:lastPrinted>
  <dcterms:created xsi:type="dcterms:W3CDTF">2021-05-27T12:15:00Z</dcterms:created>
  <dcterms:modified xsi:type="dcterms:W3CDTF">2021-05-27T12:15:00Z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0x010100FF832A53C686944FA4AE66FEA393C65D</vt:lpwstr>
  </property>
  <property fmtid="{D5CDD505-2E9C-101B-9397-08002B2CF9AE}" pid="3" name="_dlc_DocIdItemGuid">
    <vt:lpwstr>74e1aabb-d21d-4391-abeb-a032a7565b67</vt:lpwstr>
  </property>
</Properties>
</file>