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62F2" w14:textId="2EB1D120" w:rsidR="00D56C11" w:rsidRPr="0072739E" w:rsidRDefault="00D56C11" w:rsidP="00D56C11">
      <w:pPr>
        <w:tabs>
          <w:tab w:val="left" w:pos="1410"/>
        </w:tabs>
        <w:spacing w:after="0" w:line="240" w:lineRule="auto"/>
        <w:jc w:val="center"/>
        <w:rPr>
          <w:rFonts w:cstheme="minorHAnsi"/>
          <w:b/>
          <w:sz w:val="28"/>
          <w:szCs w:val="28"/>
          <w:lang w:val="fr-FR"/>
        </w:rPr>
      </w:pPr>
      <w:r w:rsidRPr="0072739E">
        <w:rPr>
          <w:rFonts w:cstheme="minorHAnsi"/>
          <w:b/>
          <w:sz w:val="28"/>
          <w:szCs w:val="28"/>
          <w:lang w:val="fr-FR"/>
        </w:rPr>
        <w:t>NOTICE DE SELECTION</w:t>
      </w:r>
    </w:p>
    <w:p w14:paraId="76B08799" w14:textId="77777777" w:rsidR="00A1553F" w:rsidRPr="0072739E" w:rsidRDefault="00A1553F" w:rsidP="00D56C11">
      <w:pPr>
        <w:tabs>
          <w:tab w:val="left" w:pos="1410"/>
        </w:tabs>
        <w:spacing w:after="0" w:line="240" w:lineRule="auto"/>
        <w:jc w:val="center"/>
        <w:rPr>
          <w:rFonts w:cstheme="minorHAnsi"/>
          <w:b/>
          <w:sz w:val="28"/>
          <w:szCs w:val="28"/>
          <w:lang w:val="fr-FR"/>
        </w:rPr>
      </w:pPr>
    </w:p>
    <w:p w14:paraId="7EAA43D0" w14:textId="3D30B1B9" w:rsidR="00661750" w:rsidRPr="0072739E" w:rsidRDefault="00E13D44" w:rsidP="00661750">
      <w:pPr>
        <w:jc w:val="center"/>
        <w:rPr>
          <w:rFonts w:cstheme="minorHAnsi"/>
          <w:lang w:val="fr-FR"/>
        </w:rPr>
      </w:pPr>
      <w:bookmarkStart w:id="0" w:name="_Hlk70943514"/>
      <w:r w:rsidRPr="0072739E">
        <w:rPr>
          <w:rFonts w:eastAsia="Times New Roman" w:cs="Calibri"/>
          <w:sz w:val="24"/>
          <w:szCs w:val="24"/>
          <w:lang w:val="fr-FR"/>
        </w:rPr>
        <w:t xml:space="preserve">Recrutement d’un(e) </w:t>
      </w:r>
      <w:bookmarkStart w:id="1" w:name="_Hlk78307590"/>
      <w:r w:rsidRPr="0072739E">
        <w:rPr>
          <w:rFonts w:eastAsia="Times New Roman" w:cs="Calibri"/>
          <w:sz w:val="24"/>
          <w:szCs w:val="24"/>
          <w:lang w:val="fr-FR"/>
        </w:rPr>
        <w:t>consultant(e) national(e)</w:t>
      </w:r>
      <w:r w:rsidR="001C3229" w:rsidRPr="0072739E">
        <w:rPr>
          <w:rFonts w:eastAsia="Times New Roman" w:cs="Calibri"/>
          <w:sz w:val="24"/>
          <w:szCs w:val="24"/>
          <w:lang w:val="fr-FR"/>
        </w:rPr>
        <w:t xml:space="preserve"> </w:t>
      </w:r>
      <w:bookmarkStart w:id="2" w:name="_Hlk75928403"/>
      <w:r w:rsidR="00B07105" w:rsidRPr="0072739E">
        <w:rPr>
          <w:lang w:val="fr-FR"/>
        </w:rPr>
        <w:t xml:space="preserve">pour l’évaluation des capacités institutionnelles de l’Alliance Congolaise des Foyers Améliorés (ACFCA) </w:t>
      </w:r>
      <w:bookmarkEnd w:id="1"/>
    </w:p>
    <w:bookmarkEnd w:id="0"/>
    <w:bookmarkEnd w:id="2"/>
    <w:p w14:paraId="33EF3876" w14:textId="77777777" w:rsidR="00E13D44" w:rsidRPr="0072739E" w:rsidRDefault="00E13D44" w:rsidP="00E94CCB">
      <w:pPr>
        <w:spacing w:after="0" w:line="240" w:lineRule="auto"/>
        <w:jc w:val="center"/>
        <w:rPr>
          <w:rFonts w:eastAsia="MS Mincho" w:cstheme="minorHAnsi"/>
          <w:b/>
          <w:color w:val="000000"/>
          <w:lang w:val="fr-FR" w:eastAsia="fr-FR"/>
        </w:rPr>
      </w:pPr>
    </w:p>
    <w:p w14:paraId="6FCBAC2C" w14:textId="43EC789A" w:rsidR="00D56C11" w:rsidRPr="0072739E" w:rsidRDefault="00D56C11" w:rsidP="00E13D44">
      <w:pPr>
        <w:spacing w:after="0" w:line="240" w:lineRule="auto"/>
        <w:rPr>
          <w:rFonts w:eastAsia="Times New Roman" w:cstheme="minorHAnsi"/>
          <w:b/>
          <w:lang w:val="fr-FR" w:eastAsia="fr-FR"/>
        </w:rPr>
      </w:pPr>
      <w:r w:rsidRPr="0072739E">
        <w:rPr>
          <w:rFonts w:eastAsia="Times New Roman" w:cstheme="minorHAnsi"/>
          <w:b/>
          <w:lang w:val="fr-FR" w:eastAsia="rw-RW"/>
        </w:rPr>
        <w:t xml:space="preserve">Référence du dossier : </w:t>
      </w:r>
      <w:bookmarkStart w:id="3" w:name="_Hlk78308979"/>
      <w:r w:rsidR="003F640F" w:rsidRPr="0072739E">
        <w:rPr>
          <w:rFonts w:eastAsia="Times New Roman" w:cstheme="minorHAnsi"/>
          <w:b/>
          <w:lang w:val="fr-FR" w:eastAsia="rw-RW"/>
        </w:rPr>
        <w:t>0</w:t>
      </w:r>
      <w:r w:rsidR="001C3229" w:rsidRPr="0072739E">
        <w:rPr>
          <w:rFonts w:eastAsia="Times New Roman" w:cstheme="minorHAnsi"/>
          <w:b/>
          <w:lang w:val="fr-FR" w:eastAsia="rw-RW"/>
        </w:rPr>
        <w:t>2</w:t>
      </w:r>
      <w:r w:rsidR="00B07105" w:rsidRPr="0072739E">
        <w:rPr>
          <w:rFonts w:eastAsia="Times New Roman" w:cstheme="minorHAnsi"/>
          <w:b/>
          <w:lang w:val="fr-FR" w:eastAsia="rw-RW"/>
        </w:rPr>
        <w:t>8</w:t>
      </w:r>
      <w:r w:rsidR="003F640F" w:rsidRPr="0072739E">
        <w:rPr>
          <w:rFonts w:eastAsia="Times New Roman" w:cstheme="minorHAnsi"/>
          <w:b/>
          <w:lang w:val="fr-FR" w:eastAsia="rw-RW"/>
        </w:rPr>
        <w:t>/IC</w:t>
      </w:r>
      <w:r w:rsidR="00027DB2" w:rsidRPr="0072739E">
        <w:rPr>
          <w:rFonts w:eastAsia="Times New Roman" w:cstheme="minorHAnsi"/>
          <w:b/>
          <w:lang w:val="fr-FR" w:eastAsia="rw-RW"/>
        </w:rPr>
        <w:t>-</w:t>
      </w:r>
      <w:r w:rsidR="00450361">
        <w:rPr>
          <w:rFonts w:eastAsia="Times New Roman" w:cstheme="minorHAnsi"/>
          <w:b/>
          <w:lang w:val="fr-FR" w:eastAsia="rw-RW"/>
        </w:rPr>
        <w:t>Nat</w:t>
      </w:r>
      <w:r w:rsidR="003F640F" w:rsidRPr="0072739E">
        <w:rPr>
          <w:rFonts w:eastAsia="Times New Roman" w:cstheme="minorHAnsi"/>
          <w:b/>
          <w:lang w:val="fr-FR" w:eastAsia="rw-RW"/>
        </w:rPr>
        <w:t>/</w:t>
      </w:r>
      <w:r w:rsidR="00B07105" w:rsidRPr="0072739E">
        <w:rPr>
          <w:rFonts w:eastAsia="Times New Roman" w:cstheme="minorHAnsi"/>
          <w:b/>
          <w:lang w:val="fr-FR" w:eastAsia="rw-RW"/>
        </w:rPr>
        <w:t>FONARED</w:t>
      </w:r>
      <w:r w:rsidR="003F640F" w:rsidRPr="0072739E">
        <w:rPr>
          <w:rFonts w:eastAsia="Times New Roman" w:cstheme="minorHAnsi"/>
          <w:b/>
          <w:lang w:val="fr-FR" w:eastAsia="rw-RW"/>
        </w:rPr>
        <w:t>/20</w:t>
      </w:r>
      <w:r w:rsidR="00027DB2" w:rsidRPr="0072739E">
        <w:rPr>
          <w:rFonts w:eastAsia="Times New Roman" w:cstheme="minorHAnsi"/>
          <w:b/>
          <w:lang w:val="fr-FR" w:eastAsia="rw-RW"/>
        </w:rPr>
        <w:t>21</w:t>
      </w:r>
    </w:p>
    <w:bookmarkEnd w:id="3"/>
    <w:p w14:paraId="7399166F" w14:textId="77777777" w:rsidR="00167362" w:rsidRPr="0072739E" w:rsidRDefault="00167362" w:rsidP="00D56C11">
      <w:pPr>
        <w:spacing w:after="0" w:line="240" w:lineRule="auto"/>
        <w:jc w:val="center"/>
        <w:rPr>
          <w:rFonts w:eastAsia="Times New Roman" w:cstheme="minorHAnsi"/>
          <w:b/>
          <w:lang w:val="fr-FR" w:eastAsia="fr-FR"/>
        </w:rPr>
      </w:pPr>
    </w:p>
    <w:p w14:paraId="52FE834E" w14:textId="5157F877" w:rsidR="003F640F" w:rsidRPr="0072739E" w:rsidRDefault="00D56C11" w:rsidP="003F640F">
      <w:pPr>
        <w:spacing w:after="0" w:line="240" w:lineRule="auto"/>
        <w:jc w:val="right"/>
        <w:rPr>
          <w:rFonts w:eastAsia="Times New Roman" w:cstheme="minorHAnsi"/>
          <w:lang w:val="fr-FR" w:eastAsia="rw-RW"/>
        </w:rPr>
      </w:pPr>
      <w:r w:rsidRPr="0072739E">
        <w:rPr>
          <w:rFonts w:eastAsia="Times New Roman" w:cstheme="minorHAnsi"/>
          <w:lang w:val="fr-FR" w:eastAsia="rw-RW"/>
        </w:rPr>
        <w:t xml:space="preserve">Date : </w:t>
      </w:r>
      <w:r w:rsidR="00B07105" w:rsidRPr="0072739E">
        <w:rPr>
          <w:rFonts w:eastAsia="Times New Roman" w:cstheme="minorHAnsi"/>
          <w:lang w:val="fr-FR" w:eastAsia="rw-RW"/>
        </w:rPr>
        <w:t>05</w:t>
      </w:r>
      <w:r w:rsidRPr="0072739E">
        <w:rPr>
          <w:rFonts w:eastAsia="Times New Roman" w:cstheme="minorHAnsi"/>
          <w:lang w:val="fr-FR" w:eastAsia="rw-RW"/>
        </w:rPr>
        <w:t>/0</w:t>
      </w:r>
      <w:r w:rsidR="00B07105" w:rsidRPr="0072739E">
        <w:rPr>
          <w:rFonts w:eastAsia="Times New Roman" w:cstheme="minorHAnsi"/>
          <w:lang w:val="fr-FR" w:eastAsia="rw-RW"/>
        </w:rPr>
        <w:t>8</w:t>
      </w:r>
      <w:r w:rsidRPr="0072739E">
        <w:rPr>
          <w:rFonts w:eastAsia="Times New Roman" w:cstheme="minorHAnsi"/>
          <w:lang w:val="fr-FR" w:eastAsia="rw-RW"/>
        </w:rPr>
        <w:t>/20</w:t>
      </w:r>
      <w:r w:rsidR="00027DB2" w:rsidRPr="0072739E">
        <w:rPr>
          <w:rFonts w:eastAsia="Times New Roman" w:cstheme="minorHAnsi"/>
          <w:lang w:val="fr-FR" w:eastAsia="rw-RW"/>
        </w:rPr>
        <w:t>21</w:t>
      </w:r>
    </w:p>
    <w:bookmarkStart w:id="4" w:name="_GoBack"/>
    <w:p w14:paraId="09001F3B" w14:textId="77777777" w:rsidR="009E2B22" w:rsidRPr="0072739E" w:rsidRDefault="00DA6EEB" w:rsidP="009E2B22">
      <w:pPr>
        <w:tabs>
          <w:tab w:val="left" w:pos="1410"/>
        </w:tabs>
        <w:rPr>
          <w:rFonts w:cstheme="minorHAnsi"/>
          <w:b/>
          <w:lang w:val="fr-FR"/>
        </w:rPr>
      </w:pPr>
      <w:r w:rsidRPr="0072739E">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bookmarkEnd w:id="4"/>
    </w:p>
    <w:p w14:paraId="64BAD061" w14:textId="2F4DEBDA" w:rsidR="0065710B" w:rsidRPr="0072739E" w:rsidRDefault="009630B9" w:rsidP="0065710B">
      <w:pPr>
        <w:tabs>
          <w:tab w:val="left" w:pos="1410"/>
        </w:tabs>
        <w:rPr>
          <w:rFonts w:cstheme="minorHAnsi"/>
          <w:lang w:val="fr-FR"/>
        </w:rPr>
      </w:pPr>
      <w:r w:rsidRPr="0072739E">
        <w:rPr>
          <w:rFonts w:cstheme="minorHAnsi"/>
          <w:b/>
          <w:lang w:val="fr-FR"/>
        </w:rPr>
        <w:t>Pays :</w:t>
      </w:r>
      <w:r w:rsidR="00FC5CF1" w:rsidRPr="0072739E">
        <w:rPr>
          <w:rFonts w:cstheme="minorHAnsi"/>
          <w:b/>
          <w:lang w:val="fr-FR"/>
        </w:rPr>
        <w:t xml:space="preserve"> </w:t>
      </w:r>
      <w:r w:rsidR="00E75675" w:rsidRPr="0072739E">
        <w:rPr>
          <w:rFonts w:cstheme="minorHAnsi"/>
          <w:lang w:val="fr-FR"/>
        </w:rPr>
        <w:t>République Démocratique du Congo</w:t>
      </w:r>
      <w:r w:rsidR="00170915" w:rsidRPr="0072739E">
        <w:rPr>
          <w:rFonts w:cstheme="minorHAnsi"/>
          <w:lang w:val="fr-FR"/>
        </w:rPr>
        <w:t xml:space="preserve">, </w:t>
      </w:r>
      <w:r w:rsidR="00E2027E" w:rsidRPr="0072739E">
        <w:rPr>
          <w:rFonts w:cstheme="minorHAnsi"/>
          <w:lang w:val="fr-FR"/>
        </w:rPr>
        <w:t>Province</w:t>
      </w:r>
      <w:r w:rsidR="00687FB1" w:rsidRPr="0072739E">
        <w:rPr>
          <w:rFonts w:cstheme="minorHAnsi"/>
          <w:lang w:val="fr-FR"/>
        </w:rPr>
        <w:t xml:space="preserve"> de</w:t>
      </w:r>
      <w:r w:rsidR="00170915" w:rsidRPr="0072739E">
        <w:rPr>
          <w:rFonts w:cstheme="minorHAnsi"/>
          <w:lang w:val="fr-FR"/>
        </w:rPr>
        <w:t xml:space="preserve"> </w:t>
      </w:r>
      <w:r w:rsidR="00661750" w:rsidRPr="0072739E">
        <w:rPr>
          <w:rFonts w:cstheme="minorHAnsi"/>
          <w:lang w:val="fr-FR"/>
        </w:rPr>
        <w:t>Kinshasa</w:t>
      </w:r>
    </w:p>
    <w:p w14:paraId="6DD9110C" w14:textId="3A4D6D8A" w:rsidR="008800F4" w:rsidRPr="0072739E" w:rsidRDefault="009630B9" w:rsidP="007255FB">
      <w:pPr>
        <w:spacing w:after="0" w:line="240" w:lineRule="auto"/>
        <w:rPr>
          <w:rFonts w:eastAsia="Times New Roman" w:cs="Calibri"/>
          <w:lang w:val="fr-FR"/>
        </w:rPr>
      </w:pPr>
      <w:r w:rsidRPr="0072739E">
        <w:rPr>
          <w:rFonts w:cstheme="minorHAnsi"/>
          <w:b/>
          <w:lang w:val="fr-FR"/>
        </w:rPr>
        <w:t>Description de la mission</w:t>
      </w:r>
      <w:r w:rsidR="00164555" w:rsidRPr="0072739E">
        <w:rPr>
          <w:rFonts w:cstheme="minorHAnsi"/>
          <w:b/>
          <w:lang w:val="fr-FR"/>
        </w:rPr>
        <w:t> :</w:t>
      </w:r>
      <w:r w:rsidR="00B07105" w:rsidRPr="0072739E">
        <w:rPr>
          <w:bCs/>
          <w:lang w:val="fr-FR"/>
        </w:rPr>
        <w:t xml:space="preserve"> Recrutement d’un consultant national pour l’évaluation des capacités institutionnelles et organisationnelles de l’Alliance Congolaise des Foyers Améliorés (ACFA).</w:t>
      </w:r>
    </w:p>
    <w:p w14:paraId="3B6FE435" w14:textId="7836ACF7" w:rsidR="008800F4" w:rsidRPr="0072739E"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lang w:val="fr-FR" w:eastAsia="fr-FR"/>
        </w:rPr>
      </w:pPr>
    </w:p>
    <w:p w14:paraId="64967537" w14:textId="1CE040B9" w:rsidR="00154511" w:rsidRPr="0072739E" w:rsidRDefault="00154511"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eastAsia="fr-FR"/>
        </w:rPr>
      </w:pPr>
      <w:r w:rsidRPr="0072739E">
        <w:rPr>
          <w:rFonts w:eastAsia="Times New Roman" w:cstheme="minorHAnsi"/>
          <w:b/>
          <w:bCs/>
          <w:sz w:val="24"/>
          <w:szCs w:val="24"/>
          <w:lang w:val="fr-FR" w:eastAsia="fr-FR"/>
        </w:rPr>
        <w:t>Nombre de poste</w:t>
      </w:r>
      <w:r w:rsidRPr="0072739E">
        <w:rPr>
          <w:rFonts w:eastAsia="Times New Roman" w:cstheme="minorHAnsi"/>
          <w:sz w:val="24"/>
          <w:szCs w:val="24"/>
          <w:lang w:val="fr-FR" w:eastAsia="fr-FR"/>
        </w:rPr>
        <w:t> : 1 poste</w:t>
      </w:r>
    </w:p>
    <w:p w14:paraId="7566F947" w14:textId="77777777" w:rsidR="00154511" w:rsidRPr="0072739E" w:rsidRDefault="00154511" w:rsidP="00D56C11">
      <w:pPr>
        <w:tabs>
          <w:tab w:val="left" w:pos="1410"/>
        </w:tabs>
        <w:spacing w:after="0" w:line="240" w:lineRule="auto"/>
        <w:ind w:left="3600" w:hanging="3600"/>
        <w:jc w:val="both"/>
        <w:rPr>
          <w:rFonts w:cstheme="minorHAnsi"/>
          <w:b/>
          <w:lang w:val="fr-FR"/>
        </w:rPr>
      </w:pPr>
    </w:p>
    <w:p w14:paraId="4E929FFE" w14:textId="019C09F4" w:rsidR="00D56C11" w:rsidRPr="0072739E" w:rsidRDefault="00D56C11" w:rsidP="00D56C11">
      <w:pPr>
        <w:tabs>
          <w:tab w:val="left" w:pos="1410"/>
        </w:tabs>
        <w:spacing w:after="0" w:line="240" w:lineRule="auto"/>
        <w:ind w:left="3600" w:hanging="3600"/>
        <w:jc w:val="both"/>
        <w:rPr>
          <w:rFonts w:cstheme="minorHAnsi"/>
          <w:lang w:val="fr-FR"/>
        </w:rPr>
      </w:pPr>
      <w:r w:rsidRPr="0072739E">
        <w:rPr>
          <w:rFonts w:cstheme="minorHAnsi"/>
          <w:b/>
          <w:lang w:val="fr-FR"/>
        </w:rPr>
        <w:t>Niveau de poste et d’expérience :</w:t>
      </w:r>
      <w:r w:rsidRPr="0072739E">
        <w:rPr>
          <w:rFonts w:cstheme="minorHAnsi"/>
          <w:lang w:val="fr-FR"/>
        </w:rPr>
        <w:t xml:space="preserve"> Consultance, </w:t>
      </w:r>
      <w:r w:rsidR="00661750" w:rsidRPr="0072739E">
        <w:rPr>
          <w:rFonts w:cstheme="minorHAnsi"/>
          <w:lang w:val="fr-FR"/>
        </w:rPr>
        <w:t>n</w:t>
      </w:r>
      <w:r w:rsidRPr="0072739E">
        <w:rPr>
          <w:rFonts w:cstheme="minorHAnsi"/>
          <w:lang w:val="fr-FR"/>
        </w:rPr>
        <w:t>ational</w:t>
      </w:r>
    </w:p>
    <w:p w14:paraId="6A10ABD6" w14:textId="77777777" w:rsidR="00D56C11" w:rsidRPr="0072739E" w:rsidRDefault="00D56C11" w:rsidP="00D56C11">
      <w:pPr>
        <w:tabs>
          <w:tab w:val="left" w:pos="1410"/>
        </w:tabs>
        <w:spacing w:after="0" w:line="240" w:lineRule="auto"/>
        <w:ind w:left="3600" w:hanging="3600"/>
        <w:jc w:val="both"/>
        <w:rPr>
          <w:rFonts w:cstheme="minorHAnsi"/>
          <w:lang w:val="fr-FR"/>
        </w:rPr>
      </w:pPr>
    </w:p>
    <w:p w14:paraId="2B07F19E" w14:textId="27221C5E" w:rsidR="008C2108" w:rsidRPr="0072739E" w:rsidRDefault="009630B9" w:rsidP="008C2108">
      <w:pPr>
        <w:tabs>
          <w:tab w:val="left" w:pos="1410"/>
        </w:tabs>
        <w:spacing w:after="0" w:line="240" w:lineRule="auto"/>
        <w:ind w:left="3600" w:hanging="3600"/>
        <w:jc w:val="both"/>
        <w:rPr>
          <w:rFonts w:cstheme="minorHAnsi"/>
          <w:b/>
          <w:color w:val="000000" w:themeColor="text1"/>
          <w:lang w:val="fr-FR"/>
        </w:rPr>
      </w:pPr>
      <w:r w:rsidRPr="0072739E">
        <w:rPr>
          <w:rFonts w:cstheme="minorHAnsi"/>
          <w:b/>
          <w:lang w:val="fr-FR"/>
        </w:rPr>
        <w:t xml:space="preserve">Intitulé du projet </w:t>
      </w:r>
      <w:r w:rsidR="0065710B" w:rsidRPr="0072739E">
        <w:rPr>
          <w:rFonts w:cstheme="minorHAnsi"/>
          <w:b/>
          <w:lang w:val="fr-FR"/>
        </w:rPr>
        <w:t>:</w:t>
      </w:r>
      <w:r w:rsidR="00E67628" w:rsidRPr="0072739E">
        <w:rPr>
          <w:rFonts w:cstheme="minorHAnsi"/>
          <w:b/>
          <w:lang w:val="fr-FR"/>
        </w:rPr>
        <w:t xml:space="preserve"> </w:t>
      </w:r>
      <w:r w:rsidR="00B07105" w:rsidRPr="0072739E">
        <w:rPr>
          <w:rFonts w:cstheme="minorHAnsi"/>
          <w:b/>
          <w:lang w:val="fr-FR"/>
        </w:rPr>
        <w:t>FONARED/ENERGIE</w:t>
      </w:r>
      <w:r w:rsidR="00CD630E" w:rsidRPr="0072739E">
        <w:rPr>
          <w:rFonts w:cstheme="minorHAnsi"/>
          <w:b/>
          <w:lang w:val="fr-FR"/>
        </w:rPr>
        <w:t xml:space="preserve"> </w:t>
      </w:r>
    </w:p>
    <w:p w14:paraId="57BF4324" w14:textId="77777777" w:rsidR="008C2108" w:rsidRPr="0072739E" w:rsidRDefault="008C2108" w:rsidP="008C2108">
      <w:pPr>
        <w:tabs>
          <w:tab w:val="left" w:pos="1410"/>
        </w:tabs>
        <w:spacing w:after="0" w:line="240" w:lineRule="auto"/>
        <w:ind w:left="3600" w:hanging="3600"/>
        <w:jc w:val="both"/>
        <w:rPr>
          <w:rFonts w:cstheme="minorHAnsi"/>
          <w:b/>
          <w:color w:val="000000" w:themeColor="text1"/>
          <w:lang w:val="fr-FR"/>
        </w:rPr>
      </w:pPr>
    </w:p>
    <w:p w14:paraId="1555EFAB" w14:textId="4DEF13DB" w:rsidR="008C2108" w:rsidRPr="0072739E" w:rsidRDefault="008C2108" w:rsidP="008C2108">
      <w:pPr>
        <w:tabs>
          <w:tab w:val="left" w:pos="1410"/>
        </w:tabs>
        <w:spacing w:after="0" w:line="240" w:lineRule="auto"/>
        <w:ind w:left="3600" w:hanging="3600"/>
        <w:jc w:val="both"/>
        <w:rPr>
          <w:rFonts w:cstheme="minorHAnsi"/>
          <w:bCs/>
          <w:color w:val="000000" w:themeColor="text1"/>
          <w:lang w:val="fr-FR"/>
        </w:rPr>
      </w:pPr>
      <w:r w:rsidRPr="0072739E">
        <w:rPr>
          <w:rFonts w:cstheme="minorHAnsi"/>
          <w:b/>
          <w:color w:val="000000" w:themeColor="text1"/>
          <w:lang w:val="fr-FR"/>
        </w:rPr>
        <w:t xml:space="preserve">Lieu d’affectation : </w:t>
      </w:r>
      <w:r w:rsidR="00FE10F6" w:rsidRPr="0072739E">
        <w:rPr>
          <w:rFonts w:cstheme="minorHAnsi"/>
          <w:b/>
          <w:color w:val="000000" w:themeColor="text1"/>
          <w:lang w:val="fr-FR"/>
        </w:rPr>
        <w:t>Kinshasa</w:t>
      </w:r>
    </w:p>
    <w:p w14:paraId="40D479EF" w14:textId="77777777" w:rsidR="008C2108" w:rsidRPr="0072739E" w:rsidRDefault="008C2108" w:rsidP="00D56C11">
      <w:pPr>
        <w:tabs>
          <w:tab w:val="left" w:pos="1410"/>
        </w:tabs>
        <w:rPr>
          <w:rFonts w:cs="Calibri"/>
          <w:b/>
          <w:lang w:val="fr-FR"/>
        </w:rPr>
      </w:pPr>
    </w:p>
    <w:p w14:paraId="53B0D980" w14:textId="2E2C997D" w:rsidR="00D56C11" w:rsidRPr="0072739E" w:rsidRDefault="009630B9" w:rsidP="00D56C11">
      <w:pPr>
        <w:tabs>
          <w:tab w:val="left" w:pos="1410"/>
        </w:tabs>
        <w:rPr>
          <w:rFonts w:cstheme="minorHAnsi"/>
          <w:color w:val="000000" w:themeColor="text1"/>
          <w:lang w:val="fr-FR"/>
        </w:rPr>
      </w:pPr>
      <w:r w:rsidRPr="0072739E">
        <w:rPr>
          <w:rFonts w:cstheme="minorHAnsi"/>
          <w:b/>
          <w:color w:val="000000" w:themeColor="text1"/>
          <w:lang w:val="fr-FR"/>
        </w:rPr>
        <w:t xml:space="preserve">Durée de la </w:t>
      </w:r>
      <w:r w:rsidR="00164555" w:rsidRPr="0072739E">
        <w:rPr>
          <w:rFonts w:cstheme="minorHAnsi"/>
          <w:b/>
          <w:color w:val="000000" w:themeColor="text1"/>
          <w:lang w:val="fr-FR"/>
        </w:rPr>
        <w:t>mission :</w:t>
      </w:r>
      <w:r w:rsidR="00027DB2" w:rsidRPr="0072739E">
        <w:rPr>
          <w:rFonts w:cs="Calibri"/>
          <w:b/>
          <w:color w:val="000000" w:themeColor="text1"/>
          <w:lang w:val="fr-FR"/>
        </w:rPr>
        <w:t xml:space="preserve"> </w:t>
      </w:r>
      <w:r w:rsidR="00B07105" w:rsidRPr="00A37CCA">
        <w:rPr>
          <w:rFonts w:cs="Calibri"/>
          <w:highlight w:val="yellow"/>
          <w:lang w:val="fr-FR"/>
        </w:rPr>
        <w:t>1 Mois</w:t>
      </w:r>
    </w:p>
    <w:p w14:paraId="4294F1B8" w14:textId="4AEC5AEF" w:rsidR="00D56C11" w:rsidRPr="0072739E" w:rsidRDefault="00D56C11" w:rsidP="00D56C11">
      <w:pPr>
        <w:spacing w:after="0" w:line="240" w:lineRule="auto"/>
        <w:jc w:val="both"/>
        <w:rPr>
          <w:rFonts w:eastAsia="Times New Roman" w:cstheme="minorHAnsi"/>
          <w:b/>
          <w:lang w:val="fr-FR" w:eastAsia="rw-RW"/>
        </w:rPr>
      </w:pPr>
      <w:r w:rsidRPr="0072739E">
        <w:rPr>
          <w:rFonts w:eastAsia="Times New Roman" w:cstheme="minorHAnsi"/>
          <w:b/>
          <w:lang w:val="fr-FR" w:eastAsia="rw-RW"/>
        </w:rPr>
        <w:t>Prière envoyer vos propositions (proposition technique et</w:t>
      </w:r>
      <w:r w:rsidR="00337558" w:rsidRPr="0072739E">
        <w:rPr>
          <w:rFonts w:eastAsia="Times New Roman" w:cstheme="minorHAnsi"/>
          <w:b/>
          <w:lang w:val="fr-FR" w:eastAsia="rw-RW"/>
        </w:rPr>
        <w:t xml:space="preserve"> Lettre d´Offre avec une proposition</w:t>
      </w:r>
      <w:r w:rsidRPr="0072739E">
        <w:rPr>
          <w:rFonts w:eastAsia="Times New Roman" w:cstheme="minorHAnsi"/>
          <w:b/>
          <w:lang w:val="fr-FR" w:eastAsia="rw-RW"/>
        </w:rPr>
        <w:t xml:space="preserve"> financière) dûment signées à l’adresse e-mail </w:t>
      </w:r>
      <w:r w:rsidR="003F640F" w:rsidRPr="0072739E">
        <w:rPr>
          <w:rStyle w:val="Lienhypertexte"/>
          <w:rFonts w:eastAsia="Times New Roman" w:cstheme="minorHAnsi"/>
          <w:b/>
          <w:lang w:val="fr-FR" w:eastAsia="rw-RW"/>
        </w:rPr>
        <w:t>ic.soumission.cd@undp.org</w:t>
      </w:r>
      <w:r w:rsidRPr="0072739E">
        <w:rPr>
          <w:rFonts w:eastAsia="Times New Roman" w:cstheme="minorHAnsi"/>
          <w:b/>
          <w:lang w:val="fr-FR" w:eastAsia="rw-RW"/>
        </w:rPr>
        <w:t xml:space="preserve"> avec mention de la référence et intitulé du dossier. </w:t>
      </w:r>
      <w:r w:rsidR="00895812" w:rsidRPr="0072739E">
        <w:rPr>
          <w:rFonts w:eastAsia="Times New Roman" w:cs="Calibri"/>
          <w:b/>
          <w:bCs/>
          <w:highlight w:val="yellow"/>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72739E" w:rsidRDefault="00D56C11" w:rsidP="00D56C11">
      <w:pPr>
        <w:spacing w:after="0" w:line="240" w:lineRule="auto"/>
        <w:jc w:val="both"/>
        <w:rPr>
          <w:rFonts w:cstheme="minorHAnsi"/>
          <w:b/>
          <w:lang w:val="fr-FR"/>
        </w:rPr>
      </w:pPr>
    </w:p>
    <w:p w14:paraId="3E7A844B" w14:textId="77777777" w:rsidR="003A19D7" w:rsidRPr="0072739E" w:rsidRDefault="003A19D7" w:rsidP="003A19D7">
      <w:pPr>
        <w:spacing w:after="0" w:line="240" w:lineRule="auto"/>
        <w:jc w:val="both"/>
        <w:rPr>
          <w:rFonts w:cstheme="minorHAnsi"/>
          <w:b/>
          <w:lang w:val="fr-FR"/>
        </w:rPr>
      </w:pPr>
      <w:r w:rsidRPr="0072739E">
        <w:rPr>
          <w:rFonts w:cstheme="minorHAnsi"/>
          <w:b/>
          <w:lang w:val="fr-FR"/>
        </w:rPr>
        <w:t>Votre soumission doit être rédigée en Français et assortie d’une durée de validité minimum de 120 (cent-vingt) jours.</w:t>
      </w:r>
    </w:p>
    <w:p w14:paraId="5A0AB07C" w14:textId="77777777" w:rsidR="003A19D7" w:rsidRPr="0072739E" w:rsidRDefault="003A19D7" w:rsidP="002E6AFF">
      <w:pPr>
        <w:spacing w:after="0" w:line="240" w:lineRule="auto"/>
        <w:jc w:val="both"/>
        <w:rPr>
          <w:rFonts w:cstheme="minorHAnsi"/>
          <w:b/>
          <w:lang w:val="fr-FR"/>
        </w:rPr>
      </w:pPr>
    </w:p>
    <w:p w14:paraId="73CBBD73" w14:textId="085535E1" w:rsidR="002E6AFF" w:rsidRPr="0072739E" w:rsidRDefault="00D56C11" w:rsidP="002E6AFF">
      <w:pPr>
        <w:spacing w:after="0" w:line="240" w:lineRule="auto"/>
        <w:jc w:val="both"/>
        <w:rPr>
          <w:rFonts w:cstheme="minorHAnsi"/>
          <w:b/>
          <w:lang w:val="fr-FR"/>
        </w:rPr>
      </w:pPr>
      <w:r w:rsidRPr="0072739E">
        <w:rPr>
          <w:rFonts w:cstheme="minorHAnsi"/>
          <w:b/>
          <w:lang w:val="fr-FR"/>
        </w:rPr>
        <w:t xml:space="preserve">Votre proposition devra être reçue au plus tard </w:t>
      </w:r>
      <w:r w:rsidRPr="0072739E">
        <w:rPr>
          <w:rFonts w:cstheme="minorHAnsi"/>
          <w:b/>
          <w:highlight w:val="yellow"/>
          <w:u w:val="single"/>
          <w:lang w:val="fr-FR"/>
        </w:rPr>
        <w:t>le</w:t>
      </w:r>
      <w:r w:rsidR="00EB217C" w:rsidRPr="0072739E">
        <w:rPr>
          <w:rFonts w:cstheme="minorHAnsi"/>
          <w:b/>
          <w:highlight w:val="yellow"/>
          <w:u w:val="single"/>
          <w:lang w:val="fr-FR"/>
        </w:rPr>
        <w:t xml:space="preserve"> </w:t>
      </w:r>
      <w:r w:rsidR="00B07105" w:rsidRPr="0072739E">
        <w:rPr>
          <w:rFonts w:cstheme="minorHAnsi"/>
          <w:b/>
          <w:highlight w:val="yellow"/>
          <w:u w:val="single"/>
          <w:lang w:val="fr-FR"/>
        </w:rPr>
        <w:t>vendredi 20</w:t>
      </w:r>
      <w:r w:rsidR="00663F69" w:rsidRPr="0072739E">
        <w:rPr>
          <w:rFonts w:cstheme="minorHAnsi"/>
          <w:b/>
          <w:highlight w:val="yellow"/>
          <w:u w:val="single"/>
          <w:lang w:val="fr-FR"/>
        </w:rPr>
        <w:t xml:space="preserve"> aout </w:t>
      </w:r>
      <w:r w:rsidR="00027DB2" w:rsidRPr="0072739E">
        <w:rPr>
          <w:rFonts w:cstheme="minorHAnsi"/>
          <w:b/>
          <w:highlight w:val="yellow"/>
          <w:u w:val="single"/>
          <w:lang w:val="fr-FR"/>
        </w:rPr>
        <w:t>2021</w:t>
      </w:r>
      <w:r w:rsidRPr="0072739E">
        <w:rPr>
          <w:rFonts w:cstheme="minorHAnsi"/>
          <w:b/>
          <w:highlight w:val="yellow"/>
          <w:u w:val="single"/>
          <w:lang w:val="fr-FR"/>
        </w:rPr>
        <w:t xml:space="preserve"> à 1</w:t>
      </w:r>
      <w:r w:rsidR="00027DB2" w:rsidRPr="0072739E">
        <w:rPr>
          <w:rFonts w:cstheme="minorHAnsi"/>
          <w:b/>
          <w:highlight w:val="yellow"/>
          <w:u w:val="single"/>
          <w:lang w:val="fr-FR"/>
        </w:rPr>
        <w:t>6</w:t>
      </w:r>
      <w:r w:rsidRPr="0072739E">
        <w:rPr>
          <w:rFonts w:cstheme="minorHAnsi"/>
          <w:b/>
          <w:highlight w:val="yellow"/>
          <w:u w:val="single"/>
          <w:lang w:val="fr-FR"/>
        </w:rPr>
        <w:t xml:space="preserve"> heure</w:t>
      </w:r>
      <w:r w:rsidR="00526069" w:rsidRPr="0072739E">
        <w:rPr>
          <w:rFonts w:cstheme="minorHAnsi"/>
          <w:b/>
          <w:highlight w:val="yellow"/>
          <w:u w:val="single"/>
          <w:lang w:val="fr-FR"/>
        </w:rPr>
        <w:t>s</w:t>
      </w:r>
      <w:r w:rsidRPr="0072739E">
        <w:rPr>
          <w:rFonts w:cstheme="minorHAnsi"/>
          <w:b/>
          <w:lang w:val="fr-FR"/>
        </w:rPr>
        <w:t xml:space="preserve"> </w:t>
      </w:r>
      <w:r w:rsidRPr="008E3537">
        <w:rPr>
          <w:rFonts w:cstheme="minorHAnsi"/>
          <w:b/>
          <w:color w:val="000000" w:themeColor="text1"/>
          <w:lang w:val="fr-FR"/>
        </w:rPr>
        <w:t xml:space="preserve">de </w:t>
      </w:r>
      <w:r w:rsidR="008E3537" w:rsidRPr="008E3537">
        <w:rPr>
          <w:rFonts w:cstheme="minorHAnsi"/>
          <w:b/>
          <w:color w:val="000000" w:themeColor="text1"/>
          <w:lang w:val="fr-FR"/>
        </w:rPr>
        <w:t>Kinshasa</w:t>
      </w:r>
      <w:r w:rsidR="00722D7A" w:rsidRPr="008E3537">
        <w:rPr>
          <w:rFonts w:cstheme="minorHAnsi"/>
          <w:b/>
          <w:color w:val="000000" w:themeColor="text1"/>
          <w:lang w:val="fr-FR"/>
        </w:rPr>
        <w:t xml:space="preserve">. </w:t>
      </w:r>
      <w:r w:rsidR="002E6AFF" w:rsidRPr="0072739E">
        <w:rPr>
          <w:rStyle w:val="lev"/>
          <w:rFonts w:cstheme="minorHAnsi"/>
          <w:lang w:val="fr-FR"/>
        </w:rPr>
        <w:t>Toute offre soumise après ce délai sera automatiquement rejetée.</w:t>
      </w:r>
    </w:p>
    <w:p w14:paraId="6A2FD817" w14:textId="77777777" w:rsidR="00D56C11" w:rsidRPr="0072739E" w:rsidRDefault="00D56C11" w:rsidP="00D56C11">
      <w:pPr>
        <w:spacing w:after="0" w:line="240" w:lineRule="auto"/>
        <w:jc w:val="both"/>
        <w:rPr>
          <w:rFonts w:cstheme="minorHAnsi"/>
          <w:lang w:val="fr-FR"/>
        </w:rPr>
      </w:pPr>
    </w:p>
    <w:p w14:paraId="4881D92D" w14:textId="77777777" w:rsidR="00D56C11" w:rsidRPr="0072739E" w:rsidRDefault="00D56C11" w:rsidP="00D56C11">
      <w:pPr>
        <w:pStyle w:val="Retraitcorpsdetexte"/>
        <w:ind w:left="0"/>
        <w:jc w:val="both"/>
        <w:rPr>
          <w:rFonts w:asciiTheme="minorHAnsi" w:hAnsiTheme="minorHAnsi" w:cstheme="minorHAnsi"/>
          <w:sz w:val="22"/>
          <w:szCs w:val="22"/>
        </w:rPr>
      </w:pPr>
      <w:r w:rsidRPr="0072739E">
        <w:rPr>
          <w:rFonts w:asciiTheme="minorHAnsi" w:hAnsiTheme="minorHAnsi" w:cstheme="minorHAnsi"/>
          <w:sz w:val="22"/>
          <w:szCs w:val="22"/>
        </w:rPr>
        <w:t xml:space="preserve">N’hésitez pas à écrire à l’adresse </w:t>
      </w:r>
      <w:hyperlink r:id="rId12" w:history="1">
        <w:r w:rsidR="004B1614" w:rsidRPr="0072739E">
          <w:rPr>
            <w:rStyle w:val="Lienhypertexte"/>
            <w:rFonts w:asciiTheme="minorHAnsi" w:hAnsiTheme="minorHAnsi" w:cstheme="minorHAnsi"/>
            <w:sz w:val="22"/>
            <w:szCs w:val="22"/>
          </w:rPr>
          <w:t>soumission.info@undp.org</w:t>
        </w:r>
      </w:hyperlink>
      <w:r w:rsidRPr="0072739E">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72739E" w:rsidRDefault="00D56C11" w:rsidP="00D56C11">
      <w:pPr>
        <w:pStyle w:val="Retraitcorpsdetexte"/>
        <w:ind w:left="0"/>
        <w:jc w:val="both"/>
        <w:rPr>
          <w:rFonts w:asciiTheme="minorHAnsi" w:hAnsiTheme="minorHAnsi" w:cstheme="minorHAnsi"/>
          <w:sz w:val="22"/>
          <w:szCs w:val="22"/>
        </w:rPr>
      </w:pPr>
    </w:p>
    <w:p w14:paraId="6DBF9200" w14:textId="77777777" w:rsidR="008073A3" w:rsidRPr="0007020C" w:rsidRDefault="008073A3" w:rsidP="008073A3">
      <w:pPr>
        <w:pStyle w:val="Retraitcorpsdetexte"/>
        <w:ind w:left="0"/>
        <w:jc w:val="both"/>
        <w:rPr>
          <w:rFonts w:ascii="Calibri" w:hAnsi="Calibri" w:cs="Calibri"/>
          <w:sz w:val="20"/>
          <w:szCs w:val="20"/>
        </w:rPr>
      </w:pPr>
      <w:r w:rsidRPr="0007020C">
        <w:rPr>
          <w:rFonts w:ascii="Calibri" w:hAnsi="Calibri" w:cs="Calibri"/>
          <w:sz w:val="20"/>
          <w:szCs w:val="20"/>
        </w:rPr>
        <w:t xml:space="preserve">Les offres sont publiées sur les sites suivants du PNUD :  </w:t>
      </w:r>
    </w:p>
    <w:p w14:paraId="176128D7" w14:textId="42AF01CE" w:rsidR="00D56C11" w:rsidRPr="0072739E" w:rsidRDefault="00F6310A" w:rsidP="008073A3">
      <w:pPr>
        <w:tabs>
          <w:tab w:val="left" w:pos="2160"/>
        </w:tabs>
        <w:spacing w:after="0" w:line="240" w:lineRule="auto"/>
        <w:jc w:val="both"/>
        <w:rPr>
          <w:rFonts w:cstheme="minorHAnsi"/>
          <w:b/>
          <w:color w:val="0000FF"/>
          <w:u w:val="single"/>
          <w:lang w:val="fr-FR"/>
        </w:rPr>
      </w:pPr>
      <w:hyperlink r:id="rId13" w:history="1">
        <w:r w:rsidR="008073A3" w:rsidRPr="0007020C">
          <w:rPr>
            <w:rStyle w:val="Lienhypertexte"/>
            <w:rFonts w:cs="Calibri"/>
            <w:sz w:val="20"/>
            <w:szCs w:val="20"/>
            <w:lang w:val="fr-FR"/>
          </w:rPr>
          <w:t>http://procurement-notices.undp.org/view_notice.cfm?notice_id=</w:t>
        </w:r>
      </w:hyperlink>
      <w:r w:rsidR="008073A3">
        <w:rPr>
          <w:rStyle w:val="Lienhypertexte"/>
          <w:rFonts w:cs="Calibri"/>
          <w:sz w:val="20"/>
          <w:szCs w:val="20"/>
          <w:lang w:val="fr-FR"/>
        </w:rPr>
        <w:t>81633</w:t>
      </w:r>
      <w:r w:rsidR="00FE10F6" w:rsidRPr="008073A3">
        <w:rPr>
          <w:rFonts w:cstheme="minorHAnsi"/>
          <w:b/>
          <w:color w:val="0000FF"/>
          <w:lang w:val="fr-FR"/>
        </w:rPr>
        <w:tab/>
      </w:r>
    </w:p>
    <w:p w14:paraId="164C1D90" w14:textId="62B0CE6D" w:rsidR="00722D7A" w:rsidRPr="0072739E" w:rsidRDefault="00722D7A" w:rsidP="00722D7A">
      <w:pPr>
        <w:pStyle w:val="Retraitcorpsdetexte"/>
        <w:ind w:left="0"/>
        <w:jc w:val="both"/>
        <w:rPr>
          <w:rFonts w:asciiTheme="minorHAnsi" w:hAnsiTheme="minorHAnsi"/>
          <w:b/>
          <w:color w:val="FF0000"/>
          <w:szCs w:val="22"/>
        </w:rPr>
      </w:pPr>
      <w:r w:rsidRPr="0072739E">
        <w:rPr>
          <w:rFonts w:asciiTheme="minorHAnsi" w:hAnsiTheme="minorHAnsi"/>
          <w:b/>
          <w:color w:val="FF0000"/>
          <w:szCs w:val="22"/>
          <w:u w:val="single"/>
        </w:rPr>
        <w:lastRenderedPageBreak/>
        <w:t>Les candidatures féminines sont vivement encouragées</w:t>
      </w:r>
      <w:r w:rsidRPr="0072739E">
        <w:rPr>
          <w:rFonts w:asciiTheme="minorHAnsi" w:hAnsiTheme="minorHAnsi"/>
          <w:b/>
          <w:color w:val="FF0000"/>
          <w:szCs w:val="22"/>
        </w:rPr>
        <w:t>.</w:t>
      </w:r>
    </w:p>
    <w:p w14:paraId="5B5B42DC" w14:textId="5F83B40C" w:rsidR="00687FB1" w:rsidRPr="0072739E" w:rsidRDefault="00DA6EEB" w:rsidP="00CF529A">
      <w:pPr>
        <w:tabs>
          <w:tab w:val="left" w:pos="1410"/>
        </w:tabs>
        <w:rPr>
          <w:rFonts w:cstheme="minorHAnsi"/>
          <w:b/>
          <w:lang w:val="fr-FR"/>
        </w:rPr>
      </w:pPr>
      <w:r w:rsidRPr="0072739E">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687FB1" w:rsidRPr="0072739E" w14:paraId="229CEDD7" w14:textId="77777777" w:rsidTr="00F27E24">
        <w:trPr>
          <w:trHeight w:val="435"/>
          <w:jc w:val="center"/>
        </w:trPr>
        <w:tc>
          <w:tcPr>
            <w:tcW w:w="10624" w:type="dxa"/>
            <w:shd w:val="clear" w:color="auto" w:fill="000080"/>
          </w:tcPr>
          <w:p w14:paraId="5720DBCB" w14:textId="77777777" w:rsidR="00687FB1" w:rsidRPr="0072739E" w:rsidRDefault="00687FB1" w:rsidP="00F27E24">
            <w:pPr>
              <w:spacing w:after="0" w:line="240" w:lineRule="auto"/>
              <w:jc w:val="both"/>
              <w:rPr>
                <w:rFonts w:eastAsia="Times New Roman" w:cs="Calibri"/>
                <w:b/>
                <w:bCs/>
              </w:rPr>
            </w:pPr>
            <w:r w:rsidRPr="0072739E">
              <w:rPr>
                <w:rFonts w:eastAsia="Times New Roman" w:cs="Calibri"/>
                <w:b/>
                <w:bCs/>
              </w:rPr>
              <w:t xml:space="preserve">I. </w:t>
            </w:r>
            <w:proofErr w:type="spellStart"/>
            <w:r w:rsidRPr="0072739E">
              <w:rPr>
                <w:rFonts w:eastAsia="Times New Roman" w:cs="Calibri"/>
                <w:b/>
                <w:bCs/>
              </w:rPr>
              <w:t>Contexte</w:t>
            </w:r>
            <w:proofErr w:type="spellEnd"/>
            <w:r w:rsidRPr="0072739E">
              <w:rPr>
                <w:rFonts w:eastAsia="Times New Roman" w:cs="Calibri"/>
                <w:b/>
                <w:bCs/>
              </w:rPr>
              <w:t xml:space="preserve"> et justification</w:t>
            </w:r>
          </w:p>
        </w:tc>
      </w:tr>
      <w:tr w:rsidR="00687FB1" w:rsidRPr="007443C7" w14:paraId="627D73DC" w14:textId="77777777" w:rsidTr="00F27E24">
        <w:trPr>
          <w:trHeight w:val="1295"/>
          <w:jc w:val="center"/>
        </w:trPr>
        <w:tc>
          <w:tcPr>
            <w:tcW w:w="10624" w:type="dxa"/>
          </w:tcPr>
          <w:p w14:paraId="146CD977" w14:textId="77777777" w:rsidR="00B07105" w:rsidRPr="0072739E" w:rsidRDefault="00B07105" w:rsidP="00B07105">
            <w:pPr>
              <w:jc w:val="both"/>
              <w:rPr>
                <w:lang w:val="fr-FR"/>
              </w:rPr>
            </w:pPr>
            <w:bookmarkStart w:id="5" w:name="_Hlk55153621"/>
            <w:r w:rsidRPr="0072739E">
              <w:rPr>
                <w:lang w:val="fr-FR"/>
              </w:rPr>
              <w:t xml:space="preserve">Dans le cadre de la mise en œuvre des activités du programme de consommation durable et substitution partielle au bois énergie, des activités de renforcement de capacités tant des acteurs constitue un levier important du programme. C’est ainsi des formations sur la formulation des politiques, stratégies et la réglementation du secteur de l’énergie en général et de la cuisson propre (foyer améliorés et gaz de pétole liquéfié ou GPL) en particulier. Dans le cadre des foyers améliorés, les acteurs sont diverses et manquent d’expertise sur les aspects technique et de gestion de la filière. De plus, on note la faiblesse de la coordination des acteurs du secteur ainsi que le manquant d’ancrage politique suffisamment clair pour le développement d’une approche marché. En effet, l’Alliance Congolaise des Foyers Améliorés (ACFA), établi en 2015 n’est pas suffisamment outillé pour une coordination intégrée et influencer des reformes politiques énergétiques en faveur du bois-énergie. </w:t>
            </w:r>
          </w:p>
          <w:p w14:paraId="2EDF6068" w14:textId="77777777" w:rsidR="00B07105" w:rsidRPr="0072739E" w:rsidRDefault="00B07105" w:rsidP="00B07105">
            <w:pPr>
              <w:jc w:val="both"/>
              <w:rPr>
                <w:lang w:val="fr-FR"/>
              </w:rPr>
            </w:pPr>
            <w:r w:rsidRPr="0072739E">
              <w:rPr>
                <w:lang w:val="fr-FR"/>
              </w:rPr>
              <w:t xml:space="preserve">L’ACFC est identifiée par le programme comme un des acteurs clés dont les capacités nécessitent d’être renforcées pour lui permettre de mieux se structurer sur les plans organisationnel, opérationnel et technique. </w:t>
            </w:r>
          </w:p>
          <w:p w14:paraId="21916932" w14:textId="06D01AF3" w:rsidR="00687FB1" w:rsidRPr="0072739E" w:rsidRDefault="00B07105" w:rsidP="00F917B2">
            <w:pPr>
              <w:jc w:val="both"/>
              <w:rPr>
                <w:lang w:val="fr-FR"/>
              </w:rPr>
            </w:pPr>
            <w:r w:rsidRPr="0072739E">
              <w:rPr>
                <w:lang w:val="fr-FR"/>
              </w:rPr>
              <w:t>C’est dans ce cadre que le PNUD recrute un consultant national pour faire une évaluation des capacités institutionnelles et organisationnelles de l’Alliance Congolaise des Foyers Améliorés (ACFA) afin de clairement identifier les forces et faiblesses de celles-ci et proposer les mesures correctives et d’amélioration pour qu’elle joue le rôle qui lui revient dans le secteur des foyers améliorés.</w:t>
            </w:r>
            <w:bookmarkEnd w:id="5"/>
          </w:p>
        </w:tc>
      </w:tr>
    </w:tbl>
    <w:p w14:paraId="744F1BCE" w14:textId="5CAAC215" w:rsidR="00E85A07" w:rsidRPr="0072739E" w:rsidRDefault="00E85A07" w:rsidP="00E85A07">
      <w:pPr>
        <w:tabs>
          <w:tab w:val="left" w:pos="1410"/>
        </w:tabs>
        <w:jc w:val="both"/>
        <w:rPr>
          <w:b/>
          <w:lang w:val="fr-FR"/>
        </w:rPr>
      </w:pPr>
    </w:p>
    <w:tbl>
      <w:tblPr>
        <w:tblW w:w="1069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97"/>
      </w:tblGrid>
      <w:tr w:rsidR="00687FB1" w:rsidRPr="007443C7" w14:paraId="2C244365" w14:textId="77777777" w:rsidTr="00F27E24">
        <w:trPr>
          <w:trHeight w:val="504"/>
          <w:jc w:val="center"/>
        </w:trPr>
        <w:tc>
          <w:tcPr>
            <w:tcW w:w="10697" w:type="dxa"/>
            <w:shd w:val="clear" w:color="auto" w:fill="000080"/>
          </w:tcPr>
          <w:p w14:paraId="115605AC" w14:textId="77777777" w:rsidR="00687FB1" w:rsidRPr="0072739E" w:rsidRDefault="00687FB1" w:rsidP="00F27E24">
            <w:pPr>
              <w:spacing w:after="0" w:line="240" w:lineRule="auto"/>
              <w:jc w:val="both"/>
              <w:rPr>
                <w:rFonts w:eastAsia="Times New Roman" w:cs="Calibri"/>
                <w:b/>
                <w:bCs/>
                <w:lang w:val="fr-FR"/>
              </w:rPr>
            </w:pPr>
            <w:r w:rsidRPr="0072739E">
              <w:rPr>
                <w:rFonts w:eastAsia="Times New Roman" w:cs="Calibri"/>
                <w:b/>
                <w:bCs/>
                <w:lang w:val="fr-FR"/>
              </w:rPr>
              <w:t xml:space="preserve">II. </w:t>
            </w:r>
            <w:r w:rsidRPr="0072739E">
              <w:rPr>
                <w:rFonts w:cs="Calibri"/>
                <w:b/>
                <w:lang w:val="fr-FR"/>
              </w:rPr>
              <w:t>Objectifs de la mission</w:t>
            </w:r>
          </w:p>
        </w:tc>
      </w:tr>
      <w:tr w:rsidR="00687FB1" w:rsidRPr="007443C7" w14:paraId="10698345" w14:textId="77777777" w:rsidTr="00F27E24">
        <w:trPr>
          <w:trHeight w:val="2097"/>
          <w:jc w:val="center"/>
        </w:trPr>
        <w:tc>
          <w:tcPr>
            <w:tcW w:w="10697" w:type="dxa"/>
          </w:tcPr>
          <w:p w14:paraId="38795A3A" w14:textId="77777777" w:rsidR="00B07105" w:rsidRPr="0072739E" w:rsidRDefault="00B07105" w:rsidP="00B07105">
            <w:pPr>
              <w:jc w:val="both"/>
              <w:rPr>
                <w:lang w:val="fr-FR"/>
              </w:rPr>
            </w:pPr>
            <w:r w:rsidRPr="0072739E">
              <w:rPr>
                <w:lang w:val="fr-FR"/>
              </w:rPr>
              <w:t xml:space="preserve">L'objectif global est de procéder à une évaluation des besoins capacitaires pour identifier les domaines d'amélioration organisationnelle en vue d’obtenir des résultats durables. </w:t>
            </w:r>
          </w:p>
          <w:p w14:paraId="22872EAD" w14:textId="77777777" w:rsidR="00B07105" w:rsidRPr="0072739E" w:rsidRDefault="00B07105" w:rsidP="00B07105">
            <w:pPr>
              <w:jc w:val="both"/>
              <w:rPr>
                <w:lang w:val="fr-FR"/>
              </w:rPr>
            </w:pPr>
            <w:r w:rsidRPr="0072739E">
              <w:rPr>
                <w:lang w:val="fr-FR"/>
              </w:rPr>
              <w:t>Spécifiquement, il s’agit de :</w:t>
            </w:r>
          </w:p>
          <w:p w14:paraId="371660E4" w14:textId="4800BBF3" w:rsidR="00B07105" w:rsidRPr="008E3537" w:rsidRDefault="002F34AA" w:rsidP="00B07105">
            <w:pPr>
              <w:pStyle w:val="Paragraphedeliste"/>
              <w:numPr>
                <w:ilvl w:val="0"/>
                <w:numId w:val="43"/>
              </w:numPr>
              <w:spacing w:after="160" w:line="259" w:lineRule="auto"/>
              <w:jc w:val="both"/>
              <w:rPr>
                <w:color w:val="000000" w:themeColor="text1"/>
                <w:lang w:val="fr-FR"/>
              </w:rPr>
            </w:pPr>
            <w:r w:rsidRPr="008E3537">
              <w:rPr>
                <w:color w:val="000000" w:themeColor="text1"/>
                <w:lang w:val="fr-FR"/>
              </w:rPr>
              <w:t>Mener</w:t>
            </w:r>
            <w:r w:rsidR="00B07105" w:rsidRPr="008E3537">
              <w:rPr>
                <w:color w:val="000000" w:themeColor="text1"/>
                <w:lang w:val="fr-FR"/>
              </w:rPr>
              <w:t xml:space="preserve"> un diagnostic organisationnel et institutionnel de l’alliance (organes de gouvernance, procédures internes etc.). Ceci comprendra :</w:t>
            </w:r>
          </w:p>
          <w:p w14:paraId="708FCD96" w14:textId="5F37307E" w:rsidR="00B07105" w:rsidRPr="008E3537" w:rsidRDefault="002F34AA" w:rsidP="00B07105">
            <w:pPr>
              <w:pStyle w:val="Paragraphedeliste"/>
              <w:numPr>
                <w:ilvl w:val="1"/>
                <w:numId w:val="43"/>
              </w:numPr>
              <w:spacing w:after="160" w:line="259" w:lineRule="auto"/>
              <w:jc w:val="both"/>
              <w:rPr>
                <w:color w:val="000000" w:themeColor="text1"/>
                <w:lang w:val="fr-FR"/>
              </w:rPr>
            </w:pPr>
            <w:r w:rsidRPr="008E3537">
              <w:rPr>
                <w:rFonts w:eastAsia="Arial Unicode MS" w:cs="Arial"/>
                <w:color w:val="000000" w:themeColor="text1"/>
                <w:szCs w:val="20"/>
                <w:lang w:val="fr-FR"/>
              </w:rPr>
              <w:t>L’analyse</w:t>
            </w:r>
            <w:r w:rsidR="00B07105" w:rsidRPr="008E3537">
              <w:rPr>
                <w:rFonts w:eastAsia="Arial Unicode MS" w:cs="Arial"/>
                <w:color w:val="000000" w:themeColor="text1"/>
                <w:szCs w:val="20"/>
                <w:lang w:val="fr-FR"/>
              </w:rPr>
              <w:t xml:space="preserve"> des ressources internes et des compétences (ressources humaines, matérielles, financières, immatérielles, organisationnelles, juridiques, etc.), ainsi que les mécanismes de fonctionnement interne, afin d’identifier ses Atouts et Faiblesses et comment les optimaliser ;</w:t>
            </w:r>
          </w:p>
          <w:p w14:paraId="57CEEDA0" w14:textId="634C3C18" w:rsidR="00B07105" w:rsidRPr="0072739E" w:rsidRDefault="002F34AA" w:rsidP="00B07105">
            <w:pPr>
              <w:pStyle w:val="Paragraphedeliste"/>
              <w:numPr>
                <w:ilvl w:val="1"/>
                <w:numId w:val="43"/>
              </w:numPr>
              <w:spacing w:after="160" w:line="259" w:lineRule="auto"/>
              <w:jc w:val="both"/>
              <w:rPr>
                <w:lang w:val="fr-FR"/>
              </w:rPr>
            </w:pPr>
            <w:r w:rsidRPr="008E3537">
              <w:rPr>
                <w:rFonts w:eastAsia="Arial Unicode MS" w:cs="Arial"/>
                <w:color w:val="000000" w:themeColor="text1"/>
                <w:szCs w:val="20"/>
                <w:lang w:val="fr-FR"/>
              </w:rPr>
              <w:t>L’analyse</w:t>
            </w:r>
            <w:r w:rsidR="00B07105" w:rsidRPr="008E3537">
              <w:rPr>
                <w:rFonts w:eastAsia="Arial Unicode MS" w:cs="Arial"/>
                <w:color w:val="000000" w:themeColor="text1"/>
                <w:szCs w:val="20"/>
                <w:lang w:val="fr-FR"/>
              </w:rPr>
              <w:t xml:space="preserve"> </w:t>
            </w:r>
            <w:r w:rsidR="00B07105" w:rsidRPr="0072739E">
              <w:rPr>
                <w:rFonts w:eastAsia="Arial Unicode MS" w:cs="Arial"/>
                <w:szCs w:val="20"/>
                <w:lang w:val="fr-FR"/>
              </w:rPr>
              <w:t>de l’environnement externe afin d’identifier les éléments qui constituent des Opportunités et des Menaces pour le développement de l’alliance</w:t>
            </w:r>
          </w:p>
          <w:p w14:paraId="11193DEE" w14:textId="538AD8BD" w:rsidR="00687FB1" w:rsidRPr="0072739E" w:rsidRDefault="00B07105" w:rsidP="00B07105">
            <w:pPr>
              <w:pStyle w:val="Paragraphedeliste"/>
              <w:numPr>
                <w:ilvl w:val="0"/>
                <w:numId w:val="43"/>
              </w:numPr>
              <w:spacing w:after="160" w:line="259" w:lineRule="auto"/>
              <w:jc w:val="both"/>
              <w:rPr>
                <w:lang w:val="fr-FR"/>
              </w:rPr>
            </w:pPr>
            <w:r w:rsidRPr="0072739E">
              <w:rPr>
                <w:lang w:val="fr-FR"/>
              </w:rPr>
              <w:t xml:space="preserve">Identifier, avec l’implication des parties prenantes de l’alliance et sur la base des résultats de l’analyse diagnostique, les axes et les options stratégiques de son développement, accompagné d’un plan </w:t>
            </w:r>
            <w:r w:rsidRPr="0072739E">
              <w:rPr>
                <w:rFonts w:eastAsia="Arial Unicode MS" w:cs="Arial"/>
                <w:szCs w:val="20"/>
                <w:lang w:val="fr-FR"/>
              </w:rPr>
              <w:t xml:space="preserve">d’actions à </w:t>
            </w:r>
            <w:r w:rsidRPr="0072739E">
              <w:rPr>
                <w:rFonts w:eastAsia="Arial Unicode MS" w:cs="Arial"/>
                <w:szCs w:val="20"/>
                <w:lang w:val="fr-FR"/>
              </w:rPr>
              <w:lastRenderedPageBreak/>
              <w:t>court, moyen et long terme budgétisé</w:t>
            </w:r>
            <w:r w:rsidRPr="0072739E">
              <w:rPr>
                <w:lang w:val="fr-FR"/>
              </w:rPr>
              <w:t xml:space="preserve"> qui assure le bon fonctionnement, la performance et la pérennité de l’alliance.</w:t>
            </w:r>
          </w:p>
        </w:tc>
      </w:tr>
    </w:tbl>
    <w:p w14:paraId="48401CA9" w14:textId="2A7E6F61" w:rsidR="009428D5" w:rsidRPr="0072739E" w:rsidRDefault="009428D5" w:rsidP="00E85A07">
      <w:pPr>
        <w:jc w:val="both"/>
        <w:rPr>
          <w:b/>
          <w:lang w:val="fr-FR"/>
        </w:rPr>
      </w:pPr>
    </w:p>
    <w:p w14:paraId="044811CE" w14:textId="59753B0B" w:rsidR="00B674B9" w:rsidRPr="0072739E" w:rsidRDefault="00B674B9" w:rsidP="00E85A07">
      <w:pPr>
        <w:jc w:val="both"/>
        <w:rPr>
          <w:b/>
          <w:lang w:val="fr-FR"/>
        </w:rPr>
      </w:pPr>
    </w:p>
    <w:tbl>
      <w:tblPr>
        <w:tblW w:w="999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999"/>
      </w:tblGrid>
      <w:tr w:rsidR="00B674B9" w:rsidRPr="007443C7" w14:paraId="03DE4946" w14:textId="77777777" w:rsidTr="00985AF4">
        <w:trPr>
          <w:trHeight w:val="435"/>
          <w:jc w:val="center"/>
        </w:trPr>
        <w:tc>
          <w:tcPr>
            <w:tcW w:w="9999" w:type="dxa"/>
            <w:shd w:val="clear" w:color="auto" w:fill="000080"/>
          </w:tcPr>
          <w:p w14:paraId="35972E77" w14:textId="77777777" w:rsidR="00B674B9" w:rsidRPr="0072739E" w:rsidRDefault="00B674B9" w:rsidP="00B674B9">
            <w:pPr>
              <w:keepNext/>
              <w:spacing w:after="0" w:line="240" w:lineRule="auto"/>
              <w:jc w:val="both"/>
              <w:outlineLvl w:val="0"/>
              <w:rPr>
                <w:rFonts w:eastAsia="Times New Roman" w:cs="Calibri"/>
                <w:b/>
                <w:bCs/>
                <w:highlight w:val="red"/>
                <w:lang w:val="fr-FR"/>
              </w:rPr>
            </w:pPr>
            <w:r w:rsidRPr="0072739E">
              <w:rPr>
                <w:rFonts w:eastAsia="Times New Roman" w:cs="Calibri"/>
                <w:b/>
                <w:bCs/>
                <w:highlight w:val="blue"/>
                <w:lang w:val="fr-FR"/>
              </w:rPr>
              <w:t xml:space="preserve">IV. </w:t>
            </w:r>
            <w:r w:rsidRPr="0072739E">
              <w:rPr>
                <w:rFonts w:cs="Calibri"/>
                <w:b/>
                <w:highlight w:val="blue"/>
                <w:lang w:val="fr-FR"/>
              </w:rPr>
              <w:t>Livrables attendus et termes de paiements</w:t>
            </w:r>
          </w:p>
        </w:tc>
      </w:tr>
      <w:tr w:rsidR="00B674B9" w:rsidRPr="007443C7" w14:paraId="0272BC93" w14:textId="77777777" w:rsidTr="00985AF4">
        <w:trPr>
          <w:trHeight w:val="70"/>
          <w:jc w:val="center"/>
        </w:trPr>
        <w:tc>
          <w:tcPr>
            <w:tcW w:w="9999" w:type="dxa"/>
            <w:shd w:val="clear" w:color="auto" w:fill="000080"/>
          </w:tcPr>
          <w:p w14:paraId="01ADC532" w14:textId="77777777" w:rsidR="00B674B9" w:rsidRPr="0072739E" w:rsidRDefault="00B674B9" w:rsidP="00B674B9">
            <w:pPr>
              <w:keepNext/>
              <w:spacing w:after="0" w:line="240" w:lineRule="auto"/>
              <w:jc w:val="both"/>
              <w:outlineLvl w:val="0"/>
              <w:rPr>
                <w:rFonts w:cs="Calibri"/>
                <w:b/>
                <w:bCs/>
                <w:kern w:val="32"/>
                <w:highlight w:val="red"/>
                <w:lang w:val="fr-FR"/>
              </w:rPr>
            </w:pPr>
          </w:p>
        </w:tc>
      </w:tr>
      <w:tr w:rsidR="00B674B9" w:rsidRPr="007443C7" w14:paraId="3CEE32F1" w14:textId="77777777" w:rsidTr="00985AF4">
        <w:trPr>
          <w:trHeight w:val="1805"/>
          <w:jc w:val="center"/>
        </w:trPr>
        <w:tc>
          <w:tcPr>
            <w:tcW w:w="9999" w:type="dxa"/>
          </w:tcPr>
          <w:p w14:paraId="06B909BB" w14:textId="77777777" w:rsidR="00B674B9" w:rsidRPr="0072739E" w:rsidRDefault="00B674B9" w:rsidP="00B674B9">
            <w:pPr>
              <w:spacing w:after="0" w:line="240" w:lineRule="auto"/>
              <w:ind w:left="357"/>
              <w:jc w:val="both"/>
              <w:rPr>
                <w:bCs/>
                <w:kern w:val="32"/>
                <w:lang w:val="fr-FR"/>
              </w:rPr>
            </w:pPr>
          </w:p>
          <w:p w14:paraId="717DD181" w14:textId="21783ACC" w:rsidR="00B674B9" w:rsidRPr="0072739E" w:rsidRDefault="00B674B9" w:rsidP="00C66F9C">
            <w:pPr>
              <w:spacing w:after="0" w:line="240" w:lineRule="auto"/>
              <w:rPr>
                <w:rFonts w:eastAsia="Times New Roman" w:cs="Calibri"/>
                <w:lang w:val="fr-FR"/>
              </w:rPr>
            </w:pPr>
            <w:r w:rsidRPr="0072739E">
              <w:rPr>
                <w:rFonts w:eastAsia="Times New Roman" w:cs="Calibri"/>
                <w:lang w:val="fr-FR"/>
              </w:rPr>
              <w:t xml:space="preserve">Les principaux livrables du </w:t>
            </w:r>
            <w:r w:rsidRPr="0072739E">
              <w:rPr>
                <w:rFonts w:eastAsia="Times New Roman" w:cs="Calibri"/>
                <w:sz w:val="24"/>
                <w:szCs w:val="24"/>
                <w:lang w:val="fr-FR"/>
              </w:rPr>
              <w:t xml:space="preserve">consultant(e) national(e) </w:t>
            </w:r>
            <w:r w:rsidR="00C66F9C" w:rsidRPr="0072739E">
              <w:rPr>
                <w:bCs/>
                <w:lang w:val="fr-FR"/>
              </w:rPr>
              <w:t>pour l’évaluation des capacités institutionnelles et organisationnelles de l’Alliance Congolaise des Foyers Améliorés (ACFA)</w:t>
            </w:r>
            <w:r w:rsidRPr="0072739E">
              <w:rPr>
                <w:rFonts w:cstheme="minorHAnsi"/>
                <w:lang w:val="fr"/>
              </w:rPr>
              <w:t xml:space="preserve"> </w:t>
            </w:r>
            <w:r w:rsidRPr="0072739E">
              <w:rPr>
                <w:rFonts w:eastAsia="Times New Roman" w:cs="Calibri"/>
                <w:lang w:val="fr-FR"/>
              </w:rPr>
              <w:t>sont :</w:t>
            </w:r>
          </w:p>
          <w:p w14:paraId="1C7468D2" w14:textId="77777777" w:rsidR="00C66F9C" w:rsidRPr="0072739E" w:rsidRDefault="00C66F9C" w:rsidP="00C66F9C">
            <w:pPr>
              <w:spacing w:after="0" w:line="240" w:lineRule="auto"/>
              <w:rPr>
                <w:rFonts w:eastAsia="Times New Roman" w:cs="Calibri"/>
                <w:lang w:val="fr-FR"/>
              </w:rPr>
            </w:pPr>
          </w:p>
          <w:tbl>
            <w:tblPr>
              <w:tblStyle w:val="Grilledutableau"/>
              <w:tblW w:w="9067" w:type="dxa"/>
              <w:tblLook w:val="04A0" w:firstRow="1" w:lastRow="0" w:firstColumn="1" w:lastColumn="0" w:noHBand="0" w:noVBand="1"/>
            </w:tblPr>
            <w:tblGrid>
              <w:gridCol w:w="562"/>
              <w:gridCol w:w="5529"/>
              <w:gridCol w:w="1275"/>
              <w:gridCol w:w="1701"/>
            </w:tblGrid>
            <w:tr w:rsidR="00B07105" w:rsidRPr="0072739E" w14:paraId="34A837C1" w14:textId="77777777" w:rsidTr="005111FD">
              <w:tc>
                <w:tcPr>
                  <w:tcW w:w="562" w:type="dxa"/>
                </w:tcPr>
                <w:p w14:paraId="562681F7" w14:textId="77777777" w:rsidR="00B07105" w:rsidRPr="0072739E" w:rsidRDefault="00B07105" w:rsidP="00B07105">
                  <w:pPr>
                    <w:jc w:val="both"/>
                  </w:pPr>
                  <w:r w:rsidRPr="0072739E">
                    <w:t>#</w:t>
                  </w:r>
                </w:p>
              </w:tc>
              <w:tc>
                <w:tcPr>
                  <w:tcW w:w="5529" w:type="dxa"/>
                </w:tcPr>
                <w:p w14:paraId="1E54BD45" w14:textId="77777777" w:rsidR="00B07105" w:rsidRPr="0072739E" w:rsidRDefault="00B07105" w:rsidP="00B07105">
                  <w:proofErr w:type="spellStart"/>
                  <w:r w:rsidRPr="0072739E">
                    <w:t>Livrables</w:t>
                  </w:r>
                  <w:proofErr w:type="spellEnd"/>
                </w:p>
              </w:tc>
              <w:tc>
                <w:tcPr>
                  <w:tcW w:w="1275" w:type="dxa"/>
                </w:tcPr>
                <w:p w14:paraId="33EDC00E" w14:textId="77777777" w:rsidR="00B07105" w:rsidRPr="0072739E" w:rsidRDefault="00B07105" w:rsidP="00B07105">
                  <w:pPr>
                    <w:jc w:val="both"/>
                  </w:pPr>
                  <w:r w:rsidRPr="0072739E">
                    <w:t>Durée (H-J)</w:t>
                  </w:r>
                </w:p>
              </w:tc>
              <w:tc>
                <w:tcPr>
                  <w:tcW w:w="1701" w:type="dxa"/>
                </w:tcPr>
                <w:p w14:paraId="42EDB792" w14:textId="77777777" w:rsidR="00B07105" w:rsidRPr="0072739E" w:rsidRDefault="00B07105" w:rsidP="00B07105">
                  <w:pPr>
                    <w:jc w:val="both"/>
                  </w:pPr>
                  <w:proofErr w:type="spellStart"/>
                  <w:r w:rsidRPr="0072739E">
                    <w:t>Pourcentage</w:t>
                  </w:r>
                  <w:proofErr w:type="spellEnd"/>
                  <w:r w:rsidRPr="0072739E">
                    <w:t xml:space="preserve"> (%)</w:t>
                  </w:r>
                </w:p>
              </w:tc>
            </w:tr>
            <w:tr w:rsidR="00B07105" w:rsidRPr="0072739E" w14:paraId="76919AF7" w14:textId="77777777" w:rsidTr="005111FD">
              <w:tc>
                <w:tcPr>
                  <w:tcW w:w="562" w:type="dxa"/>
                </w:tcPr>
                <w:p w14:paraId="346FA72E" w14:textId="77777777" w:rsidR="00B07105" w:rsidRPr="0072739E" w:rsidRDefault="00B07105" w:rsidP="00B07105">
                  <w:pPr>
                    <w:jc w:val="both"/>
                  </w:pPr>
                  <w:r w:rsidRPr="0072739E">
                    <w:t>1</w:t>
                  </w:r>
                </w:p>
              </w:tc>
              <w:tc>
                <w:tcPr>
                  <w:tcW w:w="5529" w:type="dxa"/>
                </w:tcPr>
                <w:p w14:paraId="3A6D4ECD" w14:textId="77777777" w:rsidR="00B07105" w:rsidRPr="0072739E" w:rsidRDefault="00B07105" w:rsidP="00B07105">
                  <w:r w:rsidRPr="0072739E">
                    <w:t xml:space="preserve">Un rapport de </w:t>
                  </w:r>
                  <w:proofErr w:type="spellStart"/>
                  <w:r w:rsidRPr="0072739E">
                    <w:t>démarrage</w:t>
                  </w:r>
                  <w:proofErr w:type="spellEnd"/>
                  <w:r w:rsidRPr="0072739E">
                    <w:t xml:space="preserve"> </w:t>
                  </w:r>
                </w:p>
              </w:tc>
              <w:tc>
                <w:tcPr>
                  <w:tcW w:w="1275" w:type="dxa"/>
                </w:tcPr>
                <w:p w14:paraId="0E74E611" w14:textId="77777777" w:rsidR="00B07105" w:rsidRPr="0072739E" w:rsidRDefault="00B07105" w:rsidP="00B07105">
                  <w:pPr>
                    <w:jc w:val="both"/>
                  </w:pPr>
                  <w:r w:rsidRPr="0072739E">
                    <w:t xml:space="preserve">2 </w:t>
                  </w:r>
                </w:p>
              </w:tc>
              <w:tc>
                <w:tcPr>
                  <w:tcW w:w="1701" w:type="dxa"/>
                </w:tcPr>
                <w:p w14:paraId="35AADA9D" w14:textId="77777777" w:rsidR="00B07105" w:rsidRPr="0072739E" w:rsidRDefault="00B07105" w:rsidP="00B07105">
                  <w:pPr>
                    <w:jc w:val="both"/>
                  </w:pPr>
                  <w:r w:rsidRPr="0072739E">
                    <w:t>10</w:t>
                  </w:r>
                </w:p>
              </w:tc>
            </w:tr>
            <w:tr w:rsidR="00B07105" w:rsidRPr="0072739E" w14:paraId="4FFA48AE" w14:textId="77777777" w:rsidTr="005111FD">
              <w:tc>
                <w:tcPr>
                  <w:tcW w:w="562" w:type="dxa"/>
                </w:tcPr>
                <w:p w14:paraId="4AF2DF14" w14:textId="77777777" w:rsidR="00B07105" w:rsidRPr="0072739E" w:rsidRDefault="00B07105" w:rsidP="00B07105">
                  <w:pPr>
                    <w:jc w:val="both"/>
                  </w:pPr>
                  <w:r w:rsidRPr="0072739E">
                    <w:t>2</w:t>
                  </w:r>
                </w:p>
              </w:tc>
              <w:tc>
                <w:tcPr>
                  <w:tcW w:w="5529" w:type="dxa"/>
                </w:tcPr>
                <w:p w14:paraId="6264EB17" w14:textId="7812302A" w:rsidR="00B07105" w:rsidRPr="0072739E" w:rsidRDefault="00B07105" w:rsidP="00B07105">
                  <w:pPr>
                    <w:rPr>
                      <w:lang w:val="fr-FR"/>
                    </w:rPr>
                  </w:pPr>
                  <w:r w:rsidRPr="0072739E">
                    <w:rPr>
                      <w:lang w:val="fr-FR"/>
                    </w:rPr>
                    <w:t xml:space="preserve">Un rapport de </w:t>
                  </w:r>
                  <w:r w:rsidR="00C66F9C" w:rsidRPr="0072739E">
                    <w:rPr>
                      <w:lang w:val="fr-FR"/>
                    </w:rPr>
                    <w:t>diagnostic des</w:t>
                  </w:r>
                  <w:r w:rsidRPr="0072739E">
                    <w:rPr>
                      <w:lang w:val="fr-FR"/>
                    </w:rPr>
                    <w:t xml:space="preserve"> capacités institutionnelles, organisationnelles et opérationnelles </w:t>
                  </w:r>
                </w:p>
              </w:tc>
              <w:tc>
                <w:tcPr>
                  <w:tcW w:w="1275" w:type="dxa"/>
                </w:tcPr>
                <w:p w14:paraId="549BAF9D" w14:textId="77777777" w:rsidR="00B07105" w:rsidRPr="0072739E" w:rsidRDefault="00B07105" w:rsidP="00B07105">
                  <w:pPr>
                    <w:jc w:val="both"/>
                  </w:pPr>
                  <w:r w:rsidRPr="0072739E">
                    <w:t xml:space="preserve">10 </w:t>
                  </w:r>
                </w:p>
              </w:tc>
              <w:tc>
                <w:tcPr>
                  <w:tcW w:w="1701" w:type="dxa"/>
                </w:tcPr>
                <w:p w14:paraId="73AD0734" w14:textId="77777777" w:rsidR="00B07105" w:rsidRPr="0072739E" w:rsidRDefault="00B07105" w:rsidP="00B07105">
                  <w:pPr>
                    <w:jc w:val="both"/>
                  </w:pPr>
                  <w:r w:rsidRPr="0072739E">
                    <w:t>40</w:t>
                  </w:r>
                </w:p>
              </w:tc>
            </w:tr>
            <w:tr w:rsidR="00B07105" w:rsidRPr="0072739E" w14:paraId="3C2680F9" w14:textId="77777777" w:rsidTr="005111FD">
              <w:tc>
                <w:tcPr>
                  <w:tcW w:w="562" w:type="dxa"/>
                </w:tcPr>
                <w:p w14:paraId="4FC31F8A" w14:textId="77777777" w:rsidR="00B07105" w:rsidRPr="0072739E" w:rsidRDefault="00B07105" w:rsidP="00B07105">
                  <w:pPr>
                    <w:jc w:val="both"/>
                  </w:pPr>
                  <w:r w:rsidRPr="0072739E">
                    <w:t>3</w:t>
                  </w:r>
                </w:p>
              </w:tc>
              <w:tc>
                <w:tcPr>
                  <w:tcW w:w="5529" w:type="dxa"/>
                </w:tcPr>
                <w:p w14:paraId="0B9DD34B" w14:textId="77777777" w:rsidR="00B07105" w:rsidRPr="0072739E" w:rsidRDefault="00B07105" w:rsidP="0072739E">
                  <w:pPr>
                    <w:jc w:val="both"/>
                    <w:rPr>
                      <w:lang w:val="fr-FR"/>
                    </w:rPr>
                  </w:pPr>
                  <w:r w:rsidRPr="0072739E">
                    <w:rPr>
                      <w:lang w:val="fr-FR"/>
                    </w:rPr>
                    <w:t>Un rapport de plan de développement de l’Alliance indiquant : les axes de développement, les mécanismes optimaux de fonctionnement ainsi que le plan d’action à court, moyen et long terme budgétisé.</w:t>
                  </w:r>
                </w:p>
              </w:tc>
              <w:tc>
                <w:tcPr>
                  <w:tcW w:w="1275" w:type="dxa"/>
                </w:tcPr>
                <w:p w14:paraId="40BF95C6" w14:textId="77777777" w:rsidR="00B07105" w:rsidRPr="0072739E" w:rsidRDefault="00B07105" w:rsidP="00B07105">
                  <w:pPr>
                    <w:jc w:val="both"/>
                  </w:pPr>
                  <w:r w:rsidRPr="0072739E">
                    <w:t>10</w:t>
                  </w:r>
                </w:p>
              </w:tc>
              <w:tc>
                <w:tcPr>
                  <w:tcW w:w="1701" w:type="dxa"/>
                </w:tcPr>
                <w:p w14:paraId="10E1A93F" w14:textId="77777777" w:rsidR="00B07105" w:rsidRPr="0072739E" w:rsidRDefault="00B07105" w:rsidP="00B07105">
                  <w:pPr>
                    <w:jc w:val="both"/>
                  </w:pPr>
                  <w:r w:rsidRPr="0072739E">
                    <w:t>30</w:t>
                  </w:r>
                </w:p>
              </w:tc>
            </w:tr>
            <w:tr w:rsidR="00B07105" w:rsidRPr="007443C7" w14:paraId="27622695" w14:textId="77777777" w:rsidTr="005111FD">
              <w:tc>
                <w:tcPr>
                  <w:tcW w:w="562" w:type="dxa"/>
                </w:tcPr>
                <w:p w14:paraId="2C2E94F1" w14:textId="77777777" w:rsidR="00B07105" w:rsidRPr="0072739E" w:rsidRDefault="00B07105" w:rsidP="00B07105">
                  <w:pPr>
                    <w:jc w:val="both"/>
                  </w:pPr>
                  <w:r w:rsidRPr="0072739E">
                    <w:t>3</w:t>
                  </w:r>
                </w:p>
              </w:tc>
              <w:tc>
                <w:tcPr>
                  <w:tcW w:w="5529" w:type="dxa"/>
                </w:tcPr>
                <w:p w14:paraId="1214BC24" w14:textId="77777777" w:rsidR="00B07105" w:rsidRPr="0072739E" w:rsidRDefault="00B07105" w:rsidP="00B07105">
                  <w:pPr>
                    <w:rPr>
                      <w:lang w:val="fr-FR"/>
                    </w:rPr>
                  </w:pPr>
                  <w:r w:rsidRPr="0072739E">
                    <w:rPr>
                      <w:lang w:val="fr-FR"/>
                    </w:rPr>
                    <w:t xml:space="preserve">Le rapport final de l’étude </w:t>
                  </w:r>
                </w:p>
              </w:tc>
              <w:tc>
                <w:tcPr>
                  <w:tcW w:w="1275" w:type="dxa"/>
                </w:tcPr>
                <w:p w14:paraId="40827BB5" w14:textId="77777777" w:rsidR="00B07105" w:rsidRPr="008E3537" w:rsidRDefault="00B07105" w:rsidP="00B07105">
                  <w:pPr>
                    <w:jc w:val="both"/>
                    <w:rPr>
                      <w:lang w:val="fr-FR"/>
                    </w:rPr>
                  </w:pPr>
                  <w:r w:rsidRPr="008E3537">
                    <w:rPr>
                      <w:lang w:val="fr-FR"/>
                    </w:rPr>
                    <w:t>3</w:t>
                  </w:r>
                </w:p>
              </w:tc>
              <w:tc>
                <w:tcPr>
                  <w:tcW w:w="1701" w:type="dxa"/>
                </w:tcPr>
                <w:p w14:paraId="68D0A54B" w14:textId="77777777" w:rsidR="00B07105" w:rsidRPr="008E3537" w:rsidRDefault="00B07105" w:rsidP="00B07105">
                  <w:pPr>
                    <w:jc w:val="both"/>
                    <w:rPr>
                      <w:lang w:val="fr-FR"/>
                    </w:rPr>
                  </w:pPr>
                  <w:r w:rsidRPr="008E3537">
                    <w:rPr>
                      <w:lang w:val="fr-FR"/>
                    </w:rPr>
                    <w:t>20</w:t>
                  </w:r>
                </w:p>
              </w:tc>
            </w:tr>
            <w:tr w:rsidR="00B07105" w:rsidRPr="007443C7" w14:paraId="601429D7" w14:textId="77777777" w:rsidTr="005111FD">
              <w:tc>
                <w:tcPr>
                  <w:tcW w:w="6091" w:type="dxa"/>
                  <w:gridSpan w:val="2"/>
                </w:tcPr>
                <w:p w14:paraId="7B6EF106" w14:textId="77777777" w:rsidR="00B07105" w:rsidRPr="008E3537" w:rsidRDefault="00B07105" w:rsidP="00B07105">
                  <w:pPr>
                    <w:jc w:val="center"/>
                    <w:rPr>
                      <w:lang w:val="fr-FR"/>
                    </w:rPr>
                  </w:pPr>
                  <w:r w:rsidRPr="008E3537">
                    <w:rPr>
                      <w:lang w:val="fr-FR"/>
                    </w:rPr>
                    <w:t>TOTAL</w:t>
                  </w:r>
                </w:p>
              </w:tc>
              <w:tc>
                <w:tcPr>
                  <w:tcW w:w="1275" w:type="dxa"/>
                </w:tcPr>
                <w:p w14:paraId="6A217DA5" w14:textId="77777777" w:rsidR="00B07105" w:rsidRPr="008E3537" w:rsidRDefault="00B07105" w:rsidP="00B07105">
                  <w:pPr>
                    <w:jc w:val="both"/>
                    <w:rPr>
                      <w:lang w:val="fr-FR"/>
                    </w:rPr>
                  </w:pPr>
                  <w:r w:rsidRPr="008E3537">
                    <w:rPr>
                      <w:lang w:val="fr-FR"/>
                    </w:rPr>
                    <w:t>25</w:t>
                  </w:r>
                </w:p>
              </w:tc>
              <w:tc>
                <w:tcPr>
                  <w:tcW w:w="1701" w:type="dxa"/>
                </w:tcPr>
                <w:p w14:paraId="21DE168F" w14:textId="77777777" w:rsidR="00B07105" w:rsidRPr="008E3537" w:rsidRDefault="00B07105" w:rsidP="00B07105">
                  <w:pPr>
                    <w:jc w:val="both"/>
                    <w:rPr>
                      <w:lang w:val="fr-FR"/>
                    </w:rPr>
                  </w:pPr>
                  <w:r w:rsidRPr="008E3537">
                    <w:rPr>
                      <w:lang w:val="fr-FR"/>
                    </w:rPr>
                    <w:t>100</w:t>
                  </w:r>
                </w:p>
              </w:tc>
            </w:tr>
          </w:tbl>
          <w:p w14:paraId="4CE78DD7" w14:textId="77777777" w:rsidR="00F9244E" w:rsidRPr="0072739E" w:rsidRDefault="00F9244E" w:rsidP="00B674B9">
            <w:pPr>
              <w:keepNext/>
              <w:tabs>
                <w:tab w:val="left" w:pos="2160"/>
              </w:tabs>
              <w:spacing w:after="0" w:line="240" w:lineRule="auto"/>
              <w:jc w:val="both"/>
              <w:rPr>
                <w:rFonts w:cstheme="minorHAnsi"/>
                <w:bCs/>
                <w:highlight w:val="red"/>
                <w:lang w:val="fr-FR" w:eastAsia="fr-FR"/>
              </w:rPr>
            </w:pPr>
          </w:p>
          <w:p w14:paraId="02DB3B40" w14:textId="77777777" w:rsidR="00B674B9" w:rsidRPr="0072739E" w:rsidRDefault="00B674B9" w:rsidP="00B674B9">
            <w:pPr>
              <w:keepNext/>
              <w:spacing w:after="0" w:line="240" w:lineRule="auto"/>
              <w:jc w:val="both"/>
              <w:rPr>
                <w:rFonts w:eastAsia="Times New Roman" w:cs="Calibri"/>
                <w:sz w:val="6"/>
                <w:highlight w:val="red"/>
                <w:lang w:val="fr-FR"/>
              </w:rPr>
            </w:pPr>
          </w:p>
          <w:p w14:paraId="0F56C9DB" w14:textId="77777777" w:rsidR="00B674B9" w:rsidRPr="0072739E" w:rsidRDefault="00B674B9" w:rsidP="00B674B9">
            <w:pPr>
              <w:keepNext/>
              <w:spacing w:before="120" w:after="0" w:line="240" w:lineRule="auto"/>
              <w:jc w:val="both"/>
              <w:rPr>
                <w:rFonts w:cs="Arial"/>
                <w:sz w:val="2"/>
                <w:highlight w:val="red"/>
                <w:lang w:val="fr-FR"/>
              </w:rPr>
            </w:pPr>
          </w:p>
          <w:p w14:paraId="7C1E995B" w14:textId="77777777" w:rsidR="00B674B9" w:rsidRPr="0072739E" w:rsidRDefault="00B674B9" w:rsidP="00B674B9">
            <w:pPr>
              <w:keepNext/>
              <w:spacing w:after="0" w:line="240" w:lineRule="auto"/>
              <w:jc w:val="both"/>
              <w:rPr>
                <w:rFonts w:cs="Calibri"/>
                <w:lang w:val="fr-FR"/>
              </w:rPr>
            </w:pPr>
            <w:r w:rsidRPr="0072739E">
              <w:rPr>
                <w:rFonts w:cs="Calibri"/>
                <w:b/>
                <w:lang w:val="fr-FR"/>
              </w:rPr>
              <w:t>Processus d’approbation requis pour certifier l’atteinte des résultats et les paiements</w:t>
            </w:r>
            <w:r w:rsidRPr="0072739E">
              <w:rPr>
                <w:rFonts w:cs="Calibri"/>
                <w:lang w:val="fr-FR"/>
              </w:rPr>
              <w:t xml:space="preserve"> : le paiement du (de la) consultant(e) sera effectué après certification faite sur la base de la satisfaction des services fournis par le consultant(e), notamment les rapports dû et l’avancement des produits attendus.</w:t>
            </w:r>
          </w:p>
        </w:tc>
      </w:tr>
    </w:tbl>
    <w:p w14:paraId="2631333E" w14:textId="77777777" w:rsidR="00B674B9" w:rsidRPr="0072739E" w:rsidRDefault="00B674B9" w:rsidP="00E85A07">
      <w:pPr>
        <w:jc w:val="both"/>
        <w:rPr>
          <w:b/>
          <w:lang w:val="fr-FR"/>
        </w:rPr>
      </w:pPr>
    </w:p>
    <w:p w14:paraId="170F1219" w14:textId="77777777" w:rsidR="009428D5" w:rsidRPr="0072739E" w:rsidRDefault="009428D5" w:rsidP="009428D5">
      <w:pPr>
        <w:jc w:val="both"/>
        <w:rPr>
          <w:rFonts w:cstheme="minorHAnsi"/>
          <w:b/>
          <w:color w:val="000000" w:themeColor="text1"/>
          <w:u w:val="single"/>
          <w:lang w:val="fr-FR"/>
        </w:rPr>
      </w:pPr>
      <w:r w:rsidRPr="0072739E">
        <w:rPr>
          <w:rFonts w:cstheme="minorHAnsi"/>
          <w:b/>
          <w:color w:val="000000" w:themeColor="text1"/>
          <w:u w:val="single"/>
          <w:lang w:val="fr-FR"/>
        </w:rPr>
        <w:t>Chronogramme Durée de la mission </w:t>
      </w:r>
    </w:p>
    <w:tbl>
      <w:tblPr>
        <w:tblStyle w:val="Grilledutableau"/>
        <w:tblW w:w="10349" w:type="dxa"/>
        <w:tblInd w:w="-856" w:type="dxa"/>
        <w:tblLook w:val="04A0" w:firstRow="1" w:lastRow="0" w:firstColumn="1" w:lastColumn="0" w:noHBand="0" w:noVBand="1"/>
      </w:tblPr>
      <w:tblGrid>
        <w:gridCol w:w="10349"/>
      </w:tblGrid>
      <w:tr w:rsidR="009428D5" w:rsidRPr="007443C7" w14:paraId="0AFE61ED" w14:textId="77777777" w:rsidTr="00F27E24">
        <w:tc>
          <w:tcPr>
            <w:tcW w:w="10349" w:type="dxa"/>
          </w:tcPr>
          <w:p w14:paraId="4F3D0F2B" w14:textId="49830A64" w:rsidR="00C66F9C" w:rsidRPr="0072739E" w:rsidRDefault="00C66F9C" w:rsidP="00C66F9C">
            <w:pPr>
              <w:rPr>
                <w:rFonts w:eastAsia="Times New Roman" w:cstheme="minorHAnsi"/>
                <w:b/>
                <w:bCs/>
                <w:color w:val="000000"/>
                <w:lang w:val="fr-FR" w:eastAsia="fr-CD"/>
              </w:rPr>
            </w:pPr>
            <w:r w:rsidRPr="0072739E">
              <w:rPr>
                <w:rFonts w:eastAsia="Times New Roman" w:cstheme="minorHAnsi"/>
                <w:color w:val="000000"/>
                <w:highlight w:val="yellow"/>
                <w:lang w:val="fr-FR" w:eastAsia="fr-CD"/>
              </w:rPr>
              <w:t>La durée maximale de la mission est de 25 Homme-jours étalés sur un mois.</w:t>
            </w:r>
          </w:p>
          <w:p w14:paraId="3836022E" w14:textId="1F390794" w:rsidR="009428D5" w:rsidRPr="0072739E" w:rsidRDefault="009428D5" w:rsidP="00C66F9C">
            <w:pPr>
              <w:tabs>
                <w:tab w:val="left" w:pos="2160"/>
              </w:tabs>
              <w:jc w:val="both"/>
              <w:rPr>
                <w:rFonts w:cs="Calibri"/>
                <w:lang w:val="fr-FR"/>
              </w:rPr>
            </w:pPr>
          </w:p>
        </w:tc>
      </w:tr>
    </w:tbl>
    <w:p w14:paraId="5BFF71F3" w14:textId="77777777" w:rsidR="009428D5" w:rsidRPr="0072739E" w:rsidRDefault="009428D5" w:rsidP="009428D5">
      <w:pPr>
        <w:rPr>
          <w:rFonts w:cstheme="minorHAnsi"/>
          <w:b/>
          <w:color w:val="000000" w:themeColor="text1"/>
          <w:lang w:val="fr-FR"/>
        </w:rPr>
      </w:pPr>
    </w:p>
    <w:p w14:paraId="71C36199" w14:textId="77777777" w:rsidR="009428D5" w:rsidRPr="0072739E" w:rsidRDefault="009428D5" w:rsidP="009428D5">
      <w:pPr>
        <w:rPr>
          <w:rFonts w:cstheme="minorHAnsi"/>
          <w:b/>
          <w:color w:val="000000" w:themeColor="text1"/>
          <w:u w:val="single"/>
          <w:lang w:val="fr-FR"/>
        </w:rPr>
      </w:pPr>
      <w:r w:rsidRPr="0072739E">
        <w:rPr>
          <w:rFonts w:cstheme="minorHAnsi"/>
          <w:b/>
          <w:color w:val="000000" w:themeColor="text1"/>
          <w:u w:val="single"/>
          <w:lang w:val="fr-FR"/>
        </w:rPr>
        <w:t>6.  Qualifications et Expérience requises</w:t>
      </w:r>
    </w:p>
    <w:tbl>
      <w:tblPr>
        <w:tblStyle w:val="Grilledutableau"/>
        <w:tblW w:w="10391" w:type="dxa"/>
        <w:tblInd w:w="-856" w:type="dxa"/>
        <w:tblLook w:val="04A0" w:firstRow="1" w:lastRow="0" w:firstColumn="1" w:lastColumn="0" w:noHBand="0" w:noVBand="1"/>
      </w:tblPr>
      <w:tblGrid>
        <w:gridCol w:w="10391"/>
      </w:tblGrid>
      <w:tr w:rsidR="009428D5" w:rsidRPr="007443C7" w14:paraId="3958DB8E" w14:textId="77777777" w:rsidTr="00F27E24">
        <w:tc>
          <w:tcPr>
            <w:tcW w:w="10391" w:type="dxa"/>
          </w:tcPr>
          <w:p w14:paraId="6F84211E" w14:textId="77777777" w:rsidR="009428D5" w:rsidRPr="0072739E" w:rsidRDefault="009428D5" w:rsidP="00F27E24">
            <w:pPr>
              <w:spacing w:before="120" w:after="120" w:line="288" w:lineRule="auto"/>
              <w:jc w:val="both"/>
              <w:rPr>
                <w:rFonts w:cstheme="minorHAnsi"/>
                <w:color w:val="000000" w:themeColor="text1"/>
                <w:lang w:val="fr-FR"/>
              </w:rPr>
            </w:pPr>
            <w:r w:rsidRPr="0072739E">
              <w:rPr>
                <w:rFonts w:cstheme="minorHAnsi"/>
                <w:color w:val="000000" w:themeColor="text1"/>
                <w:u w:val="single"/>
                <w:lang w:val="fr-FR"/>
              </w:rPr>
              <w:lastRenderedPageBreak/>
              <w:t>I. Qualifications académiques :</w:t>
            </w:r>
            <w:r w:rsidRPr="0072739E">
              <w:rPr>
                <w:rFonts w:cstheme="minorHAnsi"/>
                <w:color w:val="000000" w:themeColor="text1"/>
                <w:lang w:val="fr-FR"/>
              </w:rPr>
              <w:t xml:space="preserve"> </w:t>
            </w:r>
          </w:p>
          <w:p w14:paraId="0238DB4C" w14:textId="731C6AF7" w:rsidR="00C66F9C" w:rsidRPr="0072739E" w:rsidRDefault="00C66F9C" w:rsidP="00C66F9C">
            <w:pPr>
              <w:pStyle w:val="Paragraphedeliste"/>
              <w:numPr>
                <w:ilvl w:val="0"/>
                <w:numId w:val="40"/>
              </w:numPr>
              <w:spacing w:after="160" w:line="259" w:lineRule="auto"/>
              <w:jc w:val="both"/>
              <w:rPr>
                <w:lang w:val="fr-FR"/>
              </w:rPr>
            </w:pPr>
            <w:r w:rsidRPr="0072739E">
              <w:rPr>
                <w:lang w:val="fr-FR"/>
              </w:rPr>
              <w:t xml:space="preserve">Avoir un diplôme d'études supérieures (Licence/Master) en économie, études de développement, sciences sociales ou une discipline connexe ; </w:t>
            </w:r>
          </w:p>
          <w:p w14:paraId="3FB1ED9C" w14:textId="77777777" w:rsidR="009428D5" w:rsidRPr="0072739E" w:rsidRDefault="009428D5" w:rsidP="00F27E24">
            <w:pPr>
              <w:spacing w:before="120" w:after="120" w:line="288" w:lineRule="auto"/>
              <w:jc w:val="both"/>
              <w:rPr>
                <w:rFonts w:cstheme="minorHAnsi"/>
                <w:color w:val="000000" w:themeColor="text1"/>
                <w:u w:val="single"/>
                <w:lang w:val="fr-FR"/>
              </w:rPr>
            </w:pPr>
            <w:r w:rsidRPr="0072739E">
              <w:rPr>
                <w:rFonts w:cstheme="minorHAnsi"/>
                <w:color w:val="000000" w:themeColor="text1"/>
                <w:u w:val="single"/>
                <w:lang w:val="fr-FR"/>
              </w:rPr>
              <w:t>II. Expérience :</w:t>
            </w:r>
          </w:p>
          <w:p w14:paraId="2040B2FA" w14:textId="77777777" w:rsidR="00C66F9C" w:rsidRPr="0072739E" w:rsidRDefault="00C66F9C" w:rsidP="00C66F9C">
            <w:pPr>
              <w:pStyle w:val="Paragraphedeliste"/>
              <w:numPr>
                <w:ilvl w:val="0"/>
                <w:numId w:val="40"/>
              </w:numPr>
              <w:spacing w:after="160" w:line="259" w:lineRule="auto"/>
              <w:jc w:val="both"/>
              <w:rPr>
                <w:lang w:val="fr-FR"/>
              </w:rPr>
            </w:pPr>
            <w:r w:rsidRPr="0072739E">
              <w:rPr>
                <w:lang w:val="fr-FR"/>
              </w:rPr>
              <w:t xml:space="preserve">Un minimum de dix (10) ans d’expérience dans l’évaluation des besoins organisationnels en capacités, une expérience des processus d'auto-évaluation sera un avantage ; </w:t>
            </w:r>
          </w:p>
          <w:p w14:paraId="6D1EDDA9" w14:textId="77777777" w:rsidR="00C66F9C" w:rsidRPr="0072739E" w:rsidRDefault="00C66F9C" w:rsidP="00C66F9C">
            <w:pPr>
              <w:pStyle w:val="Paragraphedeliste"/>
              <w:numPr>
                <w:ilvl w:val="0"/>
                <w:numId w:val="40"/>
              </w:numPr>
              <w:spacing w:after="160" w:line="259" w:lineRule="auto"/>
              <w:jc w:val="both"/>
              <w:rPr>
                <w:lang w:val="fr-FR"/>
              </w:rPr>
            </w:pPr>
            <w:r w:rsidRPr="0072739E">
              <w:rPr>
                <w:lang w:val="fr-FR"/>
              </w:rPr>
              <w:t xml:space="preserve">Avoir conduit au moins 3 évaluations institutionnelles de préférence des ONG ; </w:t>
            </w:r>
          </w:p>
          <w:p w14:paraId="208F1B05" w14:textId="77777777" w:rsidR="009428D5" w:rsidRPr="0072739E" w:rsidRDefault="009428D5" w:rsidP="00F27E24">
            <w:pPr>
              <w:spacing w:before="120" w:after="120" w:line="288" w:lineRule="auto"/>
              <w:jc w:val="both"/>
              <w:rPr>
                <w:rFonts w:eastAsia="Times New Roman" w:cstheme="majorHAnsi"/>
                <w:u w:val="single"/>
                <w:lang w:val="fr-FR"/>
              </w:rPr>
            </w:pPr>
            <w:r w:rsidRPr="0072739E">
              <w:rPr>
                <w:rFonts w:eastAsia="Times New Roman" w:cstheme="majorHAnsi"/>
                <w:u w:val="single"/>
                <w:lang w:val="fr-FR"/>
              </w:rPr>
              <w:t xml:space="preserve">III. Compétences </w:t>
            </w:r>
          </w:p>
          <w:p w14:paraId="4B40EB60" w14:textId="77777777" w:rsidR="00C66F9C" w:rsidRPr="0072739E" w:rsidRDefault="00C66F9C" w:rsidP="00C66F9C">
            <w:pPr>
              <w:pStyle w:val="Paragraphedeliste"/>
              <w:numPr>
                <w:ilvl w:val="0"/>
                <w:numId w:val="40"/>
              </w:numPr>
              <w:spacing w:after="160" w:line="259" w:lineRule="auto"/>
              <w:jc w:val="both"/>
              <w:rPr>
                <w:lang w:val="fr-FR"/>
              </w:rPr>
            </w:pPr>
            <w:r w:rsidRPr="0072739E">
              <w:rPr>
                <w:lang w:val="fr-FR"/>
              </w:rPr>
              <w:t>Excellentes aptitudes de rédaction et de communication en anglais.</w:t>
            </w:r>
          </w:p>
          <w:p w14:paraId="37EE31BA" w14:textId="77777777" w:rsidR="009428D5" w:rsidRPr="0072739E" w:rsidRDefault="009428D5" w:rsidP="00F27E24">
            <w:pPr>
              <w:jc w:val="both"/>
              <w:rPr>
                <w:rFonts w:cstheme="minorHAnsi"/>
                <w:color w:val="000000" w:themeColor="text1"/>
                <w:u w:val="single"/>
                <w:lang w:val="fr-FR"/>
              </w:rPr>
            </w:pPr>
            <w:r w:rsidRPr="0072739E">
              <w:rPr>
                <w:rFonts w:cstheme="minorHAnsi"/>
                <w:color w:val="000000" w:themeColor="text1"/>
                <w:u w:val="single"/>
                <w:lang w:val="fr-FR"/>
              </w:rPr>
              <w:t>IV. : Langues</w:t>
            </w:r>
          </w:p>
          <w:p w14:paraId="47F66FA2" w14:textId="77777777" w:rsidR="009428D5" w:rsidRPr="0072739E" w:rsidRDefault="009428D5" w:rsidP="00F27E24">
            <w:pPr>
              <w:jc w:val="both"/>
              <w:rPr>
                <w:rFonts w:cstheme="minorHAnsi"/>
                <w:color w:val="000000" w:themeColor="text1"/>
                <w:u w:val="single"/>
                <w:lang w:val="fr-FR"/>
              </w:rPr>
            </w:pPr>
          </w:p>
          <w:p w14:paraId="54256321" w14:textId="33C6DABD" w:rsidR="009428D5" w:rsidRPr="0072739E" w:rsidRDefault="009428D5" w:rsidP="00C66F9C">
            <w:pPr>
              <w:numPr>
                <w:ilvl w:val="0"/>
                <w:numId w:val="40"/>
              </w:numPr>
              <w:ind w:right="567"/>
              <w:jc w:val="both"/>
              <w:rPr>
                <w:rFonts w:eastAsia="Times New Roman" w:cs="Calibri"/>
                <w:bCs/>
                <w:lang w:val="fr-FR"/>
              </w:rPr>
            </w:pPr>
            <w:r w:rsidRPr="0072739E">
              <w:rPr>
                <w:lang w:val="fr-FR"/>
              </w:rPr>
              <w:t xml:space="preserve">Avoir une bonne maîtrise </w:t>
            </w:r>
            <w:r w:rsidR="006E506D" w:rsidRPr="0072739E">
              <w:rPr>
                <w:lang w:val="fr-FR"/>
              </w:rPr>
              <w:t>de l’anglais oral et écrit</w:t>
            </w:r>
          </w:p>
        </w:tc>
      </w:tr>
    </w:tbl>
    <w:p w14:paraId="3D1D159D" w14:textId="77777777" w:rsidR="00E85A07" w:rsidRPr="0072739E" w:rsidRDefault="00E85A07" w:rsidP="00E85A07">
      <w:pPr>
        <w:jc w:val="both"/>
        <w:rPr>
          <w:b/>
          <w:lang w:val="fr-CD"/>
        </w:rPr>
      </w:pPr>
    </w:p>
    <w:p w14:paraId="1FD309D2" w14:textId="77777777" w:rsidR="00E85A07" w:rsidRPr="0072739E" w:rsidRDefault="00E85A07" w:rsidP="00E85A07">
      <w:pPr>
        <w:jc w:val="both"/>
        <w:rPr>
          <w:b/>
          <w:lang w:val="fr-FR"/>
        </w:rPr>
      </w:pPr>
      <w:r w:rsidRPr="0072739E">
        <w:rPr>
          <w:b/>
        </w:rPr>
        <w:t>5.</w:t>
      </w:r>
      <w:r w:rsidRPr="0072739E">
        <w:rPr>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7443C7" w14:paraId="374A3E42" w14:textId="77777777" w:rsidTr="0048315A">
        <w:trPr>
          <w:trHeight w:val="755"/>
        </w:trPr>
        <w:tc>
          <w:tcPr>
            <w:tcW w:w="9576" w:type="dxa"/>
            <w:shd w:val="clear" w:color="auto" w:fill="auto"/>
          </w:tcPr>
          <w:p w14:paraId="7E2C7256" w14:textId="77777777" w:rsidR="00E85A07" w:rsidRPr="0072739E" w:rsidRDefault="00E85A07" w:rsidP="0048315A">
            <w:pPr>
              <w:spacing w:after="0" w:line="240" w:lineRule="auto"/>
              <w:jc w:val="both"/>
              <w:rPr>
                <w:lang w:val="fr-FR"/>
              </w:rPr>
            </w:pPr>
            <w:r w:rsidRPr="0072739E">
              <w:rPr>
                <w:lang w:val="fr-FR"/>
              </w:rPr>
              <w:t>Les consultant(e)s intéressé(e)s doivent inclure dans leurs offres les documents/informations ci-dessous :</w:t>
            </w:r>
          </w:p>
          <w:p w14:paraId="0A2B3E2A" w14:textId="77777777" w:rsidR="00E85A07" w:rsidRPr="0072739E" w:rsidRDefault="00E85A07" w:rsidP="0048315A">
            <w:pPr>
              <w:spacing w:after="0" w:line="240" w:lineRule="auto"/>
              <w:jc w:val="both"/>
              <w:rPr>
                <w:lang w:val="fr-FR"/>
              </w:rPr>
            </w:pPr>
          </w:p>
          <w:p w14:paraId="37FC7A8B" w14:textId="77777777" w:rsidR="00E85A07" w:rsidRPr="0072739E" w:rsidRDefault="00E85A07" w:rsidP="0048315A">
            <w:pPr>
              <w:spacing w:after="0" w:line="240" w:lineRule="auto"/>
              <w:jc w:val="both"/>
              <w:rPr>
                <w:b/>
                <w:lang w:val="fr-FR"/>
              </w:rPr>
            </w:pPr>
            <w:r w:rsidRPr="0072739E">
              <w:rPr>
                <w:b/>
                <w:lang w:val="fr-FR"/>
              </w:rPr>
              <w:t>1. Proposition technique :</w:t>
            </w:r>
          </w:p>
          <w:p w14:paraId="6BF6038E" w14:textId="77777777" w:rsidR="00E85A07" w:rsidRPr="0072739E" w:rsidRDefault="00E85A07" w:rsidP="0048315A">
            <w:pPr>
              <w:spacing w:after="0" w:line="240" w:lineRule="auto"/>
              <w:jc w:val="both"/>
              <w:rPr>
                <w:lang w:val="fr-FR"/>
              </w:rPr>
            </w:pPr>
          </w:p>
          <w:p w14:paraId="57F34F5A" w14:textId="77777777" w:rsidR="00E85A07" w:rsidRPr="0072739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72739E">
              <w:rPr>
                <w:rFonts w:eastAsia="Times New Roman" w:cs="Calibri"/>
                <w:color w:val="000000"/>
                <w:lang w:val="fr-FR"/>
              </w:rPr>
              <w:t>Un CV détaillé incluant notamment des activités passées et présentes en rapport avec la mission, l’expérience et les compétences attendues ;</w:t>
            </w:r>
          </w:p>
          <w:p w14:paraId="2C3817C6" w14:textId="77777777" w:rsidR="00E85A07" w:rsidRPr="0072739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72739E">
              <w:rPr>
                <w:rFonts w:eastAsia="Times New Roman" w:cs="Calibr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72739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72739E">
              <w:rPr>
                <w:rFonts w:eastAsia="Times New Roman"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72739E" w:rsidRDefault="00E85A07" w:rsidP="0048315A">
            <w:pPr>
              <w:spacing w:after="0" w:line="240" w:lineRule="auto"/>
              <w:jc w:val="both"/>
              <w:rPr>
                <w:lang w:val="fr-FR"/>
              </w:rPr>
            </w:pPr>
          </w:p>
          <w:p w14:paraId="3546F9E1" w14:textId="77777777" w:rsidR="00E85A07" w:rsidRPr="0072739E" w:rsidRDefault="00E85A07" w:rsidP="0048315A">
            <w:pPr>
              <w:spacing w:after="0" w:line="240" w:lineRule="auto"/>
              <w:jc w:val="both"/>
              <w:rPr>
                <w:b/>
                <w:lang w:val="fr-FR"/>
              </w:rPr>
            </w:pPr>
            <w:r w:rsidRPr="0072739E">
              <w:rPr>
                <w:b/>
                <w:lang w:val="fr-FR"/>
              </w:rPr>
              <w:t xml:space="preserve">2. Lettre d´offre avec une proposition financière </w:t>
            </w:r>
          </w:p>
          <w:p w14:paraId="7EECEE86" w14:textId="77777777" w:rsidR="00E85A07" w:rsidRPr="0072739E" w:rsidRDefault="00E85A07" w:rsidP="0048315A">
            <w:pPr>
              <w:spacing w:after="0" w:line="240" w:lineRule="auto"/>
              <w:jc w:val="both"/>
              <w:rPr>
                <w:lang w:val="fr-FR"/>
              </w:rPr>
            </w:pPr>
          </w:p>
          <w:p w14:paraId="628776F3" w14:textId="77777777" w:rsidR="00E85A07" w:rsidRPr="0072739E"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72739E">
              <w:rPr>
                <w:rFonts w:eastAsia="Times New Roman" w:cs="Calibri"/>
                <w:color w:val="000000"/>
                <w:lang w:val="fr-FR"/>
              </w:rPr>
              <w:t>La proposition financière doit indiquer :</w:t>
            </w:r>
          </w:p>
          <w:p w14:paraId="01EB3441" w14:textId="77777777" w:rsidR="00E85A07" w:rsidRPr="0072739E"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72739E">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72739E"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72739E">
              <w:rPr>
                <w:rFonts w:eastAsia="Times New Roman" w:cs="Calibri"/>
                <w:color w:val="000000"/>
                <w:lang w:val="fr-FR"/>
              </w:rPr>
              <w:t>Les honoraires du (de la) consultant (e) (indemnités journalières X nombre de jours ouvrables prévus).</w:t>
            </w:r>
          </w:p>
          <w:p w14:paraId="389495F9" w14:textId="77777777" w:rsidR="00E85A07" w:rsidRPr="0072739E" w:rsidRDefault="00E85A07" w:rsidP="0048315A">
            <w:pPr>
              <w:spacing w:after="0" w:line="240" w:lineRule="auto"/>
              <w:jc w:val="both"/>
              <w:rPr>
                <w:color w:val="FF0000"/>
                <w:lang w:val="fr-FR"/>
              </w:rPr>
            </w:pPr>
          </w:p>
        </w:tc>
      </w:tr>
    </w:tbl>
    <w:p w14:paraId="36434AC9" w14:textId="77777777" w:rsidR="00E85A07" w:rsidRPr="0072739E" w:rsidRDefault="00E85A07" w:rsidP="00E85A07">
      <w:pPr>
        <w:jc w:val="both"/>
        <w:rPr>
          <w:b/>
          <w:lang w:val="fr-FR"/>
        </w:rPr>
      </w:pPr>
    </w:p>
    <w:p w14:paraId="4E98CE92" w14:textId="77777777" w:rsidR="00E85A07" w:rsidRPr="0072739E" w:rsidRDefault="00E85A07" w:rsidP="00E85A07">
      <w:pPr>
        <w:jc w:val="both"/>
        <w:rPr>
          <w:b/>
          <w:lang w:val="fr-FR"/>
        </w:rPr>
      </w:pPr>
      <w:r w:rsidRPr="0072739E">
        <w:rPr>
          <w:b/>
          <w:lang w:val="fr-FR"/>
        </w:rPr>
        <w:lastRenderedPageBreak/>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7443C7" w14:paraId="279627E8" w14:textId="77777777" w:rsidTr="0048315A">
        <w:tc>
          <w:tcPr>
            <w:tcW w:w="9576" w:type="dxa"/>
            <w:shd w:val="clear" w:color="auto" w:fill="auto"/>
          </w:tcPr>
          <w:p w14:paraId="573990CD" w14:textId="77777777" w:rsidR="00E85A07" w:rsidRPr="0072739E" w:rsidRDefault="00E85A07" w:rsidP="0048315A">
            <w:pPr>
              <w:spacing w:after="0" w:line="240" w:lineRule="auto"/>
              <w:jc w:val="both"/>
              <w:rPr>
                <w:rFonts w:eastAsia="Times New Roman" w:cs="Calibri"/>
                <w:b/>
                <w:u w:val="single"/>
                <w:lang w:val="fr-FR" w:eastAsia="rw-RW"/>
              </w:rPr>
            </w:pPr>
          </w:p>
          <w:p w14:paraId="5674F98A" w14:textId="77777777" w:rsidR="00E85A07" w:rsidRPr="0072739E" w:rsidRDefault="00E85A07" w:rsidP="0048315A">
            <w:pPr>
              <w:spacing w:after="0" w:line="240" w:lineRule="auto"/>
              <w:jc w:val="both"/>
              <w:rPr>
                <w:rFonts w:eastAsia="Times New Roman" w:cs="Calibri"/>
                <w:b/>
                <w:u w:val="single"/>
                <w:lang w:val="fr-FR" w:eastAsia="rw-RW"/>
              </w:rPr>
            </w:pPr>
            <w:r w:rsidRPr="0072739E">
              <w:rPr>
                <w:rFonts w:eastAsia="Times New Roman" w:cs="Calibri"/>
                <w:b/>
                <w:u w:val="single"/>
                <w:lang w:val="fr-FR" w:eastAsia="rw-RW"/>
              </w:rPr>
              <w:t>Evaluation</w:t>
            </w:r>
          </w:p>
          <w:p w14:paraId="609600A4" w14:textId="77777777" w:rsidR="00E85A07" w:rsidRPr="0072739E" w:rsidRDefault="00E85A07" w:rsidP="0048315A">
            <w:pPr>
              <w:spacing w:after="0" w:line="240" w:lineRule="auto"/>
              <w:jc w:val="both"/>
              <w:rPr>
                <w:rFonts w:eastAsia="Times New Roman" w:cs="Calibri"/>
                <w:b/>
                <w:u w:val="single"/>
                <w:lang w:val="fr-FR" w:eastAsia="rw-RW"/>
              </w:rPr>
            </w:pPr>
          </w:p>
          <w:p w14:paraId="75A387CA" w14:textId="77777777" w:rsidR="00E85A07" w:rsidRPr="0072739E" w:rsidRDefault="00E85A07" w:rsidP="0048315A">
            <w:pPr>
              <w:spacing w:after="0" w:line="240" w:lineRule="auto"/>
              <w:jc w:val="both"/>
              <w:rPr>
                <w:rFonts w:eastAsia="Times New Roman" w:cs="Calibri"/>
                <w:bCs/>
                <w:lang w:val="fr-FR" w:eastAsia="rw-RW"/>
              </w:rPr>
            </w:pPr>
            <w:r w:rsidRPr="0072739E">
              <w:rPr>
                <w:rFonts w:eastAsia="Times New Roman" w:cs="Calibri"/>
                <w:bCs/>
                <w:lang w:val="fr-FR" w:eastAsia="rw-RW"/>
              </w:rPr>
              <w:t>L’évaluation des offres se déroule en deux temps. L’évaluation des propositions techniques est achevée avant l’ouverture et la comparaison des propositions financières.</w:t>
            </w:r>
          </w:p>
          <w:p w14:paraId="1D9D4606" w14:textId="77777777" w:rsidR="00E85A07" w:rsidRPr="0072739E" w:rsidRDefault="00E85A07" w:rsidP="0048315A">
            <w:pPr>
              <w:spacing w:after="0" w:line="240" w:lineRule="auto"/>
              <w:jc w:val="both"/>
              <w:rPr>
                <w:rFonts w:eastAsia="Times New Roman" w:cs="Calibri"/>
                <w:bCs/>
                <w:lang w:val="fr-FR" w:eastAsia="rw-RW"/>
              </w:rPr>
            </w:pPr>
          </w:p>
          <w:p w14:paraId="35940E8D" w14:textId="77777777" w:rsidR="00E85A07" w:rsidRPr="0072739E" w:rsidRDefault="00E85A07" w:rsidP="0048315A">
            <w:pPr>
              <w:spacing w:after="0" w:line="240" w:lineRule="auto"/>
              <w:jc w:val="both"/>
              <w:rPr>
                <w:rFonts w:eastAsia="Times New Roman" w:cs="Calibri"/>
                <w:bCs/>
                <w:lang w:val="fr-FR" w:eastAsia="rw-RW"/>
              </w:rPr>
            </w:pPr>
            <w:r w:rsidRPr="0072739E">
              <w:rPr>
                <w:rFonts w:eastAsia="Times New Roman" w:cs="Calibri"/>
                <w:bCs/>
                <w:lang w:val="fr-FR" w:eastAsia="rw-RW"/>
              </w:rPr>
              <w:t>Le marché sera attribué au/à la Consultant (e) ayant présenté le meilleur score combiné (rapport qualité/prix, évaluation cumulative).</w:t>
            </w:r>
          </w:p>
          <w:p w14:paraId="0BFEFDCF" w14:textId="77777777" w:rsidR="00E85A07" w:rsidRPr="0072739E" w:rsidRDefault="00E85A07" w:rsidP="0048315A">
            <w:pPr>
              <w:spacing w:after="0" w:line="240" w:lineRule="auto"/>
              <w:jc w:val="both"/>
              <w:rPr>
                <w:rFonts w:eastAsia="Times New Roman" w:cs="Calibri"/>
                <w:bCs/>
                <w:lang w:val="fr-FR" w:eastAsia="rw-RW"/>
              </w:rPr>
            </w:pPr>
          </w:p>
          <w:p w14:paraId="505BA5B8" w14:textId="77777777" w:rsidR="00E85A07" w:rsidRPr="0072739E" w:rsidRDefault="00E85A07" w:rsidP="0048315A">
            <w:pPr>
              <w:numPr>
                <w:ilvl w:val="0"/>
                <w:numId w:val="1"/>
              </w:numPr>
              <w:spacing w:after="0" w:line="240" w:lineRule="auto"/>
              <w:jc w:val="both"/>
              <w:rPr>
                <w:rFonts w:eastAsia="Times New Roman" w:cs="Calibri"/>
                <w:bCs/>
                <w:i/>
                <w:u w:val="single"/>
                <w:lang w:eastAsia="rw-RW"/>
              </w:rPr>
            </w:pPr>
            <w:r w:rsidRPr="0072739E">
              <w:rPr>
                <w:rFonts w:eastAsia="Times New Roman" w:cs="Calibri"/>
                <w:bCs/>
                <w:i/>
                <w:u w:val="single"/>
                <w:lang w:eastAsia="rw-RW"/>
              </w:rPr>
              <w:t>Les propositions techniques</w:t>
            </w:r>
          </w:p>
          <w:p w14:paraId="66F17489" w14:textId="77777777" w:rsidR="00E85A07" w:rsidRPr="0072739E" w:rsidRDefault="00E85A07" w:rsidP="0048315A">
            <w:pPr>
              <w:spacing w:after="0" w:line="240" w:lineRule="auto"/>
              <w:jc w:val="both"/>
              <w:rPr>
                <w:rFonts w:eastAsia="Times New Roman" w:cs="Calibri"/>
                <w:bCs/>
                <w:i/>
                <w:u w:val="single"/>
                <w:lang w:eastAsia="rw-RW"/>
              </w:rPr>
            </w:pPr>
          </w:p>
          <w:p w14:paraId="58108CCD" w14:textId="421F4E56" w:rsidR="00E85A07" w:rsidRPr="0072739E" w:rsidRDefault="00E85A07" w:rsidP="0048315A">
            <w:pPr>
              <w:spacing w:after="0" w:line="240" w:lineRule="auto"/>
              <w:jc w:val="both"/>
              <w:rPr>
                <w:rFonts w:cs="Calibri"/>
                <w:lang w:val="fr-FR"/>
              </w:rPr>
            </w:pPr>
            <w:r w:rsidRPr="0072739E">
              <w:rPr>
                <w:rFonts w:cs="Calibri"/>
                <w:lang w:val="fr-FR"/>
              </w:rPr>
              <w:t>Les propositions techniques seront évaluées sur leur degré de réponse par rapport aux termes de référence et sur la base des critères suivants :</w:t>
            </w:r>
          </w:p>
          <w:p w14:paraId="460D2404" w14:textId="77777777" w:rsidR="009428D5" w:rsidRPr="0072739E" w:rsidRDefault="009428D5" w:rsidP="0048315A">
            <w:pPr>
              <w:spacing w:after="0" w:line="240" w:lineRule="auto"/>
              <w:jc w:val="both"/>
              <w:rPr>
                <w:rFonts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7843"/>
              <w:gridCol w:w="1271"/>
            </w:tblGrid>
            <w:tr w:rsidR="009428D5" w:rsidRPr="0072739E" w14:paraId="1FE0DCD1" w14:textId="77777777" w:rsidTr="00D16DD7">
              <w:trPr>
                <w:trHeight w:val="661"/>
              </w:trPr>
              <w:tc>
                <w:tcPr>
                  <w:tcW w:w="7843"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D4664AD" w14:textId="77777777" w:rsidR="009428D5" w:rsidRPr="0072739E" w:rsidRDefault="009428D5" w:rsidP="009428D5">
                  <w:pPr>
                    <w:jc w:val="both"/>
                    <w:rPr>
                      <w:rFonts w:cstheme="minorHAnsi"/>
                      <w:b/>
                      <w:bCs/>
                      <w:snapToGrid w:val="0"/>
                      <w:color w:val="000000" w:themeColor="text1"/>
                      <w:lang w:eastAsia="fr-FR"/>
                    </w:rPr>
                  </w:pPr>
                  <w:proofErr w:type="spellStart"/>
                  <w:r w:rsidRPr="0072739E">
                    <w:rPr>
                      <w:rFonts w:cstheme="minorHAnsi"/>
                      <w:b/>
                      <w:bCs/>
                      <w:snapToGrid w:val="0"/>
                      <w:color w:val="000000" w:themeColor="text1"/>
                    </w:rPr>
                    <w:t>Critères</w:t>
                  </w:r>
                  <w:proofErr w:type="spellEnd"/>
                  <w:r w:rsidRPr="0072739E">
                    <w:rPr>
                      <w:rFonts w:cstheme="minorHAnsi"/>
                      <w:b/>
                      <w:bCs/>
                      <w:snapToGrid w:val="0"/>
                      <w:color w:val="000000" w:themeColor="text1"/>
                    </w:rPr>
                    <w:t xml:space="preserve"> </w:t>
                  </w:r>
                  <w:proofErr w:type="spellStart"/>
                  <w:r w:rsidRPr="0072739E">
                    <w:rPr>
                      <w:rFonts w:cstheme="minorHAnsi"/>
                      <w:b/>
                      <w:bCs/>
                      <w:snapToGrid w:val="0"/>
                      <w:color w:val="000000" w:themeColor="text1"/>
                    </w:rPr>
                    <w:t>d´évaluation</w:t>
                  </w:r>
                  <w:proofErr w:type="spellEnd"/>
                  <w:r w:rsidRPr="0072739E">
                    <w:rPr>
                      <w:rFonts w:cstheme="minorHAnsi"/>
                      <w:b/>
                      <w:bCs/>
                      <w:snapToGrid w:val="0"/>
                      <w:color w:val="000000" w:themeColor="text1"/>
                    </w:rPr>
                    <w:t xml:space="preserve"> </w:t>
                  </w:r>
                </w:p>
              </w:tc>
              <w:tc>
                <w:tcPr>
                  <w:tcW w:w="127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09143BF" w14:textId="77777777" w:rsidR="009428D5" w:rsidRPr="0072739E" w:rsidRDefault="009428D5" w:rsidP="009428D5">
                  <w:pPr>
                    <w:spacing w:line="240" w:lineRule="auto"/>
                    <w:jc w:val="both"/>
                    <w:rPr>
                      <w:rFonts w:cstheme="minorHAnsi"/>
                      <w:b/>
                      <w:bCs/>
                      <w:color w:val="000000" w:themeColor="text1"/>
                    </w:rPr>
                  </w:pPr>
                  <w:r w:rsidRPr="0072739E">
                    <w:rPr>
                      <w:rFonts w:cstheme="minorHAnsi"/>
                      <w:b/>
                      <w:bCs/>
                      <w:color w:val="000000" w:themeColor="text1"/>
                    </w:rPr>
                    <w:t>Points maximum</w:t>
                  </w:r>
                </w:p>
              </w:tc>
            </w:tr>
            <w:tr w:rsidR="009428D5" w:rsidRPr="0072739E" w14:paraId="1A213ECD" w14:textId="77777777" w:rsidTr="00D16DD7">
              <w:trPr>
                <w:trHeight w:val="1258"/>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3FD05" w14:textId="4BBC54E0" w:rsidR="009428D5" w:rsidRPr="0072739E" w:rsidRDefault="009428D5" w:rsidP="009428D5">
                  <w:pPr>
                    <w:jc w:val="both"/>
                    <w:rPr>
                      <w:rFonts w:cs="Arial"/>
                      <w:lang w:val="fr-FR"/>
                    </w:rPr>
                  </w:pPr>
                  <w:r w:rsidRPr="0072739E">
                    <w:rPr>
                      <w:snapToGrid w:val="0"/>
                      <w:color w:val="000000" w:themeColor="text1"/>
                      <w:lang w:val="fr-FR"/>
                    </w:rPr>
                    <w:t xml:space="preserve">Le/la soumissionnaire a-t-il/elle </w:t>
                  </w:r>
                  <w:r w:rsidR="00C66F9C" w:rsidRPr="0072739E">
                    <w:rPr>
                      <w:lang w:val="fr-FR"/>
                    </w:rPr>
                    <w:t>titulaire d’un diplôme d'études supérieures (Licence/Master) en économie, études de développement, sciences sociales ou une discipline connexe</w:t>
                  </w:r>
                  <w:r w:rsidR="003D1A64" w:rsidRPr="0072739E">
                    <w:rPr>
                      <w:rFonts w:cstheme="minorHAnsi"/>
                      <w:lang w:val="fr"/>
                    </w:rPr>
                    <w:t>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8E5A0C" w14:textId="3A663653" w:rsidR="009428D5" w:rsidRPr="0072739E" w:rsidRDefault="009428D5" w:rsidP="009428D5">
                  <w:pPr>
                    <w:spacing w:line="240" w:lineRule="auto"/>
                    <w:jc w:val="both"/>
                    <w:rPr>
                      <w:rFonts w:cstheme="minorHAnsi"/>
                      <w:color w:val="000000" w:themeColor="text1"/>
                    </w:rPr>
                  </w:pPr>
                  <w:r w:rsidRPr="0072739E">
                    <w:rPr>
                      <w:rFonts w:cstheme="minorHAnsi"/>
                      <w:color w:val="000000" w:themeColor="text1"/>
                    </w:rPr>
                    <w:t>1</w:t>
                  </w:r>
                  <w:r w:rsidR="00D16DD7" w:rsidRPr="0072739E">
                    <w:rPr>
                      <w:rFonts w:cstheme="minorHAnsi"/>
                      <w:color w:val="000000" w:themeColor="text1"/>
                    </w:rPr>
                    <w:t>5</w:t>
                  </w:r>
                </w:p>
              </w:tc>
            </w:tr>
            <w:tr w:rsidR="009428D5" w:rsidRPr="0072739E" w14:paraId="1DB697DC" w14:textId="77777777" w:rsidTr="00D16DD7">
              <w:trPr>
                <w:trHeight w:val="74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EC93BD" w14:textId="77777777" w:rsidR="00C66F9C" w:rsidRPr="0072739E" w:rsidRDefault="009428D5" w:rsidP="00C66F9C">
                  <w:pPr>
                    <w:spacing w:after="0" w:line="259" w:lineRule="auto"/>
                    <w:jc w:val="both"/>
                    <w:rPr>
                      <w:snapToGrid w:val="0"/>
                      <w:color w:val="000000" w:themeColor="text1"/>
                      <w:lang w:val="fr-FR"/>
                    </w:rPr>
                  </w:pPr>
                  <w:r w:rsidRPr="0072739E">
                    <w:rPr>
                      <w:snapToGrid w:val="0"/>
                      <w:color w:val="000000" w:themeColor="text1"/>
                      <w:lang w:val="fr-FR"/>
                    </w:rPr>
                    <w:t>Le/la soumissionnaire a-t-il/elle</w:t>
                  </w:r>
                  <w:r w:rsidR="00C66F9C" w:rsidRPr="0072739E">
                    <w:rPr>
                      <w:snapToGrid w:val="0"/>
                      <w:color w:val="000000" w:themeColor="text1"/>
                      <w:lang w:val="fr-FR"/>
                    </w:rPr>
                    <w:t> :</w:t>
                  </w:r>
                </w:p>
                <w:p w14:paraId="4118186A" w14:textId="44EC92E6" w:rsidR="00C66F9C" w:rsidRPr="0072739E" w:rsidRDefault="00C66F9C" w:rsidP="00C66F9C">
                  <w:pPr>
                    <w:spacing w:after="0" w:line="259" w:lineRule="auto"/>
                    <w:jc w:val="both"/>
                    <w:rPr>
                      <w:lang w:val="fr-FR"/>
                    </w:rPr>
                  </w:pPr>
                  <w:r w:rsidRPr="0072739E">
                    <w:rPr>
                      <w:snapToGrid w:val="0"/>
                      <w:color w:val="000000" w:themeColor="text1"/>
                      <w:lang w:val="fr-FR"/>
                    </w:rPr>
                    <w:t>-</w:t>
                  </w:r>
                  <w:r w:rsidR="009428D5" w:rsidRPr="0072739E">
                    <w:rPr>
                      <w:snapToGrid w:val="0"/>
                      <w:color w:val="000000" w:themeColor="text1"/>
                      <w:lang w:val="fr-FR"/>
                    </w:rPr>
                    <w:t xml:space="preserve"> </w:t>
                  </w:r>
                  <w:r w:rsidRPr="0072739E">
                    <w:rPr>
                      <w:lang w:val="fr-FR"/>
                    </w:rPr>
                    <w:t xml:space="preserve">au minimum de dix (10) ans d’expériences prouvées dans l’évaluation des besoins organisationnels en capacités ? </w:t>
                  </w:r>
                  <w:r w:rsidRPr="0072739E">
                    <w:rPr>
                      <w:b/>
                      <w:bCs/>
                      <w:lang w:val="fr-FR"/>
                    </w:rPr>
                    <w:t>10 pts</w:t>
                  </w:r>
                </w:p>
                <w:p w14:paraId="0872FA0B" w14:textId="66806B53" w:rsidR="009428D5" w:rsidRPr="0072739E" w:rsidRDefault="00C66F9C" w:rsidP="00C66F9C">
                  <w:pPr>
                    <w:spacing w:before="100" w:after="100"/>
                    <w:jc w:val="both"/>
                    <w:rPr>
                      <w:rFonts w:cstheme="minorHAnsi"/>
                      <w:lang w:val="fr-FR"/>
                    </w:rPr>
                  </w:pPr>
                  <w:r w:rsidRPr="0072739E">
                    <w:rPr>
                      <w:lang w:val="fr-FR"/>
                    </w:rPr>
                    <w:t xml:space="preserve">-conduit au moins 3 évaluations institutionnelles et organisationnelles de préférence des ONG (certificat de bonne exécution ou toute autre attestation) ? </w:t>
                  </w:r>
                  <w:r w:rsidRPr="0072739E">
                    <w:rPr>
                      <w:b/>
                      <w:bCs/>
                      <w:lang w:val="fr-FR"/>
                    </w:rPr>
                    <w:t>10 pts</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EF3AFC" w14:textId="77777777" w:rsidR="009428D5" w:rsidRPr="0072739E" w:rsidRDefault="009428D5" w:rsidP="009428D5">
                  <w:pPr>
                    <w:spacing w:line="240" w:lineRule="auto"/>
                    <w:jc w:val="both"/>
                    <w:rPr>
                      <w:rFonts w:cstheme="minorHAnsi"/>
                      <w:color w:val="000000" w:themeColor="text1"/>
                      <w:lang w:val="fr-FR"/>
                    </w:rPr>
                  </w:pPr>
                  <w:r w:rsidRPr="0072739E">
                    <w:rPr>
                      <w:rFonts w:cstheme="minorHAnsi"/>
                      <w:color w:val="000000" w:themeColor="text1"/>
                      <w:lang w:val="fr-FR"/>
                    </w:rPr>
                    <w:t>20</w:t>
                  </w:r>
                </w:p>
              </w:tc>
            </w:tr>
            <w:tr w:rsidR="009428D5" w:rsidRPr="0072739E" w14:paraId="4AC2A0DE" w14:textId="77777777" w:rsidTr="00D16DD7">
              <w:trPr>
                <w:trHeight w:val="895"/>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ECA340" w14:textId="024B8CB8" w:rsidR="009428D5" w:rsidRPr="0072739E" w:rsidRDefault="00C66F9C" w:rsidP="009428D5">
                  <w:pPr>
                    <w:spacing w:after="0"/>
                    <w:jc w:val="both"/>
                    <w:rPr>
                      <w:snapToGrid w:val="0"/>
                      <w:color w:val="000000" w:themeColor="text1"/>
                      <w:lang w:val="fr-FR"/>
                    </w:rPr>
                  </w:pPr>
                  <w:r w:rsidRPr="0072739E">
                    <w:rPr>
                      <w:lang w:val="fr-FR"/>
                    </w:rPr>
                    <w:t>L’approche méthodologique proposée est-elle claire et appropriée aux produits décrits/attendus dans les termes de référence ?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3F76F0" w14:textId="7DC86037" w:rsidR="009428D5" w:rsidRPr="0072739E" w:rsidRDefault="00C66F9C" w:rsidP="009428D5">
                  <w:pPr>
                    <w:spacing w:line="240" w:lineRule="auto"/>
                    <w:jc w:val="both"/>
                    <w:rPr>
                      <w:rFonts w:cstheme="minorHAnsi"/>
                      <w:color w:val="000000" w:themeColor="text1"/>
                      <w:lang w:val="fr-FR"/>
                    </w:rPr>
                  </w:pPr>
                  <w:r w:rsidRPr="0072739E">
                    <w:rPr>
                      <w:rFonts w:cstheme="minorHAnsi"/>
                      <w:color w:val="000000" w:themeColor="text1"/>
                      <w:lang w:val="fr-FR"/>
                    </w:rPr>
                    <w:t>45</w:t>
                  </w:r>
                </w:p>
              </w:tc>
            </w:tr>
            <w:tr w:rsidR="009428D5" w:rsidRPr="007443C7" w14:paraId="37FE7C90" w14:textId="77777777" w:rsidTr="00D16DD7">
              <w:trPr>
                <w:trHeight w:val="680"/>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B74FBF" w14:textId="7B5985BB" w:rsidR="009428D5" w:rsidRPr="0072739E" w:rsidRDefault="00D16DD7" w:rsidP="009428D5">
                  <w:pPr>
                    <w:spacing w:line="240" w:lineRule="auto"/>
                    <w:jc w:val="both"/>
                    <w:rPr>
                      <w:rFonts w:cstheme="minorHAnsi"/>
                      <w:snapToGrid w:val="0"/>
                      <w:color w:val="000000" w:themeColor="text1"/>
                      <w:lang w:val="fr-FR"/>
                    </w:rPr>
                  </w:pPr>
                  <w:r w:rsidRPr="0072739E">
                    <w:rPr>
                      <w:lang w:val="fr-FR"/>
                    </w:rPr>
                    <w:t>Le chronogramme/plan de travail proposé est-il cohérent et réaliste pour garantir la réalisation effective des principaux livrables attendus de la mission comme explicitée dans les TDR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7B086A" w14:textId="77777777" w:rsidR="009428D5" w:rsidRPr="008E3537" w:rsidRDefault="009428D5" w:rsidP="009428D5">
                  <w:pPr>
                    <w:spacing w:line="240" w:lineRule="auto"/>
                    <w:jc w:val="both"/>
                    <w:rPr>
                      <w:rFonts w:cstheme="minorHAnsi"/>
                      <w:color w:val="000000" w:themeColor="text1"/>
                      <w:lang w:val="fr-FR"/>
                    </w:rPr>
                  </w:pPr>
                  <w:r w:rsidRPr="008E3537">
                    <w:rPr>
                      <w:rFonts w:cstheme="minorHAnsi"/>
                      <w:color w:val="000000" w:themeColor="text1"/>
                      <w:lang w:val="fr-FR"/>
                    </w:rPr>
                    <w:t>20</w:t>
                  </w:r>
                </w:p>
              </w:tc>
            </w:tr>
            <w:tr w:rsidR="009428D5" w:rsidRPr="007443C7" w14:paraId="79B23CCF" w14:textId="77777777" w:rsidTr="00D16DD7">
              <w:trPr>
                <w:trHeight w:val="25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599180" w14:textId="77777777" w:rsidR="009428D5" w:rsidRPr="0072739E" w:rsidRDefault="009428D5" w:rsidP="009428D5">
                  <w:pPr>
                    <w:spacing w:line="240" w:lineRule="auto"/>
                    <w:jc w:val="both"/>
                    <w:rPr>
                      <w:rFonts w:cstheme="minorHAnsi"/>
                      <w:b/>
                      <w:bCs/>
                      <w:snapToGrid w:val="0"/>
                      <w:color w:val="000000" w:themeColor="text1"/>
                      <w:lang w:val="fr-FR"/>
                    </w:rPr>
                  </w:pPr>
                  <w:r w:rsidRPr="0072739E">
                    <w:rPr>
                      <w:rFonts w:cstheme="minorHAnsi"/>
                      <w:b/>
                      <w:bCs/>
                      <w:snapToGrid w:val="0"/>
                      <w:color w:val="000000" w:themeColor="text1"/>
                      <w:lang w:val="fr-FR"/>
                    </w:rPr>
                    <w:t xml:space="preserve">Total note proposition technique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2F8FF3" w14:textId="77777777" w:rsidR="009428D5" w:rsidRPr="0072739E" w:rsidRDefault="009428D5" w:rsidP="009428D5">
                  <w:pPr>
                    <w:spacing w:line="240" w:lineRule="auto"/>
                    <w:jc w:val="both"/>
                    <w:rPr>
                      <w:rFonts w:cstheme="minorHAnsi"/>
                      <w:b/>
                      <w:bCs/>
                      <w:color w:val="000000" w:themeColor="text1"/>
                      <w:lang w:val="fr-FR"/>
                    </w:rPr>
                  </w:pPr>
                  <w:r w:rsidRPr="0072739E">
                    <w:rPr>
                      <w:rFonts w:cstheme="minorHAnsi"/>
                      <w:b/>
                      <w:bCs/>
                      <w:color w:val="000000" w:themeColor="text1"/>
                      <w:lang w:val="fr-FR"/>
                    </w:rPr>
                    <w:t>100</w:t>
                  </w:r>
                </w:p>
              </w:tc>
            </w:tr>
          </w:tbl>
          <w:p w14:paraId="0DF676EF" w14:textId="77777777" w:rsidR="00E85A07" w:rsidRPr="0072739E" w:rsidRDefault="00E85A07" w:rsidP="0048315A">
            <w:pPr>
              <w:spacing w:after="0" w:line="240" w:lineRule="auto"/>
              <w:jc w:val="both"/>
              <w:rPr>
                <w:rFonts w:cs="Calibri"/>
                <w:lang w:val="fr-FR"/>
              </w:rPr>
            </w:pPr>
          </w:p>
          <w:p w14:paraId="2FA834BC" w14:textId="77777777" w:rsidR="00E85A07" w:rsidRPr="0072739E" w:rsidRDefault="00E85A07" w:rsidP="0048315A">
            <w:pPr>
              <w:spacing w:after="0" w:line="240" w:lineRule="auto"/>
              <w:jc w:val="both"/>
              <w:rPr>
                <w:rFonts w:eastAsia="Times New Roman"/>
                <w:bCs/>
                <w:lang w:val="fr-FR" w:eastAsia="rw-RW"/>
              </w:rPr>
            </w:pPr>
          </w:p>
          <w:p w14:paraId="62FBDD19" w14:textId="77777777" w:rsidR="00E85A07" w:rsidRPr="0072739E" w:rsidRDefault="00E85A07" w:rsidP="0048315A">
            <w:pPr>
              <w:spacing w:after="0" w:line="240" w:lineRule="auto"/>
              <w:jc w:val="both"/>
              <w:rPr>
                <w:rFonts w:cs="Calibri"/>
                <w:b/>
                <w:lang w:val="fr-FR"/>
              </w:rPr>
            </w:pPr>
            <w:r w:rsidRPr="0072739E">
              <w:rPr>
                <w:rFonts w:cs="Calibri"/>
                <w:b/>
                <w:lang w:val="fr-FR"/>
              </w:rPr>
              <w:t>Seront jugées qualifiées, les propositions techniques qui obtiendront 70% de la note maximale de 100 points ; cette note technique sera pondérée a 70%.</w:t>
            </w:r>
          </w:p>
          <w:p w14:paraId="735DE8E3" w14:textId="77777777" w:rsidR="00E85A07" w:rsidRPr="0072739E" w:rsidRDefault="00E85A07" w:rsidP="0048315A">
            <w:pPr>
              <w:spacing w:after="0" w:line="240" w:lineRule="auto"/>
              <w:jc w:val="both"/>
              <w:rPr>
                <w:rFonts w:cs="Calibri"/>
                <w:b/>
                <w:lang w:val="fr-FR"/>
              </w:rPr>
            </w:pPr>
          </w:p>
          <w:p w14:paraId="74BC4060" w14:textId="77777777" w:rsidR="00E85A07" w:rsidRPr="0072739E" w:rsidRDefault="00E85A07" w:rsidP="0048315A">
            <w:pPr>
              <w:numPr>
                <w:ilvl w:val="0"/>
                <w:numId w:val="1"/>
              </w:numPr>
              <w:spacing w:after="0" w:line="240" w:lineRule="auto"/>
              <w:contextualSpacing/>
              <w:jc w:val="both"/>
              <w:rPr>
                <w:rFonts w:eastAsia="Times New Roman" w:cs="Calibri"/>
                <w:i/>
                <w:u w:val="single"/>
                <w:lang w:eastAsia="rw-RW"/>
              </w:rPr>
            </w:pPr>
            <w:r w:rsidRPr="0072739E">
              <w:rPr>
                <w:rFonts w:eastAsia="Times New Roman" w:cs="Calibri"/>
                <w:i/>
                <w:u w:val="single"/>
                <w:lang w:eastAsia="rw-RW"/>
              </w:rPr>
              <w:lastRenderedPageBreak/>
              <w:t xml:space="preserve">Les propositions </w:t>
            </w:r>
            <w:proofErr w:type="spellStart"/>
            <w:r w:rsidRPr="0072739E">
              <w:rPr>
                <w:rFonts w:eastAsia="Times New Roman" w:cs="Calibri"/>
                <w:i/>
                <w:u w:val="single"/>
                <w:lang w:eastAsia="rw-RW"/>
              </w:rPr>
              <w:t>financières</w:t>
            </w:r>
            <w:proofErr w:type="spellEnd"/>
          </w:p>
          <w:p w14:paraId="74FEA313" w14:textId="77777777" w:rsidR="00E85A07" w:rsidRPr="0072739E" w:rsidRDefault="00E85A07" w:rsidP="0048315A">
            <w:pPr>
              <w:spacing w:after="0" w:line="240" w:lineRule="auto"/>
              <w:jc w:val="both"/>
              <w:rPr>
                <w:rFonts w:eastAsia="Times New Roman" w:cs="Calibri"/>
                <w:bCs/>
                <w:lang w:eastAsia="rw-RW"/>
              </w:rPr>
            </w:pPr>
          </w:p>
          <w:p w14:paraId="67C30803" w14:textId="77777777" w:rsidR="00E85A07" w:rsidRPr="0072739E" w:rsidRDefault="00E85A07" w:rsidP="0048315A">
            <w:pPr>
              <w:spacing w:after="0" w:line="240" w:lineRule="auto"/>
              <w:jc w:val="both"/>
              <w:rPr>
                <w:rFonts w:eastAsia="Times New Roman" w:cs="Calibri"/>
                <w:bCs/>
                <w:lang w:val="fr-FR" w:eastAsia="rw-RW"/>
              </w:rPr>
            </w:pPr>
            <w:r w:rsidRPr="0072739E">
              <w:rPr>
                <w:rFonts w:eastAsia="Times New Roman" w:cs="Calibri"/>
                <w:bCs/>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72739E" w:rsidRDefault="00E85A07" w:rsidP="0048315A">
            <w:pPr>
              <w:spacing w:after="0" w:line="240" w:lineRule="auto"/>
              <w:jc w:val="both"/>
              <w:rPr>
                <w:rFonts w:eastAsia="Times New Roman" w:cs="Calibri"/>
                <w:lang w:val="fr-FR" w:eastAsia="rw-RW"/>
              </w:rPr>
            </w:pPr>
            <w:r w:rsidRPr="0072739E">
              <w:rPr>
                <w:rFonts w:eastAsia="Times New Roman" w:cs="Calibr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72739E" w:rsidRDefault="00E85A07" w:rsidP="0048315A">
            <w:pPr>
              <w:spacing w:after="0" w:line="240" w:lineRule="auto"/>
              <w:jc w:val="both"/>
              <w:rPr>
                <w:rFonts w:eastAsia="Times New Roman" w:cs="Calibri"/>
                <w:lang w:val="fr-FR" w:eastAsia="rw-RW"/>
              </w:rPr>
            </w:pPr>
          </w:p>
          <w:p w14:paraId="55E7381E" w14:textId="380A437C" w:rsidR="00E85A07" w:rsidRPr="0072739E" w:rsidRDefault="00E85A07" w:rsidP="0048315A">
            <w:pPr>
              <w:spacing w:after="0" w:line="240" w:lineRule="auto"/>
              <w:jc w:val="both"/>
              <w:rPr>
                <w:rFonts w:eastAsia="Times New Roman" w:cs="Calibri"/>
                <w:b/>
                <w:i/>
                <w:lang w:val="fr-FR" w:eastAsia="rw-RW"/>
              </w:rPr>
            </w:pPr>
            <w:r w:rsidRPr="0072739E">
              <w:rPr>
                <w:rFonts w:eastAsia="Times New Roman" w:cs="Calibri"/>
                <w:b/>
                <w:i/>
                <w:lang w:val="fr-FR" w:eastAsia="rw-RW"/>
              </w:rPr>
              <w:t xml:space="preserve">Note financière A = [(Offre financière la moins </w:t>
            </w:r>
            <w:proofErr w:type="spellStart"/>
            <w:r w:rsidRPr="0072739E">
              <w:rPr>
                <w:rFonts w:eastAsia="Times New Roman" w:cs="Calibri"/>
                <w:b/>
                <w:i/>
                <w:lang w:val="fr-FR" w:eastAsia="rw-RW"/>
              </w:rPr>
              <w:t>disante</w:t>
            </w:r>
            <w:proofErr w:type="spellEnd"/>
            <w:r w:rsidRPr="0072739E">
              <w:rPr>
                <w:rFonts w:eastAsia="Times New Roman" w:cs="Calibri"/>
                <w:b/>
                <w:i/>
                <w:lang w:val="fr-FR" w:eastAsia="rw-RW"/>
              </w:rPr>
              <w:t>) /Offre financière de A] x 30</w:t>
            </w:r>
          </w:p>
          <w:p w14:paraId="2260C618" w14:textId="77777777" w:rsidR="00E85A07" w:rsidRPr="0072739E" w:rsidRDefault="00E85A07" w:rsidP="0048315A">
            <w:pPr>
              <w:spacing w:after="0" w:line="240" w:lineRule="auto"/>
              <w:jc w:val="both"/>
              <w:rPr>
                <w:rFonts w:eastAsia="Times New Roman" w:cs="Calibri"/>
                <w:b/>
                <w:i/>
                <w:u w:val="single"/>
                <w:lang w:val="fr-FR" w:eastAsia="rw-RW"/>
              </w:rPr>
            </w:pPr>
          </w:p>
          <w:p w14:paraId="759C4F79" w14:textId="77777777" w:rsidR="00E85A07" w:rsidRPr="0072739E" w:rsidRDefault="00E85A07" w:rsidP="0048315A">
            <w:pPr>
              <w:spacing w:after="0" w:line="240" w:lineRule="auto"/>
              <w:jc w:val="both"/>
              <w:rPr>
                <w:rFonts w:eastAsia="Times New Roman" w:cs="Calibri"/>
                <w:b/>
                <w:lang w:val="fr-FR" w:eastAsia="rw-RW"/>
              </w:rPr>
            </w:pPr>
            <w:r w:rsidRPr="0072739E">
              <w:rPr>
                <w:rFonts w:eastAsia="Times New Roman" w:cs="Calibri"/>
                <w:b/>
                <w:lang w:val="fr-FR" w:eastAsia="rw-RW"/>
              </w:rPr>
              <w:t>Le/la Consultant (e) avec le cumul de notes (Technique + Financière) le plus élevé sera retenu pour le contrat.</w:t>
            </w:r>
          </w:p>
          <w:p w14:paraId="08A1BD1C" w14:textId="77777777" w:rsidR="00E85A07" w:rsidRPr="0072739E" w:rsidRDefault="00E85A07" w:rsidP="0048315A">
            <w:pPr>
              <w:spacing w:after="0" w:line="240" w:lineRule="auto"/>
              <w:jc w:val="both"/>
              <w:rPr>
                <w:b/>
                <w:i/>
                <w:lang w:val="fr-FR"/>
              </w:rPr>
            </w:pPr>
          </w:p>
          <w:p w14:paraId="3FE0A13B" w14:textId="77777777" w:rsidR="00E85A07" w:rsidRPr="0072739E" w:rsidRDefault="00E85A07" w:rsidP="0048315A">
            <w:pPr>
              <w:spacing w:after="0" w:line="240" w:lineRule="auto"/>
              <w:jc w:val="both"/>
              <w:rPr>
                <w:b/>
                <w:i/>
                <w:lang w:val="fr-FR"/>
              </w:rPr>
            </w:pPr>
            <w:r w:rsidRPr="0072739E">
              <w:rPr>
                <w:b/>
                <w:i/>
                <w:lang w:val="fr-FR"/>
              </w:rPr>
              <w:t>Seulement les candidats ayant obtenu la note minimale combinée de 70/100 à l´évaluation technique seront considérés pour l’évaluation financière.</w:t>
            </w:r>
          </w:p>
        </w:tc>
      </w:tr>
    </w:tbl>
    <w:p w14:paraId="4685B018" w14:textId="77777777" w:rsidR="00E85A07" w:rsidRPr="0072739E" w:rsidRDefault="00E85A07" w:rsidP="00E85A07">
      <w:pPr>
        <w:jc w:val="both"/>
        <w:rPr>
          <w:b/>
          <w:lang w:val="fr-FR"/>
        </w:rPr>
      </w:pPr>
    </w:p>
    <w:p w14:paraId="11C16722" w14:textId="77777777" w:rsidR="00E85A07" w:rsidRPr="0072739E" w:rsidRDefault="00E85A07" w:rsidP="00E85A07">
      <w:pPr>
        <w:jc w:val="both"/>
        <w:rPr>
          <w:b/>
          <w:lang w:val="fr-FR"/>
        </w:rPr>
      </w:pPr>
      <w:r w:rsidRPr="0072739E">
        <w:rPr>
          <w:b/>
        </w:rPr>
        <w:t xml:space="preserve">8. </w:t>
      </w:r>
      <w:r w:rsidRPr="0072739E">
        <w:rPr>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7443C7" w14:paraId="03909FF5" w14:textId="77777777" w:rsidTr="0048315A">
        <w:trPr>
          <w:trHeight w:val="1801"/>
        </w:trPr>
        <w:tc>
          <w:tcPr>
            <w:tcW w:w="9576" w:type="dxa"/>
            <w:shd w:val="clear" w:color="auto" w:fill="auto"/>
          </w:tcPr>
          <w:p w14:paraId="439E31BB" w14:textId="77777777" w:rsidR="00E85A07" w:rsidRPr="0072739E" w:rsidRDefault="00E85A07" w:rsidP="0048315A">
            <w:pPr>
              <w:spacing w:after="0" w:line="240" w:lineRule="auto"/>
              <w:jc w:val="both"/>
              <w:rPr>
                <w:rFonts w:cs="Calibri"/>
                <w:lang w:val="fr-FR"/>
              </w:rPr>
            </w:pPr>
            <w:r w:rsidRPr="0072739E">
              <w:rPr>
                <w:rFonts w:cs="Calibr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72739E" w:rsidRDefault="00E85A07" w:rsidP="0048315A">
            <w:pPr>
              <w:spacing w:after="0" w:line="240" w:lineRule="auto"/>
              <w:jc w:val="both"/>
              <w:rPr>
                <w:rFonts w:cs="Calibri"/>
                <w:lang w:val="fr-FR"/>
              </w:rPr>
            </w:pPr>
          </w:p>
          <w:p w14:paraId="7CFFFCC2" w14:textId="77777777" w:rsidR="00E85A07" w:rsidRPr="0072739E" w:rsidRDefault="00E85A07" w:rsidP="0048315A">
            <w:pPr>
              <w:spacing w:after="0" w:line="240" w:lineRule="auto"/>
              <w:jc w:val="both"/>
              <w:rPr>
                <w:rFonts w:cs="Calibri"/>
                <w:lang w:val="fr-FR"/>
              </w:rPr>
            </w:pPr>
            <w:r w:rsidRPr="0072739E">
              <w:rPr>
                <w:rFonts w:cs="Calibri"/>
                <w:lang w:val="fr-FR"/>
              </w:rPr>
              <w:t xml:space="preserve">Le consultant retenu devra prendre toutes les dispositions nécessaires pour faire les </w:t>
            </w:r>
            <w:r w:rsidRPr="0072739E">
              <w:rPr>
                <w:rFonts w:cs="Calibri"/>
                <w:b/>
                <w:lang w:val="fr-FR"/>
              </w:rPr>
              <w:t xml:space="preserve">formations sécuritaires requises </w:t>
            </w:r>
            <w:r w:rsidRPr="0072739E">
              <w:rPr>
                <w:rFonts w:cs="Calibri"/>
                <w:lang w:val="fr-FR"/>
              </w:rPr>
              <w:t>avant tout démarrage de mission (ces certificats sont obtenus en ligne, le PNUD fournira tous les détails au consultant retenu au moment de l´attribution du contrat).</w:t>
            </w:r>
          </w:p>
        </w:tc>
      </w:tr>
    </w:tbl>
    <w:p w14:paraId="050D5CBB" w14:textId="77777777" w:rsidR="0018325D" w:rsidRPr="0072739E" w:rsidRDefault="0018325D" w:rsidP="00A24134">
      <w:pPr>
        <w:rPr>
          <w:rFonts w:cstheme="minorHAnsi"/>
          <w:b/>
          <w:u w:val="single"/>
          <w:lang w:val="fr-FR"/>
        </w:rPr>
      </w:pPr>
    </w:p>
    <w:p w14:paraId="6CAB27E1" w14:textId="77777777" w:rsidR="00EA50D0" w:rsidRPr="0072739E" w:rsidRDefault="002A1486" w:rsidP="00A24134">
      <w:pPr>
        <w:rPr>
          <w:rFonts w:cstheme="minorHAnsi"/>
          <w:b/>
          <w:sz w:val="28"/>
          <w:u w:val="single"/>
          <w:lang w:val="fr-FR"/>
        </w:rPr>
      </w:pPr>
      <w:r w:rsidRPr="0072739E">
        <w:rPr>
          <w:rFonts w:cstheme="minorHAnsi"/>
          <w:b/>
          <w:sz w:val="28"/>
          <w:u w:val="single"/>
          <w:lang w:val="fr-FR"/>
        </w:rPr>
        <w:t>ANNEX</w:t>
      </w:r>
      <w:r w:rsidR="00852471" w:rsidRPr="0072739E">
        <w:rPr>
          <w:rFonts w:cstheme="minorHAnsi"/>
          <w:b/>
          <w:sz w:val="28"/>
          <w:u w:val="single"/>
          <w:lang w:val="fr-FR"/>
        </w:rPr>
        <w:t>ES</w:t>
      </w:r>
    </w:p>
    <w:p w14:paraId="7D25DA8C" w14:textId="77777777" w:rsidR="00103276" w:rsidRPr="0072739E" w:rsidRDefault="0082245E" w:rsidP="00A24134">
      <w:pPr>
        <w:rPr>
          <w:rFonts w:cstheme="minorHAnsi"/>
          <w:b/>
          <w:lang w:val="fr-FR"/>
        </w:rPr>
      </w:pPr>
      <w:r w:rsidRPr="0072739E">
        <w:rPr>
          <w:rFonts w:cstheme="minorHAnsi"/>
          <w:b/>
          <w:lang w:val="fr-FR"/>
        </w:rPr>
        <w:t>ANNEX 1</w:t>
      </w:r>
      <w:r w:rsidR="00167362" w:rsidRPr="0072739E">
        <w:rPr>
          <w:rFonts w:cstheme="minorHAnsi"/>
          <w:b/>
          <w:lang w:val="fr-FR"/>
        </w:rPr>
        <w:t xml:space="preserve"> – Termes et Conditions des contrats IC (</w:t>
      </w:r>
      <w:proofErr w:type="spellStart"/>
      <w:r w:rsidR="00167362" w:rsidRPr="0072739E">
        <w:rPr>
          <w:rFonts w:cstheme="minorHAnsi"/>
          <w:b/>
          <w:lang w:val="fr-FR"/>
        </w:rPr>
        <w:t>Individual</w:t>
      </w:r>
      <w:proofErr w:type="spellEnd"/>
      <w:r w:rsidR="00167362" w:rsidRPr="0072739E">
        <w:rPr>
          <w:rFonts w:cstheme="minorHAnsi"/>
          <w:b/>
          <w:lang w:val="fr-FR"/>
        </w:rPr>
        <w:t xml:space="preserve"> </w:t>
      </w:r>
      <w:proofErr w:type="spellStart"/>
      <w:r w:rsidR="00167362" w:rsidRPr="0072739E">
        <w:rPr>
          <w:rFonts w:cstheme="minorHAnsi"/>
          <w:b/>
          <w:lang w:val="fr-FR"/>
        </w:rPr>
        <w:t>Contracts</w:t>
      </w:r>
      <w:proofErr w:type="spellEnd"/>
      <w:r w:rsidR="00167362" w:rsidRPr="0072739E">
        <w:rPr>
          <w:rFonts w:cstheme="minorHAnsi"/>
          <w:b/>
          <w:lang w:val="fr-FR"/>
        </w:rPr>
        <w:t>)</w:t>
      </w:r>
    </w:p>
    <w:bookmarkStart w:id="6" w:name="_MON_1440321617"/>
    <w:bookmarkEnd w:id="6"/>
    <w:p w14:paraId="303E17C9" w14:textId="77777777" w:rsidR="004B1614" w:rsidRPr="0072739E" w:rsidRDefault="00A24A6D" w:rsidP="00A24134">
      <w:pPr>
        <w:rPr>
          <w:rFonts w:cstheme="minorHAnsi"/>
          <w:b/>
          <w:lang w:val="fr-FR"/>
        </w:rPr>
      </w:pPr>
      <w:r w:rsidRPr="0072739E">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8.6pt;mso-width-percent:0;mso-height-percent:0;mso-width-percent:0;mso-height-percent:0" o:ole="">
            <v:imagedata r:id="rId14" o:title=""/>
          </v:shape>
          <o:OLEObject Type="Embed" ProgID="Word.Document.12" ShapeID="_x0000_i1025" DrawAspect="Icon" ObjectID="_1689671995" r:id="rId15">
            <o:FieldCodes>\s</o:FieldCodes>
          </o:OLEObject>
        </w:object>
      </w:r>
    </w:p>
    <w:p w14:paraId="59233549" w14:textId="247970D5" w:rsidR="00852471" w:rsidRPr="0072739E" w:rsidRDefault="00852471" w:rsidP="00A24134">
      <w:pPr>
        <w:rPr>
          <w:rFonts w:cstheme="minorHAnsi"/>
          <w:b/>
          <w:lang w:val="fr-FR"/>
        </w:rPr>
      </w:pPr>
      <w:r w:rsidRPr="0072739E">
        <w:rPr>
          <w:rFonts w:cstheme="minorHAnsi"/>
          <w:b/>
          <w:lang w:val="fr-FR"/>
        </w:rPr>
        <w:t xml:space="preserve">ANNEX 2 – </w:t>
      </w:r>
      <w:r w:rsidR="00BB6AA4" w:rsidRPr="0072739E">
        <w:rPr>
          <w:rFonts w:cstheme="minorHAnsi"/>
          <w:b/>
          <w:lang w:val="fr-FR"/>
        </w:rPr>
        <w:t xml:space="preserve">Lettre de soumission au PNUD confirmant l´intérêt et la disponibilité du prestataire individuel (IC) pour la mission </w:t>
      </w:r>
      <w:r w:rsidRPr="0072739E">
        <w:rPr>
          <w:rFonts w:cstheme="minorHAnsi"/>
          <w:b/>
          <w:lang w:val="fr-FR"/>
        </w:rPr>
        <w:t>(</w:t>
      </w:r>
      <w:r w:rsidR="00BB6AA4" w:rsidRPr="0072739E">
        <w:rPr>
          <w:rFonts w:cstheme="minorHAnsi"/>
          <w:b/>
          <w:lang w:val="fr-FR"/>
        </w:rPr>
        <w:t>y compris le tableau des couts</w:t>
      </w:r>
      <w:r w:rsidRPr="0072739E">
        <w:rPr>
          <w:rFonts w:cstheme="minorHAnsi"/>
          <w:b/>
          <w:lang w:val="fr-FR"/>
        </w:rPr>
        <w:t>)</w:t>
      </w:r>
    </w:p>
    <w:bookmarkStart w:id="7" w:name="_MON_1620108486"/>
    <w:bookmarkEnd w:id="7"/>
    <w:p w14:paraId="36C0255C" w14:textId="42FDDE4D" w:rsidR="00240981" w:rsidRPr="0072739E" w:rsidRDefault="00BB6AA4" w:rsidP="00C3053C">
      <w:pPr>
        <w:rPr>
          <w:rFonts w:cstheme="minorHAnsi"/>
          <w:b/>
          <w:noProof/>
          <w:lang w:val="fr-FR"/>
        </w:rPr>
      </w:pPr>
      <w:r w:rsidRPr="0072739E">
        <w:rPr>
          <w:rFonts w:cstheme="minorHAnsi"/>
          <w:b/>
          <w:noProof/>
          <w:lang w:val="fr-FR"/>
        </w:rPr>
        <w:object w:dxaOrig="1478" w:dyaOrig="973" w14:anchorId="37CD18BD">
          <v:shape id="_x0000_i1026" type="#_x0000_t75" style="width:73.8pt;height:48.6pt" o:ole="">
            <v:imagedata r:id="rId16" o:title=""/>
          </v:shape>
          <o:OLEObject Type="Embed" ProgID="Word.Document.12" ShapeID="_x0000_i1026" DrawAspect="Icon" ObjectID="_1689671996" r:id="rId17">
            <o:FieldCodes>\s</o:FieldCodes>
          </o:OLEObject>
        </w:object>
      </w:r>
    </w:p>
    <w:p w14:paraId="13B0A4DA" w14:textId="7AB10420" w:rsidR="00A1553F" w:rsidRPr="0072739E" w:rsidRDefault="00A1553F" w:rsidP="00C3053C">
      <w:pPr>
        <w:rPr>
          <w:rFonts w:cstheme="minorHAnsi"/>
          <w:b/>
          <w:noProof/>
          <w:lang w:val="fr-FR"/>
        </w:rPr>
      </w:pPr>
    </w:p>
    <w:p w14:paraId="73F84405" w14:textId="77777777" w:rsidR="00A1553F" w:rsidRPr="0072739E" w:rsidRDefault="00A1553F" w:rsidP="00C3053C">
      <w:pPr>
        <w:rPr>
          <w:rFonts w:cstheme="minorHAnsi"/>
          <w:b/>
          <w:lang w:val="fr-FR"/>
        </w:rPr>
      </w:pPr>
    </w:p>
    <w:sectPr w:rsidR="00A1553F" w:rsidRPr="0072739E"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C459" w14:textId="77777777" w:rsidR="00F6310A" w:rsidRDefault="00F6310A" w:rsidP="00A24134">
      <w:pPr>
        <w:spacing w:after="0" w:line="240" w:lineRule="auto"/>
      </w:pPr>
      <w:r>
        <w:separator/>
      </w:r>
    </w:p>
  </w:endnote>
  <w:endnote w:type="continuationSeparator" w:id="0">
    <w:p w14:paraId="40059F7C" w14:textId="77777777" w:rsidR="00F6310A" w:rsidRDefault="00F6310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3B0F" w14:textId="641CC062" w:rsidR="00CF529A" w:rsidRPr="00453FB9" w:rsidRDefault="00895812" w:rsidP="00CF529A">
    <w:pPr>
      <w:spacing w:after="0" w:line="240" w:lineRule="auto"/>
      <w:rPr>
        <w:rFonts w:eastAsia="Times New Roman" w:cstheme="minorHAnsi"/>
        <w:b/>
        <w:lang w:val="fr-FR" w:eastAsia="fr-FR"/>
      </w:rPr>
    </w:pPr>
    <w:r w:rsidRPr="00895812">
      <w:rPr>
        <w:rFonts w:eastAsia="Times New Roman" w:cstheme="minorHAnsi"/>
        <w:b/>
        <w:i/>
        <w:iCs/>
        <w:sz w:val="16"/>
        <w:szCs w:val="16"/>
        <w:lang w:val="fr-FR" w:eastAsia="rw-RW"/>
      </w:rPr>
      <w:t xml:space="preserve">Référence du dossier : </w:t>
    </w:r>
    <w:r w:rsidR="00B07105" w:rsidRPr="00453FB9">
      <w:rPr>
        <w:rFonts w:eastAsia="Times New Roman" w:cstheme="minorHAnsi"/>
        <w:b/>
        <w:lang w:val="fr-FR" w:eastAsia="rw-RW"/>
      </w:rPr>
      <w:t xml:space="preserve">: </w:t>
    </w:r>
    <w:r w:rsidR="00B07105" w:rsidRPr="00B07105">
      <w:rPr>
        <w:rFonts w:eastAsia="Times New Roman" w:cstheme="minorHAnsi"/>
        <w:bCs/>
        <w:i/>
        <w:iCs/>
        <w:sz w:val="16"/>
        <w:szCs w:val="16"/>
        <w:lang w:val="fr-FR" w:eastAsia="rw-RW"/>
      </w:rPr>
      <w:t>028/IC-</w:t>
    </w:r>
    <w:r w:rsidR="00E619F6">
      <w:rPr>
        <w:rFonts w:eastAsia="Times New Roman" w:cstheme="minorHAnsi"/>
        <w:bCs/>
        <w:i/>
        <w:iCs/>
        <w:sz w:val="16"/>
        <w:szCs w:val="16"/>
        <w:lang w:val="fr-FR" w:eastAsia="rw-RW"/>
      </w:rPr>
      <w:t>NAT</w:t>
    </w:r>
    <w:r w:rsidR="00B07105" w:rsidRPr="00B07105">
      <w:rPr>
        <w:rFonts w:eastAsia="Times New Roman" w:cstheme="minorHAnsi"/>
        <w:bCs/>
        <w:i/>
        <w:iCs/>
        <w:sz w:val="16"/>
        <w:szCs w:val="16"/>
        <w:lang w:val="fr-FR" w:eastAsia="rw-RW"/>
      </w:rPr>
      <w:t>/FONARED/2021</w:t>
    </w:r>
  </w:p>
  <w:p w14:paraId="18D1ADA0" w14:textId="27EC7149" w:rsidR="00895812" w:rsidRPr="00CF529A" w:rsidRDefault="00895812" w:rsidP="00895812">
    <w:pPr>
      <w:spacing w:after="0" w:line="240" w:lineRule="auto"/>
      <w:rPr>
        <w:rFonts w:eastAsia="Times New Roman" w:cstheme="minorHAnsi"/>
        <w:b/>
        <w:i/>
        <w:iCs/>
        <w:sz w:val="16"/>
        <w:szCs w:val="16"/>
        <w:u w:val="single"/>
        <w:lang w:val="fr-FR" w:eastAsia="fr-FR"/>
      </w:rPr>
    </w:pP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F165" w14:textId="77777777" w:rsidR="00F6310A" w:rsidRDefault="00F6310A" w:rsidP="00A24134">
      <w:pPr>
        <w:spacing w:after="0" w:line="240" w:lineRule="auto"/>
      </w:pPr>
      <w:r>
        <w:separator/>
      </w:r>
    </w:p>
  </w:footnote>
  <w:footnote w:type="continuationSeparator" w:id="0">
    <w:p w14:paraId="55E226B1" w14:textId="77777777" w:rsidR="00F6310A" w:rsidRDefault="00F6310A"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1858" w14:textId="77777777" w:rsidR="00BF6263" w:rsidRDefault="00BF6263" w:rsidP="00D56C11">
    <w:pPr>
      <w:pStyle w:val="En-tte"/>
      <w:jc w:val="right"/>
    </w:pPr>
    <w:r w:rsidRPr="001C0978">
      <w:rPr>
        <w:rFonts w:ascii="Times New Roman" w:hAnsi="Times New Roman"/>
        <w:b/>
        <w:noProof/>
        <w:sz w:val="28"/>
        <w:szCs w:val="28"/>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FED"/>
    <w:multiLevelType w:val="hybridMultilevel"/>
    <w:tmpl w:val="5CB02682"/>
    <w:lvl w:ilvl="0" w:tplc="F30E0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948AA"/>
    <w:multiLevelType w:val="hybridMultilevel"/>
    <w:tmpl w:val="CDDABDAC"/>
    <w:lvl w:ilvl="0" w:tplc="240C0001">
      <w:start w:val="1"/>
      <w:numFmt w:val="bullet"/>
      <w:lvlText w:val=""/>
      <w:lvlJc w:val="left"/>
      <w:pPr>
        <w:ind w:left="540" w:hanging="360"/>
      </w:pPr>
      <w:rPr>
        <w:rFonts w:ascii="Symbol" w:hAnsi="Symbol" w:hint="default"/>
      </w:rPr>
    </w:lvl>
    <w:lvl w:ilvl="1" w:tplc="240C0003" w:tentative="1">
      <w:start w:val="1"/>
      <w:numFmt w:val="bullet"/>
      <w:lvlText w:val="o"/>
      <w:lvlJc w:val="left"/>
      <w:pPr>
        <w:ind w:left="1260" w:hanging="360"/>
      </w:pPr>
      <w:rPr>
        <w:rFonts w:ascii="Courier New" w:hAnsi="Courier New" w:cs="Courier New" w:hint="default"/>
      </w:rPr>
    </w:lvl>
    <w:lvl w:ilvl="2" w:tplc="240C0005" w:tentative="1">
      <w:start w:val="1"/>
      <w:numFmt w:val="bullet"/>
      <w:lvlText w:val=""/>
      <w:lvlJc w:val="left"/>
      <w:pPr>
        <w:ind w:left="1980" w:hanging="360"/>
      </w:pPr>
      <w:rPr>
        <w:rFonts w:ascii="Wingdings" w:hAnsi="Wingdings" w:hint="default"/>
      </w:rPr>
    </w:lvl>
    <w:lvl w:ilvl="3" w:tplc="240C0001" w:tentative="1">
      <w:start w:val="1"/>
      <w:numFmt w:val="bullet"/>
      <w:lvlText w:val=""/>
      <w:lvlJc w:val="left"/>
      <w:pPr>
        <w:ind w:left="2700" w:hanging="360"/>
      </w:pPr>
      <w:rPr>
        <w:rFonts w:ascii="Symbol" w:hAnsi="Symbol" w:hint="default"/>
      </w:rPr>
    </w:lvl>
    <w:lvl w:ilvl="4" w:tplc="240C0003" w:tentative="1">
      <w:start w:val="1"/>
      <w:numFmt w:val="bullet"/>
      <w:lvlText w:val="o"/>
      <w:lvlJc w:val="left"/>
      <w:pPr>
        <w:ind w:left="3420" w:hanging="360"/>
      </w:pPr>
      <w:rPr>
        <w:rFonts w:ascii="Courier New" w:hAnsi="Courier New" w:cs="Courier New" w:hint="default"/>
      </w:rPr>
    </w:lvl>
    <w:lvl w:ilvl="5" w:tplc="240C0005" w:tentative="1">
      <w:start w:val="1"/>
      <w:numFmt w:val="bullet"/>
      <w:lvlText w:val=""/>
      <w:lvlJc w:val="left"/>
      <w:pPr>
        <w:ind w:left="4140" w:hanging="360"/>
      </w:pPr>
      <w:rPr>
        <w:rFonts w:ascii="Wingdings" w:hAnsi="Wingdings" w:hint="default"/>
      </w:rPr>
    </w:lvl>
    <w:lvl w:ilvl="6" w:tplc="240C0001" w:tentative="1">
      <w:start w:val="1"/>
      <w:numFmt w:val="bullet"/>
      <w:lvlText w:val=""/>
      <w:lvlJc w:val="left"/>
      <w:pPr>
        <w:ind w:left="4860" w:hanging="360"/>
      </w:pPr>
      <w:rPr>
        <w:rFonts w:ascii="Symbol" w:hAnsi="Symbol" w:hint="default"/>
      </w:rPr>
    </w:lvl>
    <w:lvl w:ilvl="7" w:tplc="240C0003" w:tentative="1">
      <w:start w:val="1"/>
      <w:numFmt w:val="bullet"/>
      <w:lvlText w:val="o"/>
      <w:lvlJc w:val="left"/>
      <w:pPr>
        <w:ind w:left="5580" w:hanging="360"/>
      </w:pPr>
      <w:rPr>
        <w:rFonts w:ascii="Courier New" w:hAnsi="Courier New" w:cs="Courier New" w:hint="default"/>
      </w:rPr>
    </w:lvl>
    <w:lvl w:ilvl="8" w:tplc="240C0005" w:tentative="1">
      <w:start w:val="1"/>
      <w:numFmt w:val="bullet"/>
      <w:lvlText w:val=""/>
      <w:lvlJc w:val="left"/>
      <w:pPr>
        <w:ind w:left="6300" w:hanging="360"/>
      </w:pPr>
      <w:rPr>
        <w:rFonts w:ascii="Wingdings" w:hAnsi="Wingdings" w:hint="default"/>
      </w:rPr>
    </w:lvl>
  </w:abstractNum>
  <w:abstractNum w:abstractNumId="2"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2D0D08"/>
    <w:multiLevelType w:val="hybridMultilevel"/>
    <w:tmpl w:val="7D3C07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15:restartNumberingAfterBreak="0">
    <w:nsid w:val="10BC420D"/>
    <w:multiLevelType w:val="hybridMultilevel"/>
    <w:tmpl w:val="48A434A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0"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684343"/>
    <w:multiLevelType w:val="hybridMultilevel"/>
    <w:tmpl w:val="E7B46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B8109C"/>
    <w:multiLevelType w:val="hybridMultilevel"/>
    <w:tmpl w:val="284C327E"/>
    <w:lvl w:ilvl="0" w:tplc="240C0001">
      <w:start w:val="1"/>
      <w:numFmt w:val="bullet"/>
      <w:lvlText w:val=""/>
      <w:lvlJc w:val="left"/>
      <w:pPr>
        <w:ind w:left="1440" w:hanging="360"/>
      </w:pPr>
      <w:rPr>
        <w:rFonts w:ascii="Symbol" w:hAnsi="Symbol"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14" w15:restartNumberingAfterBreak="0">
    <w:nsid w:val="2E6E71AE"/>
    <w:multiLevelType w:val="hybridMultilevel"/>
    <w:tmpl w:val="E416B476"/>
    <w:lvl w:ilvl="0" w:tplc="B2A041FA">
      <w:numFmt w:val="bullet"/>
      <w:lvlText w:val=""/>
      <w:lvlJc w:val="left"/>
      <w:pPr>
        <w:ind w:left="720" w:hanging="360"/>
      </w:pPr>
      <w:rPr>
        <w:rFonts w:ascii="Symbol" w:eastAsiaTheme="minorHAnsi" w:hAnsi="Symbol" w:cstheme="minorBid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5"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A0023"/>
    <w:multiLevelType w:val="hybridMultilevel"/>
    <w:tmpl w:val="A0FEE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F8515B3"/>
    <w:multiLevelType w:val="hybridMultilevel"/>
    <w:tmpl w:val="235258B4"/>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2" w15:restartNumberingAfterBreak="0">
    <w:nsid w:val="461609B5"/>
    <w:multiLevelType w:val="hybridMultilevel"/>
    <w:tmpl w:val="5E566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545768"/>
    <w:multiLevelType w:val="hybridMultilevel"/>
    <w:tmpl w:val="CDC0FC4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4" w15:restartNumberingAfterBreak="0">
    <w:nsid w:val="4A6C4645"/>
    <w:multiLevelType w:val="hybridMultilevel"/>
    <w:tmpl w:val="448C28EC"/>
    <w:lvl w:ilvl="0" w:tplc="52367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A725A"/>
    <w:multiLevelType w:val="hybridMultilevel"/>
    <w:tmpl w:val="71F8C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8"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54D10CEE"/>
    <w:multiLevelType w:val="hybridMultilevel"/>
    <w:tmpl w:val="3EDE4064"/>
    <w:lvl w:ilvl="0" w:tplc="BAFA9BD2">
      <w:start w:val="3"/>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45118C"/>
    <w:multiLevelType w:val="hybridMultilevel"/>
    <w:tmpl w:val="CA80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5"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82C85"/>
    <w:multiLevelType w:val="hybridMultilevel"/>
    <w:tmpl w:val="5BAC5F8E"/>
    <w:lvl w:ilvl="0" w:tplc="919EC8EE">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15:restartNumberingAfterBreak="0">
    <w:nsid w:val="68512616"/>
    <w:multiLevelType w:val="hybridMultilevel"/>
    <w:tmpl w:val="659818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0C10D1"/>
    <w:multiLevelType w:val="hybridMultilevel"/>
    <w:tmpl w:val="5FFEFB4C"/>
    <w:lvl w:ilvl="0" w:tplc="240C000F">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6E674142"/>
    <w:multiLevelType w:val="hybridMultilevel"/>
    <w:tmpl w:val="F8FC9E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1"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C19F2"/>
    <w:multiLevelType w:val="hybridMultilevel"/>
    <w:tmpl w:val="0A861BDA"/>
    <w:lvl w:ilvl="0" w:tplc="B2A041FA">
      <w:numFmt w:val="bullet"/>
      <w:lvlText w:val=""/>
      <w:lvlJc w:val="left"/>
      <w:pPr>
        <w:ind w:left="720" w:hanging="360"/>
      </w:pPr>
      <w:rPr>
        <w:rFonts w:ascii="Symbol" w:eastAsiaTheme="minorHAnsi" w:hAnsi="Symbol" w:cstheme="minorBidi"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3" w15:restartNumberingAfterBreak="0">
    <w:nsid w:val="7D5C74F1"/>
    <w:multiLevelType w:val="hybridMultilevel"/>
    <w:tmpl w:val="B16CEAD2"/>
    <w:lvl w:ilvl="0" w:tplc="8AE2902E">
      <w:start w:val="2"/>
      <w:numFmt w:val="bullet"/>
      <w:lvlText w:val="-"/>
      <w:lvlJc w:val="left"/>
      <w:pPr>
        <w:ind w:left="1080" w:hanging="360"/>
      </w:pPr>
      <w:rPr>
        <w:rFonts w:ascii="Arial" w:eastAsiaTheme="minorHAnsi" w:hAnsi="Arial" w:cs="Aria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num w:numId="1">
    <w:abstractNumId w:val="32"/>
  </w:num>
  <w:num w:numId="2">
    <w:abstractNumId w:val="30"/>
  </w:num>
  <w:num w:numId="3">
    <w:abstractNumId w:val="5"/>
  </w:num>
  <w:num w:numId="4">
    <w:abstractNumId w:val="11"/>
  </w:num>
  <w:num w:numId="5">
    <w:abstractNumId w:val="27"/>
  </w:num>
  <w:num w:numId="6">
    <w:abstractNumId w:val="8"/>
  </w:num>
  <w:num w:numId="7">
    <w:abstractNumId w:val="41"/>
  </w:num>
  <w:num w:numId="8">
    <w:abstractNumId w:val="26"/>
  </w:num>
  <w:num w:numId="9">
    <w:abstractNumId w:val="33"/>
  </w:num>
  <w:num w:numId="10">
    <w:abstractNumId w:val="15"/>
  </w:num>
  <w:num w:numId="11">
    <w:abstractNumId w:val="17"/>
  </w:num>
  <w:num w:numId="12">
    <w:abstractNumId w:val="2"/>
  </w:num>
  <w:num w:numId="13">
    <w:abstractNumId w:val="18"/>
  </w:num>
  <w:num w:numId="14">
    <w:abstractNumId w:val="10"/>
  </w:num>
  <w:num w:numId="15">
    <w:abstractNumId w:val="16"/>
  </w:num>
  <w:num w:numId="16">
    <w:abstractNumId w:val="4"/>
  </w:num>
  <w:num w:numId="17">
    <w:abstractNumId w:val="20"/>
  </w:num>
  <w:num w:numId="18">
    <w:abstractNumId w:val="28"/>
  </w:num>
  <w:num w:numId="19">
    <w:abstractNumId w:val="9"/>
  </w:num>
  <w:num w:numId="20">
    <w:abstractNumId w:val="40"/>
  </w:num>
  <w:num w:numId="21">
    <w:abstractNumId w:val="34"/>
  </w:num>
  <w:num w:numId="22">
    <w:abstractNumId w:val="1"/>
  </w:num>
  <w:num w:numId="23">
    <w:abstractNumId w:val="6"/>
  </w:num>
  <w:num w:numId="24">
    <w:abstractNumId w:val="23"/>
  </w:num>
  <w:num w:numId="25">
    <w:abstractNumId w:val="21"/>
  </w:num>
  <w:num w:numId="26">
    <w:abstractNumId w:val="7"/>
  </w:num>
  <w:num w:numId="27">
    <w:abstractNumId w:val="37"/>
  </w:num>
  <w:num w:numId="28">
    <w:abstractNumId w:val="19"/>
  </w:num>
  <w:num w:numId="29">
    <w:abstractNumId w:val="13"/>
  </w:num>
  <w:num w:numId="30">
    <w:abstractNumId w:val="38"/>
  </w:num>
  <w:num w:numId="31">
    <w:abstractNumId w:val="43"/>
  </w:num>
  <w:num w:numId="32">
    <w:abstractNumId w:val="36"/>
  </w:num>
  <w:num w:numId="33">
    <w:abstractNumId w:val="22"/>
  </w:num>
  <w:num w:numId="34">
    <w:abstractNumId w:val="35"/>
  </w:num>
  <w:num w:numId="35">
    <w:abstractNumId w:val="24"/>
  </w:num>
  <w:num w:numId="36">
    <w:abstractNumId w:val="0"/>
  </w:num>
  <w:num w:numId="37">
    <w:abstractNumId w:val="29"/>
  </w:num>
  <w:num w:numId="38">
    <w:abstractNumId w:val="25"/>
  </w:num>
  <w:num w:numId="39">
    <w:abstractNumId w:val="3"/>
  </w:num>
  <w:num w:numId="40">
    <w:abstractNumId w:val="12"/>
  </w:num>
  <w:num w:numId="41">
    <w:abstractNumId w:val="39"/>
  </w:num>
  <w:num w:numId="42">
    <w:abstractNumId w:val="31"/>
  </w:num>
  <w:num w:numId="43">
    <w:abstractNumId w:val="42"/>
  </w:num>
  <w:num w:numId="4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A87"/>
    <w:rsid w:val="0001012F"/>
    <w:rsid w:val="000121F0"/>
    <w:rsid w:val="0001469E"/>
    <w:rsid w:val="00023420"/>
    <w:rsid w:val="000247EB"/>
    <w:rsid w:val="00027DB2"/>
    <w:rsid w:val="000440EC"/>
    <w:rsid w:val="00057DA8"/>
    <w:rsid w:val="00076BC5"/>
    <w:rsid w:val="0008283A"/>
    <w:rsid w:val="000853CD"/>
    <w:rsid w:val="00086485"/>
    <w:rsid w:val="00092DBB"/>
    <w:rsid w:val="000964DE"/>
    <w:rsid w:val="00097CE8"/>
    <w:rsid w:val="000A6993"/>
    <w:rsid w:val="000B254C"/>
    <w:rsid w:val="000D2201"/>
    <w:rsid w:val="000D7BD3"/>
    <w:rsid w:val="000E1EB5"/>
    <w:rsid w:val="000E2C6B"/>
    <w:rsid w:val="000E45E5"/>
    <w:rsid w:val="000E5D2F"/>
    <w:rsid w:val="000E6FDF"/>
    <w:rsid w:val="000F0DC3"/>
    <w:rsid w:val="00103276"/>
    <w:rsid w:val="00121461"/>
    <w:rsid w:val="00123982"/>
    <w:rsid w:val="00127376"/>
    <w:rsid w:val="00134850"/>
    <w:rsid w:val="00134A66"/>
    <w:rsid w:val="001446F6"/>
    <w:rsid w:val="00144DE7"/>
    <w:rsid w:val="001473B3"/>
    <w:rsid w:val="00151CC7"/>
    <w:rsid w:val="00154511"/>
    <w:rsid w:val="00157D70"/>
    <w:rsid w:val="00164555"/>
    <w:rsid w:val="00167362"/>
    <w:rsid w:val="00170654"/>
    <w:rsid w:val="00170915"/>
    <w:rsid w:val="00173BB8"/>
    <w:rsid w:val="00174B83"/>
    <w:rsid w:val="00180DF8"/>
    <w:rsid w:val="0018325D"/>
    <w:rsid w:val="001922DD"/>
    <w:rsid w:val="001922FE"/>
    <w:rsid w:val="001A0DCE"/>
    <w:rsid w:val="001A7B70"/>
    <w:rsid w:val="001C0847"/>
    <w:rsid w:val="001C10E0"/>
    <w:rsid w:val="001C2F5F"/>
    <w:rsid w:val="001C3229"/>
    <w:rsid w:val="001C7567"/>
    <w:rsid w:val="001D6CD5"/>
    <w:rsid w:val="001E0176"/>
    <w:rsid w:val="001E22BC"/>
    <w:rsid w:val="001E30BA"/>
    <w:rsid w:val="00200AA0"/>
    <w:rsid w:val="00210248"/>
    <w:rsid w:val="0021101E"/>
    <w:rsid w:val="00213A46"/>
    <w:rsid w:val="00213D4A"/>
    <w:rsid w:val="00215236"/>
    <w:rsid w:val="00221BAA"/>
    <w:rsid w:val="002223E0"/>
    <w:rsid w:val="00240981"/>
    <w:rsid w:val="00243008"/>
    <w:rsid w:val="002526AF"/>
    <w:rsid w:val="0026123E"/>
    <w:rsid w:val="00270AEA"/>
    <w:rsid w:val="00271786"/>
    <w:rsid w:val="00272CBB"/>
    <w:rsid w:val="002778D9"/>
    <w:rsid w:val="00277E8A"/>
    <w:rsid w:val="00287F49"/>
    <w:rsid w:val="002A0E25"/>
    <w:rsid w:val="002A1486"/>
    <w:rsid w:val="002A40BE"/>
    <w:rsid w:val="002A57CC"/>
    <w:rsid w:val="002A5E51"/>
    <w:rsid w:val="002A6182"/>
    <w:rsid w:val="002A64C5"/>
    <w:rsid w:val="002A7413"/>
    <w:rsid w:val="002B0A5E"/>
    <w:rsid w:val="002B197A"/>
    <w:rsid w:val="002C1499"/>
    <w:rsid w:val="002C2C8E"/>
    <w:rsid w:val="002C745A"/>
    <w:rsid w:val="002D4965"/>
    <w:rsid w:val="002E6AFF"/>
    <w:rsid w:val="002F34AA"/>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66465"/>
    <w:rsid w:val="003731CE"/>
    <w:rsid w:val="00374D57"/>
    <w:rsid w:val="003754C3"/>
    <w:rsid w:val="00377996"/>
    <w:rsid w:val="0038031A"/>
    <w:rsid w:val="003812A9"/>
    <w:rsid w:val="003836C0"/>
    <w:rsid w:val="00393024"/>
    <w:rsid w:val="00394B99"/>
    <w:rsid w:val="003977B2"/>
    <w:rsid w:val="003A19D7"/>
    <w:rsid w:val="003A22D4"/>
    <w:rsid w:val="003B0C3C"/>
    <w:rsid w:val="003B189C"/>
    <w:rsid w:val="003C5356"/>
    <w:rsid w:val="003D1A64"/>
    <w:rsid w:val="003F0258"/>
    <w:rsid w:val="003F640F"/>
    <w:rsid w:val="00403D3B"/>
    <w:rsid w:val="00420FEA"/>
    <w:rsid w:val="00431ED4"/>
    <w:rsid w:val="00432027"/>
    <w:rsid w:val="00440ECE"/>
    <w:rsid w:val="00443E94"/>
    <w:rsid w:val="00445903"/>
    <w:rsid w:val="00450361"/>
    <w:rsid w:val="00453FB9"/>
    <w:rsid w:val="00462C48"/>
    <w:rsid w:val="00464661"/>
    <w:rsid w:val="00473B49"/>
    <w:rsid w:val="004758AA"/>
    <w:rsid w:val="004762C8"/>
    <w:rsid w:val="0048306B"/>
    <w:rsid w:val="004830B9"/>
    <w:rsid w:val="00497F1C"/>
    <w:rsid w:val="004A2B79"/>
    <w:rsid w:val="004B1614"/>
    <w:rsid w:val="004D3F24"/>
    <w:rsid w:val="004E1860"/>
    <w:rsid w:val="004E3FA5"/>
    <w:rsid w:val="004E6556"/>
    <w:rsid w:val="004F4F1B"/>
    <w:rsid w:val="004F50EA"/>
    <w:rsid w:val="00504B1D"/>
    <w:rsid w:val="005063F9"/>
    <w:rsid w:val="0051215B"/>
    <w:rsid w:val="005131C5"/>
    <w:rsid w:val="00522104"/>
    <w:rsid w:val="00526069"/>
    <w:rsid w:val="005342F9"/>
    <w:rsid w:val="00540BD0"/>
    <w:rsid w:val="00550CF0"/>
    <w:rsid w:val="0055219C"/>
    <w:rsid w:val="00552801"/>
    <w:rsid w:val="00553F34"/>
    <w:rsid w:val="005561B0"/>
    <w:rsid w:val="00557FCC"/>
    <w:rsid w:val="0056423A"/>
    <w:rsid w:val="0057636F"/>
    <w:rsid w:val="00586D54"/>
    <w:rsid w:val="005A4C77"/>
    <w:rsid w:val="005B00D9"/>
    <w:rsid w:val="005B038A"/>
    <w:rsid w:val="005B06EA"/>
    <w:rsid w:val="005C3052"/>
    <w:rsid w:val="005C5B19"/>
    <w:rsid w:val="005E7853"/>
    <w:rsid w:val="005F1B65"/>
    <w:rsid w:val="005F1C17"/>
    <w:rsid w:val="005F5DD8"/>
    <w:rsid w:val="005F64C1"/>
    <w:rsid w:val="00605B7A"/>
    <w:rsid w:val="006060A5"/>
    <w:rsid w:val="00615FB7"/>
    <w:rsid w:val="0061692B"/>
    <w:rsid w:val="00625268"/>
    <w:rsid w:val="00627043"/>
    <w:rsid w:val="0063524A"/>
    <w:rsid w:val="00637859"/>
    <w:rsid w:val="006423E3"/>
    <w:rsid w:val="00642CC7"/>
    <w:rsid w:val="00653D95"/>
    <w:rsid w:val="0065681E"/>
    <w:rsid w:val="0065710B"/>
    <w:rsid w:val="00661750"/>
    <w:rsid w:val="0066198E"/>
    <w:rsid w:val="00662312"/>
    <w:rsid w:val="00663F69"/>
    <w:rsid w:val="00666EED"/>
    <w:rsid w:val="00671528"/>
    <w:rsid w:val="00676AD5"/>
    <w:rsid w:val="006822FB"/>
    <w:rsid w:val="00684307"/>
    <w:rsid w:val="00687FB1"/>
    <w:rsid w:val="00696C12"/>
    <w:rsid w:val="006C491D"/>
    <w:rsid w:val="006C5D0B"/>
    <w:rsid w:val="006D7FEC"/>
    <w:rsid w:val="006E1090"/>
    <w:rsid w:val="006E4092"/>
    <w:rsid w:val="006E4DAC"/>
    <w:rsid w:val="006E506D"/>
    <w:rsid w:val="006F32E7"/>
    <w:rsid w:val="006F4513"/>
    <w:rsid w:val="00711A47"/>
    <w:rsid w:val="00711F0F"/>
    <w:rsid w:val="00714950"/>
    <w:rsid w:val="00714D65"/>
    <w:rsid w:val="00715C37"/>
    <w:rsid w:val="00717476"/>
    <w:rsid w:val="007222BB"/>
    <w:rsid w:val="00722D7A"/>
    <w:rsid w:val="007255FB"/>
    <w:rsid w:val="00726A53"/>
    <w:rsid w:val="007271D2"/>
    <w:rsid w:val="0072739E"/>
    <w:rsid w:val="00732C06"/>
    <w:rsid w:val="00733BAA"/>
    <w:rsid w:val="007354EA"/>
    <w:rsid w:val="00741FDD"/>
    <w:rsid w:val="007443C7"/>
    <w:rsid w:val="00760BB3"/>
    <w:rsid w:val="00763D8C"/>
    <w:rsid w:val="007650C2"/>
    <w:rsid w:val="007654A8"/>
    <w:rsid w:val="007659D0"/>
    <w:rsid w:val="00765B08"/>
    <w:rsid w:val="00776FB1"/>
    <w:rsid w:val="007A00F5"/>
    <w:rsid w:val="007B467A"/>
    <w:rsid w:val="007B4EEB"/>
    <w:rsid w:val="007B6AE2"/>
    <w:rsid w:val="007C4235"/>
    <w:rsid w:val="007C60BB"/>
    <w:rsid w:val="007D382E"/>
    <w:rsid w:val="007E3539"/>
    <w:rsid w:val="007E4F76"/>
    <w:rsid w:val="00806135"/>
    <w:rsid w:val="008073A3"/>
    <w:rsid w:val="00810FC3"/>
    <w:rsid w:val="00816B78"/>
    <w:rsid w:val="008221DF"/>
    <w:rsid w:val="0082245E"/>
    <w:rsid w:val="00834D1A"/>
    <w:rsid w:val="0083711D"/>
    <w:rsid w:val="00837F09"/>
    <w:rsid w:val="008429D1"/>
    <w:rsid w:val="00845D5B"/>
    <w:rsid w:val="00852471"/>
    <w:rsid w:val="0086181A"/>
    <w:rsid w:val="008800F4"/>
    <w:rsid w:val="00881645"/>
    <w:rsid w:val="00882780"/>
    <w:rsid w:val="0088741C"/>
    <w:rsid w:val="00895812"/>
    <w:rsid w:val="00897B2A"/>
    <w:rsid w:val="008A0260"/>
    <w:rsid w:val="008A19C3"/>
    <w:rsid w:val="008A277A"/>
    <w:rsid w:val="008A2E93"/>
    <w:rsid w:val="008A4E69"/>
    <w:rsid w:val="008A6F73"/>
    <w:rsid w:val="008B33D2"/>
    <w:rsid w:val="008B4DB7"/>
    <w:rsid w:val="008B6321"/>
    <w:rsid w:val="008C10FD"/>
    <w:rsid w:val="008C2108"/>
    <w:rsid w:val="008E128B"/>
    <w:rsid w:val="008E21EC"/>
    <w:rsid w:val="008E31C7"/>
    <w:rsid w:val="008E3537"/>
    <w:rsid w:val="008E3C19"/>
    <w:rsid w:val="00902829"/>
    <w:rsid w:val="00916940"/>
    <w:rsid w:val="009208E8"/>
    <w:rsid w:val="00922409"/>
    <w:rsid w:val="00922731"/>
    <w:rsid w:val="0092711B"/>
    <w:rsid w:val="00927E04"/>
    <w:rsid w:val="00935DF2"/>
    <w:rsid w:val="009428D5"/>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1553F"/>
    <w:rsid w:val="00A24134"/>
    <w:rsid w:val="00A24A6D"/>
    <w:rsid w:val="00A24C79"/>
    <w:rsid w:val="00A35C84"/>
    <w:rsid w:val="00A37CCA"/>
    <w:rsid w:val="00A4217E"/>
    <w:rsid w:val="00A4679A"/>
    <w:rsid w:val="00A538B9"/>
    <w:rsid w:val="00A552BF"/>
    <w:rsid w:val="00A62FDC"/>
    <w:rsid w:val="00A6756E"/>
    <w:rsid w:val="00A7215E"/>
    <w:rsid w:val="00A73149"/>
    <w:rsid w:val="00A766AD"/>
    <w:rsid w:val="00A83454"/>
    <w:rsid w:val="00A84AEE"/>
    <w:rsid w:val="00A90D06"/>
    <w:rsid w:val="00A91D81"/>
    <w:rsid w:val="00A932C0"/>
    <w:rsid w:val="00A9494D"/>
    <w:rsid w:val="00AA27D1"/>
    <w:rsid w:val="00AA449A"/>
    <w:rsid w:val="00AA4872"/>
    <w:rsid w:val="00AA5BAE"/>
    <w:rsid w:val="00AA6D8F"/>
    <w:rsid w:val="00AA76B6"/>
    <w:rsid w:val="00AB24DE"/>
    <w:rsid w:val="00AB3424"/>
    <w:rsid w:val="00AB6727"/>
    <w:rsid w:val="00AC6EA2"/>
    <w:rsid w:val="00AC6F4C"/>
    <w:rsid w:val="00AD129C"/>
    <w:rsid w:val="00AD5158"/>
    <w:rsid w:val="00AF28E5"/>
    <w:rsid w:val="00AF3C0C"/>
    <w:rsid w:val="00AF6929"/>
    <w:rsid w:val="00B00EF2"/>
    <w:rsid w:val="00B07105"/>
    <w:rsid w:val="00B11F23"/>
    <w:rsid w:val="00B1387D"/>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65C46"/>
    <w:rsid w:val="00B674B9"/>
    <w:rsid w:val="00B703AD"/>
    <w:rsid w:val="00B76D27"/>
    <w:rsid w:val="00B85129"/>
    <w:rsid w:val="00B871A7"/>
    <w:rsid w:val="00B879BD"/>
    <w:rsid w:val="00BB6AA4"/>
    <w:rsid w:val="00BC4590"/>
    <w:rsid w:val="00BC623E"/>
    <w:rsid w:val="00BD09E0"/>
    <w:rsid w:val="00BF32D9"/>
    <w:rsid w:val="00BF3F19"/>
    <w:rsid w:val="00BF6263"/>
    <w:rsid w:val="00C03793"/>
    <w:rsid w:val="00C106E6"/>
    <w:rsid w:val="00C13782"/>
    <w:rsid w:val="00C140EF"/>
    <w:rsid w:val="00C22E07"/>
    <w:rsid w:val="00C250D3"/>
    <w:rsid w:val="00C3053C"/>
    <w:rsid w:val="00C40A32"/>
    <w:rsid w:val="00C5158D"/>
    <w:rsid w:val="00C564EB"/>
    <w:rsid w:val="00C615FD"/>
    <w:rsid w:val="00C62F49"/>
    <w:rsid w:val="00C63D7C"/>
    <w:rsid w:val="00C64099"/>
    <w:rsid w:val="00C641FE"/>
    <w:rsid w:val="00C66F9C"/>
    <w:rsid w:val="00C73042"/>
    <w:rsid w:val="00C74855"/>
    <w:rsid w:val="00C75B64"/>
    <w:rsid w:val="00C82325"/>
    <w:rsid w:val="00C94C3F"/>
    <w:rsid w:val="00C95583"/>
    <w:rsid w:val="00C978E6"/>
    <w:rsid w:val="00CA2CE9"/>
    <w:rsid w:val="00CB0DEA"/>
    <w:rsid w:val="00CB68B7"/>
    <w:rsid w:val="00CC1E8E"/>
    <w:rsid w:val="00CD14E5"/>
    <w:rsid w:val="00CD41C8"/>
    <w:rsid w:val="00CD630E"/>
    <w:rsid w:val="00CE33B4"/>
    <w:rsid w:val="00CF522C"/>
    <w:rsid w:val="00CF529A"/>
    <w:rsid w:val="00D0095F"/>
    <w:rsid w:val="00D02344"/>
    <w:rsid w:val="00D1513C"/>
    <w:rsid w:val="00D16DD7"/>
    <w:rsid w:val="00D17475"/>
    <w:rsid w:val="00D20044"/>
    <w:rsid w:val="00D2659A"/>
    <w:rsid w:val="00D50C2F"/>
    <w:rsid w:val="00D54A05"/>
    <w:rsid w:val="00D56C11"/>
    <w:rsid w:val="00D56C66"/>
    <w:rsid w:val="00D72CA7"/>
    <w:rsid w:val="00D758FB"/>
    <w:rsid w:val="00D922E8"/>
    <w:rsid w:val="00D92FCE"/>
    <w:rsid w:val="00DA646F"/>
    <w:rsid w:val="00DA6EEB"/>
    <w:rsid w:val="00DB0EB6"/>
    <w:rsid w:val="00DB13D3"/>
    <w:rsid w:val="00DB4E3B"/>
    <w:rsid w:val="00DB77DD"/>
    <w:rsid w:val="00DB7F57"/>
    <w:rsid w:val="00DC2CB2"/>
    <w:rsid w:val="00DC489D"/>
    <w:rsid w:val="00DD3375"/>
    <w:rsid w:val="00DD3BA3"/>
    <w:rsid w:val="00DE1432"/>
    <w:rsid w:val="00DF1DC4"/>
    <w:rsid w:val="00DF61A0"/>
    <w:rsid w:val="00E13D44"/>
    <w:rsid w:val="00E1553B"/>
    <w:rsid w:val="00E2027E"/>
    <w:rsid w:val="00E33760"/>
    <w:rsid w:val="00E35467"/>
    <w:rsid w:val="00E41813"/>
    <w:rsid w:val="00E430E5"/>
    <w:rsid w:val="00E44214"/>
    <w:rsid w:val="00E50664"/>
    <w:rsid w:val="00E533DA"/>
    <w:rsid w:val="00E53AB2"/>
    <w:rsid w:val="00E55BC1"/>
    <w:rsid w:val="00E56341"/>
    <w:rsid w:val="00E57459"/>
    <w:rsid w:val="00E619F6"/>
    <w:rsid w:val="00E67628"/>
    <w:rsid w:val="00E73D68"/>
    <w:rsid w:val="00E75675"/>
    <w:rsid w:val="00E8310E"/>
    <w:rsid w:val="00E849D6"/>
    <w:rsid w:val="00E84CA5"/>
    <w:rsid w:val="00E85A07"/>
    <w:rsid w:val="00E90323"/>
    <w:rsid w:val="00E92E83"/>
    <w:rsid w:val="00E94857"/>
    <w:rsid w:val="00E94CCB"/>
    <w:rsid w:val="00EA50D0"/>
    <w:rsid w:val="00EA697D"/>
    <w:rsid w:val="00EB1B71"/>
    <w:rsid w:val="00EB217C"/>
    <w:rsid w:val="00EB413D"/>
    <w:rsid w:val="00ED319C"/>
    <w:rsid w:val="00ED649B"/>
    <w:rsid w:val="00ED7C12"/>
    <w:rsid w:val="00F00D58"/>
    <w:rsid w:val="00F06319"/>
    <w:rsid w:val="00F22E57"/>
    <w:rsid w:val="00F2411C"/>
    <w:rsid w:val="00F32643"/>
    <w:rsid w:val="00F35A73"/>
    <w:rsid w:val="00F40EEB"/>
    <w:rsid w:val="00F6310A"/>
    <w:rsid w:val="00F64848"/>
    <w:rsid w:val="00F65F9E"/>
    <w:rsid w:val="00F66064"/>
    <w:rsid w:val="00F662A3"/>
    <w:rsid w:val="00F7753E"/>
    <w:rsid w:val="00F824B4"/>
    <w:rsid w:val="00F84875"/>
    <w:rsid w:val="00F9130D"/>
    <w:rsid w:val="00F917B2"/>
    <w:rsid w:val="00F918E6"/>
    <w:rsid w:val="00F9244E"/>
    <w:rsid w:val="00FA6913"/>
    <w:rsid w:val="00FB2748"/>
    <w:rsid w:val="00FC096F"/>
    <w:rsid w:val="00FC14C7"/>
    <w:rsid w:val="00FC2EB1"/>
    <w:rsid w:val="00FC5CF1"/>
    <w:rsid w:val="00FD5024"/>
    <w:rsid w:val="00FD63F5"/>
    <w:rsid w:val="00FE0AD6"/>
    <w:rsid w:val="00FE10F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character" w:customStyle="1" w:styleId="highlight">
    <w:name w:val="highlight"/>
    <w:basedOn w:val="Policepardfaut"/>
    <w:rsid w:val="00E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A59893DC-FA8E-4F58-9402-F86AA997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1615</Words>
  <Characters>9212</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2011-03-24T14:16:00Z</cp:lastPrinted>
  <dcterms:created xsi:type="dcterms:W3CDTF">2021-08-05T11:33:00Z</dcterms:created>
  <dcterms:modified xsi:type="dcterms:W3CDTF">2021-08-05T11:33:00Z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