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5706848"/>
    <w:bookmarkStart w:id="1" w:name="_GoBack"/>
    <w:bookmarkEnd w:id="1"/>
    <w:p w14:paraId="2A695F36" w14:textId="77777777" w:rsidR="00AE256A" w:rsidRPr="00A62980" w:rsidRDefault="00AE256A" w:rsidP="00AE256A">
      <w:pPr>
        <w:rPr>
          <w:rFonts w:ascii="Times New Roman" w:hAnsi="Times New Roman" w:cs="Times New Roman"/>
          <w:b/>
          <w:bCs/>
          <w:sz w:val="24"/>
          <w:szCs w:val="24"/>
        </w:rPr>
      </w:pPr>
      <w:r w:rsidRPr="00A62980">
        <w:rPr>
          <w:rFonts w:ascii="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1" wp14:anchorId="19700DAD" wp14:editId="48FCE540">
                <wp:simplePos x="0" y="0"/>
                <wp:positionH relativeFrom="column">
                  <wp:posOffset>-7341</wp:posOffset>
                </wp:positionH>
                <wp:positionV relativeFrom="paragraph">
                  <wp:posOffset>-58547</wp:posOffset>
                </wp:positionV>
                <wp:extent cx="3038475" cy="2253082"/>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2530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36AA8C" w14:textId="77777777" w:rsidR="00AE256A" w:rsidRPr="00AD1755" w:rsidRDefault="00AE256A" w:rsidP="00AE256A">
                            <w:pPr>
                              <w:spacing w:after="0"/>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6396D90" w14:textId="77777777" w:rsidR="00AE256A" w:rsidRPr="00E33F7B" w:rsidRDefault="00AE256A" w:rsidP="00AE256A">
                            <w:pPr>
                              <w:spacing w:after="0"/>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742D09B2" w14:textId="77777777" w:rsidR="00AE256A" w:rsidRPr="00AD1755" w:rsidRDefault="00AE256A" w:rsidP="00AE256A">
                            <w:pPr>
                              <w:jc w:val="center"/>
                              <w:rPr>
                                <w:sz w:val="6"/>
                              </w:rPr>
                            </w:pPr>
                            <w:r>
                              <w:rPr>
                                <w:noProof/>
                                <w:lang w:eastAsia="fr-FR"/>
                              </w:rPr>
                              <w:drawing>
                                <wp:inline distT="0" distB="0" distL="0" distR="0" wp14:anchorId="74996F23" wp14:editId="3D499464">
                                  <wp:extent cx="704850" cy="676275"/>
                                  <wp:effectExtent l="0" t="0" r="0" b="9525"/>
                                  <wp:docPr id="1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ED9F070" w14:textId="5DD24559" w:rsidR="00AE256A" w:rsidRPr="00E33F7B" w:rsidRDefault="00AE256A" w:rsidP="00AE256A">
                            <w:pPr>
                              <w:spacing w:after="0" w:line="240" w:lineRule="auto"/>
                              <w:jc w:val="center"/>
                              <w:rPr>
                                <w:rFonts w:ascii="Century" w:hAnsi="Century" w:cs="Arial"/>
                                <w:b/>
                                <w:sz w:val="26"/>
                                <w:szCs w:val="26"/>
                              </w:rPr>
                            </w:pPr>
                            <w:r w:rsidRPr="00E33F7B">
                              <w:rPr>
                                <w:rFonts w:ascii="Century" w:hAnsi="Century" w:cs="Arial"/>
                                <w:b/>
                                <w:sz w:val="26"/>
                                <w:szCs w:val="26"/>
                              </w:rPr>
                              <w:t xml:space="preserve">Secrétariat Général </w:t>
                            </w:r>
                            <w:r w:rsidR="00C177D0">
                              <w:rPr>
                                <w:rFonts w:ascii="Century" w:hAnsi="Century" w:cs="Arial"/>
                                <w:b/>
                                <w:sz w:val="26"/>
                                <w:szCs w:val="26"/>
                              </w:rPr>
                              <w:t>de</w:t>
                            </w:r>
                            <w:r w:rsidRPr="00E33F7B">
                              <w:rPr>
                                <w:rFonts w:ascii="Century" w:hAnsi="Century" w:cs="Arial"/>
                                <w:b/>
                                <w:sz w:val="26"/>
                                <w:szCs w:val="26"/>
                              </w:rPr>
                              <w:t xml:space="preserve"> l’Agriculture</w:t>
                            </w:r>
                          </w:p>
                          <w:p w14:paraId="09EA05C8" w14:textId="77777777" w:rsidR="00AE256A" w:rsidRPr="002E64EB" w:rsidRDefault="00AE256A" w:rsidP="00AE256A">
                            <w:pPr>
                              <w:spacing w:after="0" w:line="240" w:lineRule="auto"/>
                              <w:jc w:val="center"/>
                              <w:rPr>
                                <w:rFonts w:ascii="Century" w:hAnsi="Century" w:cs="Arial"/>
                                <w:b/>
                                <w:color w:val="244061" w:themeColor="accent1" w:themeShade="80"/>
                                <w:sz w:val="12"/>
                              </w:rPr>
                            </w:pPr>
                          </w:p>
                          <w:p w14:paraId="18B750F5" w14:textId="28F3AED4" w:rsidR="00AE256A" w:rsidRPr="00DB3272" w:rsidRDefault="008D1ABE" w:rsidP="00DB3272">
                            <w:pPr>
                              <w:spacing w:after="0" w:line="240" w:lineRule="auto"/>
                              <w:jc w:val="center"/>
                              <w:rPr>
                                <w:rFonts w:ascii="Century" w:hAnsi="Century" w:cs="Arial"/>
                                <w:b/>
                                <w:sz w:val="26"/>
                                <w:szCs w:val="26"/>
                              </w:rPr>
                            </w:pPr>
                            <w:r w:rsidRPr="00DB3272">
                              <w:rPr>
                                <w:rFonts w:ascii="Century" w:hAnsi="Century" w:cs="Arial"/>
                                <w:b/>
                                <w:sz w:val="26"/>
                                <w:szCs w:val="26"/>
                              </w:rPr>
                              <w:t>Programme National de Développement Agricole</w:t>
                            </w:r>
                            <w:r>
                              <w:rPr>
                                <w:rFonts w:ascii="Century" w:hAnsi="Century" w:cs="Arial"/>
                                <w:b/>
                                <w:sz w:val="26"/>
                                <w:szCs w:val="26"/>
                              </w:rPr>
                              <w:t>(PNDA)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9700DAD" id="Rectangle 8" o:spid="_x0000_s1026" style="position:absolute;margin-left:-.6pt;margin-top:-4.6pt;width:239.25pt;height:1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" filled="f" stroked="f" strokeweight="2pt">
                <v:textbox>
                  <w:txbxContent>
                    <w:p w14:paraId="1236AA8C" w14:textId="77777777" w:rsidR="00AE256A" w:rsidRPr="00AD1755" w:rsidRDefault="00AE256A" w:rsidP="00AE256A">
                      <w:pPr>
                        <w:spacing w:after="0"/>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6396D90" w14:textId="77777777" w:rsidR="00AE256A" w:rsidRPr="00E33F7B" w:rsidRDefault="00AE256A" w:rsidP="00AE256A">
                      <w:pPr>
                        <w:spacing w:after="0"/>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742D09B2" w14:textId="77777777" w:rsidR="00AE256A" w:rsidRPr="00AD1755" w:rsidRDefault="00AE256A" w:rsidP="00AE256A">
                      <w:pPr>
                        <w:jc w:val="center"/>
                        <w:rPr>
                          <w:sz w:val="6"/>
                        </w:rPr>
                      </w:pPr>
                      <w:r>
                        <w:rPr>
                          <w:noProof/>
                          <w:lang w:eastAsia="fr-FR"/>
                        </w:rPr>
                        <w:drawing>
                          <wp:inline distT="0" distB="0" distL="0" distR="0" wp14:anchorId="74996F23" wp14:editId="3D499464">
                            <wp:extent cx="704850" cy="676275"/>
                            <wp:effectExtent l="0" t="0" r="0" b="9525"/>
                            <wp:docPr id="1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ED9F070" w14:textId="5DD24559" w:rsidR="00AE256A" w:rsidRPr="00E33F7B" w:rsidRDefault="00AE256A" w:rsidP="00AE256A">
                      <w:pPr>
                        <w:spacing w:after="0" w:line="240" w:lineRule="auto"/>
                        <w:jc w:val="center"/>
                        <w:rPr>
                          <w:rFonts w:ascii="Century" w:hAnsi="Century" w:cs="Arial"/>
                          <w:b/>
                          <w:sz w:val="26"/>
                          <w:szCs w:val="26"/>
                        </w:rPr>
                      </w:pPr>
                      <w:r w:rsidRPr="00E33F7B">
                        <w:rPr>
                          <w:rFonts w:ascii="Century" w:hAnsi="Century" w:cs="Arial"/>
                          <w:b/>
                          <w:sz w:val="26"/>
                          <w:szCs w:val="26"/>
                        </w:rPr>
                        <w:t xml:space="preserve">Secrétariat Général </w:t>
                      </w:r>
                      <w:r w:rsidR="00C177D0">
                        <w:rPr>
                          <w:rFonts w:ascii="Century" w:hAnsi="Century" w:cs="Arial"/>
                          <w:b/>
                          <w:sz w:val="26"/>
                          <w:szCs w:val="26"/>
                        </w:rPr>
                        <w:t>de</w:t>
                      </w:r>
                      <w:r w:rsidRPr="00E33F7B">
                        <w:rPr>
                          <w:rFonts w:ascii="Century" w:hAnsi="Century" w:cs="Arial"/>
                          <w:b/>
                          <w:sz w:val="26"/>
                          <w:szCs w:val="26"/>
                        </w:rPr>
                        <w:t xml:space="preserve"> l’Agriculture</w:t>
                      </w:r>
                    </w:p>
                    <w:p w14:paraId="09EA05C8" w14:textId="77777777" w:rsidR="00AE256A" w:rsidRPr="002E64EB" w:rsidRDefault="00AE256A" w:rsidP="00AE256A">
                      <w:pPr>
                        <w:spacing w:after="0" w:line="240" w:lineRule="auto"/>
                        <w:jc w:val="center"/>
                        <w:rPr>
                          <w:rFonts w:ascii="Century" w:hAnsi="Century" w:cs="Arial"/>
                          <w:b/>
                          <w:color w:val="244061" w:themeColor="accent1" w:themeShade="80"/>
                          <w:sz w:val="12"/>
                        </w:rPr>
                      </w:pPr>
                    </w:p>
                    <w:p w14:paraId="18B750F5" w14:textId="28F3AED4" w:rsidR="00AE256A" w:rsidRPr="00DB3272" w:rsidRDefault="008D1ABE" w:rsidP="00DB3272">
                      <w:pPr>
                        <w:spacing w:after="0" w:line="240" w:lineRule="auto"/>
                        <w:jc w:val="center"/>
                        <w:rPr>
                          <w:rFonts w:ascii="Century" w:hAnsi="Century" w:cs="Arial"/>
                          <w:b/>
                          <w:sz w:val="26"/>
                          <w:szCs w:val="26"/>
                        </w:rPr>
                      </w:pPr>
                      <w:r w:rsidRPr="00DB3272">
                        <w:rPr>
                          <w:rFonts w:ascii="Century" w:hAnsi="Century" w:cs="Arial"/>
                          <w:b/>
                          <w:sz w:val="26"/>
                          <w:szCs w:val="26"/>
                        </w:rPr>
                        <w:t>Programme National de Développement Agricole</w:t>
                      </w:r>
                      <w:r>
                        <w:rPr>
                          <w:rFonts w:ascii="Century" w:hAnsi="Century" w:cs="Arial"/>
                          <w:b/>
                          <w:sz w:val="26"/>
                          <w:szCs w:val="26"/>
                        </w:rPr>
                        <w:t>(PNDA)</w:t>
                      </w:r>
                    </w:p>
                  </w:txbxContent>
                </v:textbox>
              </v:rect>
            </w:pict>
          </mc:Fallback>
        </mc:AlternateContent>
      </w:r>
    </w:p>
    <w:p w14:paraId="27766D1D" w14:textId="77777777" w:rsidR="00AE256A" w:rsidRPr="00A62980" w:rsidRDefault="00AE256A" w:rsidP="00AE256A">
      <w:pPr>
        <w:rPr>
          <w:rFonts w:ascii="Times New Roman" w:hAnsi="Times New Roman" w:cs="Times New Roman"/>
          <w:sz w:val="24"/>
          <w:szCs w:val="24"/>
        </w:rPr>
      </w:pPr>
    </w:p>
    <w:p w14:paraId="0544CADB" w14:textId="77777777" w:rsidR="00AE256A" w:rsidRPr="00A62980" w:rsidRDefault="00AE256A" w:rsidP="00AE256A">
      <w:pPr>
        <w:rPr>
          <w:rFonts w:ascii="Times New Roman" w:hAnsi="Times New Roman" w:cs="Times New Roman"/>
          <w:sz w:val="24"/>
          <w:szCs w:val="24"/>
        </w:rPr>
      </w:pPr>
    </w:p>
    <w:p w14:paraId="3B26D474" w14:textId="77777777" w:rsidR="00AE256A" w:rsidRPr="00A62980" w:rsidRDefault="00AE256A" w:rsidP="00AE256A">
      <w:pPr>
        <w:rPr>
          <w:rFonts w:ascii="Times New Roman" w:hAnsi="Times New Roman" w:cs="Times New Roman"/>
          <w:sz w:val="24"/>
          <w:szCs w:val="24"/>
        </w:rPr>
      </w:pPr>
    </w:p>
    <w:p w14:paraId="5BB13603" w14:textId="77777777" w:rsidR="00AE256A" w:rsidRPr="00A62980" w:rsidRDefault="00AE256A" w:rsidP="00AE256A">
      <w:pPr>
        <w:rPr>
          <w:rFonts w:ascii="Times New Roman" w:hAnsi="Times New Roman" w:cs="Times New Roman"/>
          <w:sz w:val="24"/>
          <w:szCs w:val="24"/>
        </w:rPr>
      </w:pPr>
    </w:p>
    <w:p w14:paraId="3872030E" w14:textId="77777777" w:rsidR="00AE256A" w:rsidRPr="00A62980" w:rsidRDefault="00AE256A" w:rsidP="00AE256A">
      <w:pPr>
        <w:rPr>
          <w:rFonts w:ascii="Times New Roman" w:hAnsi="Times New Roman" w:cs="Times New Roman"/>
          <w:sz w:val="24"/>
          <w:szCs w:val="24"/>
        </w:rPr>
      </w:pPr>
    </w:p>
    <w:p w14:paraId="08EC147E" w14:textId="77777777" w:rsidR="00AE256A" w:rsidRPr="00A62980" w:rsidRDefault="00AE256A" w:rsidP="00AE256A">
      <w:pPr>
        <w:rPr>
          <w:rFonts w:ascii="Times New Roman" w:hAnsi="Times New Roman" w:cs="Times New Roman"/>
          <w:sz w:val="24"/>
          <w:szCs w:val="24"/>
        </w:rPr>
      </w:pPr>
    </w:p>
    <w:bookmarkEnd w:id="0"/>
    <w:p w14:paraId="67767067" w14:textId="47ECE057" w:rsidR="00C17388" w:rsidRPr="00A62980" w:rsidRDefault="00C17388" w:rsidP="00DB32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A62980">
        <w:rPr>
          <w:rFonts w:ascii="Times New Roman" w:hAnsi="Times New Roman" w:cs="Times New Roman"/>
          <w:color w:val="3F4257"/>
          <w:sz w:val="24"/>
          <w:szCs w:val="24"/>
          <w:shd w:val="clear" w:color="auto" w:fill="FFFFFF"/>
        </w:rPr>
        <w:t>ZR-MINAGRI-244749-CS-INDV</w:t>
      </w:r>
    </w:p>
    <w:p w14:paraId="63DAE888" w14:textId="77777777" w:rsidR="00AE256A" w:rsidRPr="00AB1D8B" w:rsidRDefault="00AE256A" w:rsidP="00DB32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AB1D8B">
        <w:rPr>
          <w:rFonts w:ascii="Times New Roman" w:hAnsi="Times New Roman" w:cs="Times New Roman"/>
          <w:b/>
          <w:sz w:val="24"/>
          <w:szCs w:val="24"/>
        </w:rPr>
        <w:t>TERMES DE REFERENCE DU RESPONSABLE ADMINISTRATIF ET FINANCIER</w:t>
      </w:r>
    </w:p>
    <w:p w14:paraId="6017A38A" w14:textId="77777777" w:rsidR="00AE256A" w:rsidRPr="00A62980" w:rsidRDefault="00AE256A" w:rsidP="00AE256A">
      <w:pPr>
        <w:pStyle w:val="NormalWeb"/>
        <w:numPr>
          <w:ilvl w:val="0"/>
          <w:numId w:val="2"/>
        </w:numPr>
        <w:jc w:val="both"/>
        <w:rPr>
          <w:rFonts w:eastAsia="Calibri"/>
          <w:b/>
          <w:lang w:val="fr-FR" w:eastAsia="en-US"/>
        </w:rPr>
      </w:pPr>
      <w:r w:rsidRPr="00A62980">
        <w:rPr>
          <w:rFonts w:eastAsia="Calibri"/>
          <w:b/>
          <w:lang w:val="fr-FR" w:eastAsia="en-US"/>
        </w:rPr>
        <w:t>Contexte et justification</w:t>
      </w:r>
    </w:p>
    <w:p w14:paraId="0619091D"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1.1. Contexte General du secteur agricole et de la sécurité alimentaire en RDC</w:t>
      </w:r>
    </w:p>
    <w:p w14:paraId="74763BB4"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sécurisent pas les investisseurs, les producteurs et/ou les opérateurs économiques ; elles rendent difficiles l’accès aux intrants, au capital, aux compétences techniques et conseils et aux marchés.</w:t>
      </w:r>
    </w:p>
    <w:p w14:paraId="265530B4"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Dans un tel environnement socioéconomique, le métier de l’agriculture (et ses métiers connexes) n’attire pas beaucoup de jeunes et autres couches dynamiques, et ceux qui s’y appliquent limitent leur production aux besoins du marché local sinon à la seule consommation du ménage et n’investissent pas dans une croissance durable de leur activité</w:t>
      </w:r>
      <w:r w:rsidRPr="00A62980">
        <w:rPr>
          <w:rFonts w:ascii="Times New Roman" w:hAnsi="Times New Roman" w:cs="Times New Roman"/>
          <w:sz w:val="24"/>
          <w:szCs w:val="24"/>
          <w:vertAlign w:val="superscript"/>
        </w:rPr>
        <w:footnoteReference w:id="1"/>
      </w:r>
      <w:r w:rsidRPr="00A62980">
        <w:rPr>
          <w:rFonts w:ascii="Times New Roman" w:hAnsi="Times New Roman" w:cs="Times New Roman"/>
          <w:sz w:val="24"/>
          <w:szCs w:val="24"/>
        </w:rPr>
        <w:t>.</w:t>
      </w:r>
    </w:p>
    <w:p w14:paraId="2C5DA0B2"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Il y a lieu de soutenir que de manière substantielle, le secteur agricole congolais a connu, sur la période allant de 2006 à 2014, une croissance confirmant ainsi sa place parmi les secteurs porteurs de croissance. Toutefois, de la période allant de 2014 à 2018, la pauvreté demeure criante et est peu influencée jusqu’à présent par la reprise économique. </w:t>
      </w:r>
    </w:p>
    <w:p w14:paraId="2B58B0A8"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sidRPr="00A62980">
        <w:rPr>
          <w:rFonts w:ascii="Times New Roman" w:hAnsi="Times New Roman" w:cs="Times New Roman"/>
          <w:sz w:val="24"/>
          <w:szCs w:val="24"/>
        </w:rPr>
        <w:lastRenderedPageBreak/>
        <w:t>de pauvreté de la population et de vaincre la malnutrition et l’insécurité alimentaire en RD Congo.</w:t>
      </w:r>
    </w:p>
    <w:p w14:paraId="047DEDE2" w14:textId="48821622" w:rsidR="008D1ABE" w:rsidRPr="00A62980" w:rsidRDefault="008D1ABE" w:rsidP="00A62980">
      <w:pPr>
        <w:ind w:hanging="2"/>
        <w:jc w:val="both"/>
        <w:rPr>
          <w:rFonts w:ascii="Times New Roman" w:hAnsi="Times New Roman" w:cs="Times New Roman"/>
          <w:sz w:val="24"/>
          <w:szCs w:val="24"/>
          <w:vertAlign w:val="superscript"/>
        </w:rPr>
      </w:pPr>
      <w:r w:rsidRPr="00A62980">
        <w:rPr>
          <w:rFonts w:ascii="Times New Roman" w:hAnsi="Times New Roman" w:cs="Times New Roman"/>
          <w:sz w:val="24"/>
          <w:szCs w:val="24"/>
        </w:rPr>
        <w:t>Il est à noter que les rendements des cultures en RDC sont parmi les plus bas au monde, et le pays importe annuellement pour environ 2 milliards de dollars américains afin de nourrir sa population en pleine croissance.</w:t>
      </w:r>
    </w:p>
    <w:p w14:paraId="365D6216"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117C7F5A"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Pour y parvenir, et en appui aux actions antérieurement engagées, le Gouvernement de la RDC a élaboré et met en œuvre, différentes stratégies appuyées par les Partenaires Techniques et Financiers dont la Banque mondiale.</w:t>
      </w:r>
    </w:p>
    <w:p w14:paraId="702E5292" w14:textId="77777777" w:rsidR="008D1ABE" w:rsidRPr="00A62980" w:rsidRDefault="008D1ABE" w:rsidP="00A62980">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153C0773" w14:textId="77777777" w:rsidR="008D1ABE" w:rsidRPr="00A62980" w:rsidRDefault="008D1ABE" w:rsidP="00A62980">
      <w:pPr>
        <w:jc w:val="both"/>
        <w:rPr>
          <w:rFonts w:ascii="Times New Roman" w:eastAsia="Calibri" w:hAnsi="Times New Roman" w:cs="Times New Roman"/>
          <w:b/>
          <w:bCs/>
          <w:sz w:val="24"/>
          <w:szCs w:val="24"/>
        </w:rPr>
      </w:pPr>
      <w:r w:rsidRPr="00A62980">
        <w:rPr>
          <w:rFonts w:ascii="Times New Roman" w:eastAsia="Calibri" w:hAnsi="Times New Roman" w:cs="Times New Roman"/>
          <w:b/>
          <w:bCs/>
          <w:sz w:val="24"/>
          <w:szCs w:val="24"/>
        </w:rPr>
        <w:t>1.2. Présentation du PNDA</w:t>
      </w:r>
    </w:p>
    <w:p w14:paraId="1CA30274" w14:textId="77777777" w:rsidR="008D1ABE" w:rsidRPr="00A62980" w:rsidRDefault="008D1ABE" w:rsidP="00A62980">
      <w:pPr>
        <w:numPr>
          <w:ilvl w:val="0"/>
          <w:numId w:val="12"/>
        </w:numPr>
        <w:spacing w:after="0" w:line="240" w:lineRule="auto"/>
        <w:ind w:left="0"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ainsi, la Banque mondiale a accepté d’accorder à ce projet un financement de l’ordre de 500 millions de dollars américains pendant une durée de 5 ans renouvelable.</w:t>
      </w:r>
    </w:p>
    <w:p w14:paraId="34A1CDE5" w14:textId="77777777" w:rsidR="008D1ABE" w:rsidRPr="00A62980" w:rsidRDefault="008D1ABE" w:rsidP="00A62980">
      <w:pPr>
        <w:ind w:hanging="2"/>
        <w:contextualSpacing/>
        <w:jc w:val="both"/>
        <w:rPr>
          <w:rFonts w:ascii="Times New Roman" w:eastAsia="Calibri" w:hAnsi="Times New Roman" w:cs="Times New Roman"/>
          <w:sz w:val="24"/>
          <w:szCs w:val="24"/>
        </w:rPr>
      </w:pPr>
    </w:p>
    <w:p w14:paraId="3E64950C" w14:textId="77777777" w:rsidR="008D1ABE" w:rsidRPr="00A62980" w:rsidRDefault="008D1ABE" w:rsidP="00A62980">
      <w:pPr>
        <w:ind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Le PNDA a 4 composantes principales :</w:t>
      </w:r>
    </w:p>
    <w:p w14:paraId="33B6B272" w14:textId="77777777" w:rsidR="008D1ABE" w:rsidRPr="00A62980" w:rsidRDefault="008D1ABE" w:rsidP="00A62980">
      <w:pPr>
        <w:ind w:hanging="2"/>
        <w:contextualSpacing/>
        <w:jc w:val="both"/>
        <w:rPr>
          <w:rFonts w:ascii="Times New Roman" w:eastAsia="Calibri" w:hAnsi="Times New Roman" w:cs="Times New Roman"/>
          <w:sz w:val="24"/>
          <w:szCs w:val="24"/>
        </w:rPr>
      </w:pPr>
    </w:p>
    <w:p w14:paraId="02E88507"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Les objectifs spécifiques du programme se déclinent comme suit :</w:t>
      </w:r>
    </w:p>
    <w:p w14:paraId="2D440734" w14:textId="77777777" w:rsidR="008D1ABE" w:rsidRPr="00A62980" w:rsidRDefault="008D1ABE" w:rsidP="00A62980">
      <w:pPr>
        <w:numPr>
          <w:ilvl w:val="0"/>
          <w:numId w:val="14"/>
        </w:numPr>
        <w:spacing w:after="0" w:line="240" w:lineRule="auto"/>
        <w:ind w:left="0"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p>
    <w:p w14:paraId="25D52F6F" w14:textId="77777777" w:rsidR="008D1ABE" w:rsidRPr="00A62980" w:rsidRDefault="008D1ABE" w:rsidP="00A62980">
      <w:pPr>
        <w:numPr>
          <w:ilvl w:val="0"/>
          <w:numId w:val="14"/>
        </w:numPr>
        <w:autoSpaceDN w:val="0"/>
        <w:spacing w:after="0" w:line="240" w:lineRule="auto"/>
        <w:ind w:left="0"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soutenir par des investissements importants dans la fourniture de biens et services publics agricoles aux niveaux national et local, notamment la recherche et le développement agricoles, la santé animale et végétale et les infrastructures;</w:t>
      </w:r>
    </w:p>
    <w:p w14:paraId="7E89821F" w14:textId="77777777" w:rsidR="008D1ABE" w:rsidRPr="00A62980" w:rsidRDefault="008D1ABE" w:rsidP="00A62980">
      <w:pPr>
        <w:numPr>
          <w:ilvl w:val="0"/>
          <w:numId w:val="14"/>
        </w:numPr>
        <w:autoSpaceDN w:val="0"/>
        <w:spacing w:after="0" w:line="240" w:lineRule="auto"/>
        <w:ind w:left="0"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renforcer les capacités des du secteur public en particulier du ministère de l’Agriculture, Ministère de la Pêche et Elevage et du ministère du Développement Rural en vue de la fourniture des biens et services publics agricoles de base dans la zone du projet et renforcer la gestion du programme et le suivi et évaluation aux niveaux national et provincial dans les provinces participantes et</w:t>
      </w:r>
    </w:p>
    <w:p w14:paraId="7C51E66E" w14:textId="77777777" w:rsidR="008D1ABE" w:rsidRPr="00A62980" w:rsidRDefault="008D1ABE" w:rsidP="00A62980">
      <w:pPr>
        <w:numPr>
          <w:ilvl w:val="0"/>
          <w:numId w:val="14"/>
        </w:numPr>
        <w:autoSpaceDN w:val="0"/>
        <w:spacing w:after="0" w:line="240" w:lineRule="auto"/>
        <w:ind w:left="0"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renforcer les interventions d’urgence dans le secteur de l’Agriculture.</w:t>
      </w:r>
    </w:p>
    <w:p w14:paraId="6D01FDDF" w14:textId="77777777" w:rsidR="008D1ABE" w:rsidRPr="00A62980" w:rsidRDefault="008D1ABE" w:rsidP="00A62980">
      <w:pPr>
        <w:ind w:hanging="2"/>
        <w:jc w:val="both"/>
        <w:rPr>
          <w:rFonts w:ascii="Times New Roman" w:eastAsia="Calibri" w:hAnsi="Times New Roman" w:cs="Times New Roman"/>
          <w:sz w:val="24"/>
          <w:szCs w:val="24"/>
        </w:rPr>
      </w:pPr>
    </w:p>
    <w:p w14:paraId="00755438"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lastRenderedPageBreak/>
        <w:t>Le Projet sera exécuté dans les Provinces du Nord Kivu,  Kwilu,  et  Kasaï Central, Kasaï et Kongo Central et s’appuiera sur des approches validées et les expériences réussies en RDC et dans la région. Il  s’articulera autour de quatre composantes :</w:t>
      </w:r>
    </w:p>
    <w:p w14:paraId="302C93BB" w14:textId="77777777" w:rsidR="008D1ABE" w:rsidRPr="00A62980" w:rsidRDefault="008D1ABE" w:rsidP="00A62980">
      <w:pPr>
        <w:ind w:hanging="2"/>
        <w:jc w:val="both"/>
        <w:rPr>
          <w:rFonts w:ascii="Times New Roman" w:eastAsia="Calibri" w:hAnsi="Times New Roman" w:cs="Times New Roman"/>
          <w:sz w:val="24"/>
          <w:szCs w:val="24"/>
        </w:rPr>
      </w:pPr>
    </w:p>
    <w:p w14:paraId="392C26EE" w14:textId="77777777" w:rsidR="008D1ABE" w:rsidRPr="00A62980" w:rsidRDefault="008D1ABE" w:rsidP="00A62980">
      <w:pPr>
        <w:numPr>
          <w:ilvl w:val="0"/>
          <w:numId w:val="13"/>
        </w:numPr>
        <w:spacing w:before="100" w:beforeAutospacing="1" w:after="100" w:afterAutospacing="1"/>
        <w:ind w:left="0"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 xml:space="preserve">La composante 1 </w:t>
      </w:r>
      <w:r w:rsidRPr="00A62980">
        <w:rPr>
          <w:rFonts w:ascii="Times New Roman" w:eastAsia="Calibri" w:hAnsi="Times New Roman" w:cs="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6DDE4E10" w14:textId="77777777" w:rsidR="008D1ABE" w:rsidRPr="00A62980" w:rsidRDefault="008D1ABE" w:rsidP="00A62980">
      <w:pPr>
        <w:spacing w:before="100" w:beforeAutospacing="1" w:after="100" w:afterAutospacing="1"/>
        <w:ind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1.1</w:t>
      </w:r>
      <w:r w:rsidRPr="00A62980">
        <w:rPr>
          <w:rFonts w:ascii="Times New Roman" w:eastAsia="Calibri" w:hAnsi="Times New Roman" w:cs="Times New Roman"/>
          <w:sz w:val="24"/>
          <w:szCs w:val="24"/>
        </w:rPr>
        <w:t> : financera l’aide directe aux petits exploitants agricoles pour l’adoption des pratiques, technologies et intrants CSA (agriculture intelligente face au climat) et agriculture intelligente face à la nutrition (semences, plants, races animales, services de conseil et de vulgarisation).</w:t>
      </w:r>
    </w:p>
    <w:p w14:paraId="0465BCFE" w14:textId="77777777" w:rsidR="008D1ABE" w:rsidRPr="00A62980" w:rsidRDefault="008D1ABE" w:rsidP="00A62980">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1.2</w:t>
      </w:r>
      <w:r w:rsidRPr="00A62980">
        <w:rPr>
          <w:rFonts w:ascii="Times New Roman" w:eastAsia="Calibri" w:hAnsi="Times New Roman" w:cs="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4E101571" w14:textId="77777777" w:rsidR="008D1ABE" w:rsidRPr="00A62980" w:rsidRDefault="008D1ABE" w:rsidP="00A62980">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1.3</w:t>
      </w:r>
      <w:r w:rsidRPr="00A62980">
        <w:rPr>
          <w:rFonts w:ascii="Times New Roman" w:eastAsia="Calibri" w:hAnsi="Times New Roman" w:cs="Times New Roman"/>
          <w:sz w:val="24"/>
          <w:szCs w:val="24"/>
        </w:rPr>
        <w:t> : traitera de la réponse rapide aux urgences agricoles pour les petits exploitants bénéficiaires des appuis directs via la sous-composante 1.1  (USD 20 millions IDA + 20 millions GRIF)</w:t>
      </w:r>
    </w:p>
    <w:p w14:paraId="5A138098"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composante 2</w:t>
      </w:r>
      <w:r w:rsidRPr="00A62980">
        <w:rPr>
          <w:rFonts w:ascii="Times New Roman" w:eastAsia="Calibri" w:hAnsi="Times New Roman" w:cs="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qui auraient accru aux producteurs agricoles leurs soient effectivement alloués du fait des « investissements en amont».</w:t>
      </w:r>
    </w:p>
    <w:p w14:paraId="39391A51" w14:textId="77777777" w:rsidR="008D1ABE" w:rsidRPr="00A62980" w:rsidRDefault="008D1ABE" w:rsidP="00A62980">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 xml:space="preserve"> La composante se concentrera sur les deux domaines suivants : </w:t>
      </w:r>
    </w:p>
    <w:p w14:paraId="5EB359C2" w14:textId="77777777" w:rsidR="008D1ABE" w:rsidRPr="00A62980" w:rsidRDefault="008D1ABE" w:rsidP="00A62980">
      <w:pPr>
        <w:spacing w:before="100" w:beforeAutospacing="1" w:after="100" w:afterAutospacing="1"/>
        <w:ind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Sous-composante 2.1</w:t>
      </w:r>
      <w:r w:rsidRPr="00A62980">
        <w:rPr>
          <w:rFonts w:ascii="Times New Roman" w:eastAsia="Calibri" w:hAnsi="Times New Roman" w:cs="Times New Roman"/>
          <w:sz w:val="24"/>
          <w:szCs w:val="24"/>
        </w:rPr>
        <w:t> ,Infrastructures rurales, visera principalement à améliorer les routes rurales et les corridors de transport prioritaires (y compris les mesures de sécurité fluviale et les sites de lancement dans les voies navigables</w:t>
      </w:r>
      <w:r w:rsidRPr="00A62980">
        <w:rPr>
          <w:rFonts w:ascii="Times New Roman" w:eastAsia="Calibri" w:hAnsi="Times New Roman" w:cs="Times New Roman"/>
          <w:sz w:val="24"/>
          <w:szCs w:val="24"/>
        </w:rPr>
        <w:footnoteReference w:id="2"/>
      </w:r>
      <w:r w:rsidRPr="00A62980">
        <w:rPr>
          <w:rFonts w:ascii="Times New Roman" w:eastAsia="Calibri" w:hAnsi="Times New Roman" w:cs="Times New Roman"/>
          <w:sz w:val="24"/>
          <w:szCs w:val="24"/>
        </w:rPr>
        <w:t xml:space="preserve">), afin de libérer le potentiel de production et de commerce des petits exploitants agricoles dans la zone du projet, en fonction des critères </w:t>
      </w:r>
      <w:r w:rsidRPr="00A62980">
        <w:rPr>
          <w:rFonts w:ascii="Times New Roman" w:eastAsia="Calibri" w:hAnsi="Times New Roman" w:cs="Times New Roman"/>
          <w:sz w:val="24"/>
          <w:szCs w:val="24"/>
        </w:rPr>
        <w:lastRenderedPageBreak/>
        <w:t>suivants : (i) ces corridors sont connectés aux routes principales, voies ferrées et/ou voies navigables opérationnelles (sûres et utilisables toute l’année) ; (ii) ils conduisent à des zones à fort potentiel agricole et à une population relativement dense ; et (iii) ils recherchent des synergies avec les investissements en cours ou futurs du secteur agricole et d’autres interventions dans les infrastructures de transport et/ou de connectivité.</w:t>
      </w:r>
    </w:p>
    <w:p w14:paraId="21875A7E" w14:textId="77777777" w:rsidR="008D1ABE" w:rsidRPr="00A62980" w:rsidRDefault="008D1ABE" w:rsidP="00A62980">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sous-composante 2.2</w:t>
      </w:r>
      <w:r w:rsidRPr="00A62980">
        <w:rPr>
          <w:rFonts w:ascii="Times New Roman" w:eastAsia="Calibri" w:hAnsi="Times New Roman" w:cs="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60A766A4"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 xml:space="preserve">La composante 3 </w:t>
      </w:r>
      <w:r w:rsidRPr="00A62980">
        <w:rPr>
          <w:rFonts w:ascii="Times New Roman" w:eastAsia="Calibri" w:hAnsi="Times New Roman" w:cs="Times New Roman"/>
          <w:sz w:val="24"/>
          <w:szCs w:val="24"/>
        </w:rPr>
        <w:t xml:space="preserve">(avec deux sous-composantes) : Fourniture des biens et services publics agricoles englobe </w:t>
      </w:r>
    </w:p>
    <w:p w14:paraId="11199DBD"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(i) le renforcement des capacités des ministères clés (tels que l’Agriculture, pêche et élevage, les Affaires foncières et le Développement rural) aux niveaux national et provincial en vue de la fourniture de biens et services publics essentiels à l’agriculture ; et (ii) la gestion, le suivi et l’évaluation du programme. Elle dispose de 2 sous-composantes :</w:t>
      </w:r>
    </w:p>
    <w:p w14:paraId="08C2E4D0"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b/>
          <w:bCs/>
          <w:sz w:val="24"/>
          <w:szCs w:val="24"/>
        </w:rPr>
        <w:t>Sous-composante 3.1</w:t>
      </w:r>
      <w:r w:rsidRPr="00A62980">
        <w:rPr>
          <w:rFonts w:ascii="Times New Roman" w:eastAsia="Calibri" w:hAnsi="Times New Roman" w:cs="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5D6B6D0D" w14:textId="77777777" w:rsidR="008D1ABE" w:rsidRPr="00A62980" w:rsidRDefault="008D1ABE" w:rsidP="00A62980">
      <w:pPr>
        <w:tabs>
          <w:tab w:val="left" w:pos="-720"/>
          <w:tab w:val="left" w:pos="708"/>
        </w:tabs>
        <w:ind w:right="567"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Sous-composante 3.2 :</w:t>
      </w:r>
      <w:r w:rsidRPr="00A62980">
        <w:rPr>
          <w:rFonts w:ascii="Times New Roman" w:eastAsia="Calibri" w:hAnsi="Times New Roman" w:cs="Times New Roman"/>
          <w:sz w:val="24"/>
          <w:szCs w:val="24"/>
        </w:rPr>
        <w:t xml:space="preserve"> Gestion, suivi et évaluation du programme. Le programme financera : (i) les coûts de fonctionnement de l’Unité de Coordination Nationale du Programme (NPCU); (ii) le suivi et l’évaluation des activités du programme ; (iii) la communication des activités du programme à différents publics ; et (iv) l’embauche du personnel, de biens, de services de consultants, d’ateliers et de formation. Dans le cadre de cette sous-composante, le programme assurera également un suivi approprié des politiques de sauvegarde environnementales et sociales.</w:t>
      </w:r>
    </w:p>
    <w:p w14:paraId="214DCC70"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Composante 4</w:t>
      </w:r>
      <w:r w:rsidRPr="00A62980">
        <w:rPr>
          <w:rFonts w:ascii="Times New Roman" w:eastAsia="Calibri" w:hAnsi="Times New Roman" w:cs="Times New Roman"/>
          <w:sz w:val="24"/>
          <w:szCs w:val="24"/>
        </w:rPr>
        <w:t xml:space="preserve"> —Réponse aux urgences agricoles (USD 0 millions IDA)</w:t>
      </w:r>
    </w:p>
    <w:p w14:paraId="40A8B10A" w14:textId="77777777" w:rsidR="008D1ABE" w:rsidRPr="00A62980" w:rsidRDefault="008D1ABE" w:rsidP="00A62980">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6F325B8C" w14:textId="305B7D7C" w:rsidR="008D1ABE" w:rsidRDefault="008D1ABE" w:rsidP="00A62980">
      <w:pPr>
        <w:ind w:hanging="2"/>
        <w:jc w:val="both"/>
        <w:rPr>
          <w:rFonts w:ascii="Times New Roman" w:hAnsi="Times New Roman" w:cs="Times New Roman"/>
          <w:sz w:val="24"/>
          <w:szCs w:val="24"/>
        </w:rPr>
      </w:pPr>
      <w:bookmarkStart w:id="2" w:name="_heading=h.xvir7l" w:colFirst="0" w:colLast="0"/>
      <w:bookmarkStart w:id="3" w:name="_2et92p0"/>
      <w:bookmarkStart w:id="4" w:name="_heading=h.z3vrvp59ib9b" w:colFirst="0" w:colLast="0"/>
      <w:bookmarkEnd w:id="2"/>
      <w:bookmarkEnd w:id="3"/>
      <w:bookmarkEnd w:id="4"/>
      <w:r w:rsidRPr="00A62980">
        <w:rPr>
          <w:rFonts w:ascii="Times New Roman" w:hAnsi="Times New Roman" w:cs="Times New Roman"/>
          <w:sz w:val="24"/>
          <w:szCs w:val="24"/>
        </w:rPr>
        <w:t>Le PNDA se propose d’utiliser une partie de ces fonds à titre des dépenses autorisés pour recruter  un Responsable Administratif et Financier.</w:t>
      </w:r>
    </w:p>
    <w:p w14:paraId="42CF0634" w14:textId="77777777" w:rsidR="00A62980" w:rsidRDefault="00A62980" w:rsidP="00A62980">
      <w:pPr>
        <w:ind w:hanging="2"/>
        <w:jc w:val="both"/>
        <w:rPr>
          <w:rFonts w:ascii="Times New Roman" w:hAnsi="Times New Roman" w:cs="Times New Roman"/>
          <w:sz w:val="24"/>
          <w:szCs w:val="24"/>
        </w:rPr>
      </w:pPr>
    </w:p>
    <w:p w14:paraId="1B2DC8C4" w14:textId="77777777" w:rsidR="00A62980" w:rsidRDefault="00A62980" w:rsidP="00A62980">
      <w:pPr>
        <w:ind w:hanging="2"/>
        <w:jc w:val="both"/>
        <w:rPr>
          <w:rFonts w:ascii="Times New Roman" w:hAnsi="Times New Roman" w:cs="Times New Roman"/>
          <w:sz w:val="24"/>
          <w:szCs w:val="24"/>
        </w:rPr>
      </w:pPr>
    </w:p>
    <w:p w14:paraId="467BD2CE" w14:textId="77777777" w:rsidR="00A62980" w:rsidRPr="00A62980" w:rsidRDefault="00A62980" w:rsidP="00A62980">
      <w:pPr>
        <w:ind w:hanging="2"/>
        <w:jc w:val="both"/>
        <w:rPr>
          <w:rFonts w:ascii="Times New Roman" w:hAnsi="Times New Roman" w:cs="Times New Roman"/>
          <w:sz w:val="24"/>
          <w:szCs w:val="24"/>
        </w:rPr>
      </w:pPr>
    </w:p>
    <w:p w14:paraId="0E7548F1" w14:textId="47E7B08A" w:rsidR="008D1ABE" w:rsidRPr="00A62980" w:rsidRDefault="00760A11" w:rsidP="00A62980">
      <w:pPr>
        <w:pStyle w:val="Paragraphedeliste"/>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Objectifs, </w:t>
      </w:r>
      <w:r w:rsidR="008D1ABE" w:rsidRPr="00A62980">
        <w:rPr>
          <w:rFonts w:ascii="Times New Roman" w:hAnsi="Times New Roman" w:cs="Times New Roman"/>
          <w:b/>
          <w:sz w:val="24"/>
          <w:szCs w:val="24"/>
          <w:u w:val="single"/>
        </w:rPr>
        <w:t>Fonctions et Responsabilités</w:t>
      </w:r>
    </w:p>
    <w:p w14:paraId="447BEE63" w14:textId="23760CE2" w:rsidR="008D1ABE" w:rsidRPr="00B85E8A" w:rsidRDefault="00760A11" w:rsidP="00760A11">
      <w:pPr>
        <w:jc w:val="both"/>
        <w:rPr>
          <w:rFonts w:ascii="Times New Roman" w:hAnsi="Times New Roman" w:cs="Times New Roman"/>
          <w:color w:val="000000"/>
          <w:sz w:val="24"/>
          <w:szCs w:val="24"/>
          <w:lang w:eastAsia="fr-FR"/>
        </w:rPr>
      </w:pPr>
      <w:r w:rsidRPr="00B85E8A">
        <w:rPr>
          <w:rFonts w:ascii="Times New Roman" w:hAnsi="Times New Roman" w:cs="Times New Roman"/>
          <w:color w:val="000000"/>
          <w:sz w:val="24"/>
          <w:szCs w:val="24"/>
          <w:lang w:eastAsia="fr-FR"/>
        </w:rPr>
        <w:t>D’une manière générale la mission de Responsable Administratif et Financier consistera à faire fonctionner, en se référant aux procédures en vigueur en gestion financières des projets de la Banque mondiale, le système de gestion financière du Projet, Il doit également assurer la gestion comptable et financière du Projet, assiste le comité technique dans la préparation et l’exécution des budgets des composantes, ainsi que dans le rapportage. Il prépare le budget annuel du projet et travaille en collaboration avec l’équipe de la coordination du projet. Il s’agira notamment de veiller à l’application des dispositions prévues dans le manuel des procédures d</w:t>
      </w:r>
      <w:r w:rsidR="00B85E8A">
        <w:rPr>
          <w:rFonts w:ascii="Times New Roman" w:hAnsi="Times New Roman" w:cs="Times New Roman"/>
          <w:color w:val="000000"/>
          <w:sz w:val="24"/>
          <w:szCs w:val="24"/>
          <w:lang w:eastAsia="fr-FR"/>
        </w:rPr>
        <w:t xml:space="preserve">e gestion financière du Projet, </w:t>
      </w:r>
      <w:r w:rsidRPr="00B85E8A">
        <w:rPr>
          <w:rFonts w:ascii="Times New Roman" w:hAnsi="Times New Roman" w:cs="Times New Roman"/>
          <w:color w:val="000000"/>
          <w:sz w:val="24"/>
          <w:szCs w:val="24"/>
          <w:lang w:eastAsia="fr-FR"/>
        </w:rPr>
        <w:t>d’assurer la mise en œuvre adéquate des directives des manuels d’Operations du projet, de procédures de gestion administrative et financière du projet.</w:t>
      </w:r>
    </w:p>
    <w:p w14:paraId="61752594" w14:textId="5BE4AC80" w:rsidR="008D1ABE" w:rsidRDefault="008D1ABE" w:rsidP="00A62980">
      <w:pPr>
        <w:jc w:val="both"/>
        <w:rPr>
          <w:rFonts w:ascii="Times New Roman" w:hAnsi="Times New Roman" w:cs="Times New Roman"/>
          <w:color w:val="000000"/>
          <w:sz w:val="24"/>
          <w:szCs w:val="24"/>
          <w:lang w:eastAsia="fr-FR"/>
        </w:rPr>
      </w:pPr>
      <w:r w:rsidRPr="00A62980">
        <w:rPr>
          <w:rFonts w:ascii="Times New Roman" w:hAnsi="Times New Roman" w:cs="Times New Roman"/>
          <w:color w:val="000000"/>
          <w:sz w:val="24"/>
          <w:szCs w:val="24"/>
          <w:lang w:eastAsia="fr-FR"/>
        </w:rPr>
        <w:t>Sous la supervision et l’autorité du Coordonnateur National du PNDA, le Responsable Administratif et Financier assure des fonctions de gestion financière selon les exigences du Projet. Il exécute les tâches suivantes :</w:t>
      </w:r>
    </w:p>
    <w:p w14:paraId="09563706" w14:textId="1EAE97A1" w:rsidR="00760A11" w:rsidRPr="00B85E8A" w:rsidRDefault="00760A11" w:rsidP="00760A11">
      <w:pPr>
        <w:spacing w:line="360" w:lineRule="auto"/>
        <w:jc w:val="both"/>
        <w:rPr>
          <w:rFonts w:ascii="Times New Roman" w:hAnsi="Times New Roman" w:cs="Times New Roman"/>
          <w:b/>
          <w:color w:val="000000"/>
          <w:sz w:val="24"/>
          <w:szCs w:val="24"/>
          <w:lang w:eastAsia="fr-FR"/>
        </w:rPr>
      </w:pPr>
      <w:r w:rsidRPr="00B85E8A">
        <w:rPr>
          <w:rFonts w:ascii="Times New Roman" w:hAnsi="Times New Roman" w:cs="Times New Roman"/>
          <w:b/>
          <w:color w:val="000000"/>
          <w:sz w:val="24"/>
          <w:szCs w:val="24"/>
          <w:lang w:eastAsia="fr-FR"/>
        </w:rPr>
        <w:t>II.1. Générales</w:t>
      </w:r>
    </w:p>
    <w:p w14:paraId="4B899EB2" w14:textId="77777777" w:rsidR="00760A11" w:rsidRPr="00760A11" w:rsidRDefault="00760A11" w:rsidP="00760A11">
      <w:pPr>
        <w:pStyle w:val="Paragraphedeliste"/>
        <w:numPr>
          <w:ilvl w:val="0"/>
          <w:numId w:val="20"/>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S’assurer des bonnes conditions d’une gestion financière satisfaisante des projets ;</w:t>
      </w:r>
    </w:p>
    <w:p w14:paraId="7999F15F" w14:textId="77777777" w:rsidR="00760A11" w:rsidRPr="00760A11" w:rsidRDefault="00760A11" w:rsidP="00760A11">
      <w:pPr>
        <w:pStyle w:val="Paragraphedeliste"/>
        <w:numPr>
          <w:ilvl w:val="0"/>
          <w:numId w:val="20"/>
        </w:numPr>
        <w:spacing w:after="0" w:line="360" w:lineRule="auto"/>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S’assurer de la gestion efficace des ressources financières et comptables des projets, conformément aux procédures en vigueur a l’UGP et aux manuels d’opérations des projets ;</w:t>
      </w:r>
    </w:p>
    <w:p w14:paraId="21CDBA22" w14:textId="77777777" w:rsidR="00760A11" w:rsidRPr="00760A11" w:rsidRDefault="00760A11" w:rsidP="00760A11">
      <w:pPr>
        <w:pStyle w:val="Paragraphedeliste"/>
        <w:numPr>
          <w:ilvl w:val="0"/>
          <w:numId w:val="20"/>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Encadrer ses subordonnés dans l’accomplissement de leurs tâches et évaluer leur performance ;</w:t>
      </w:r>
    </w:p>
    <w:p w14:paraId="6C6A5E20" w14:textId="77777777" w:rsidR="00760A11" w:rsidRPr="00760A11" w:rsidRDefault="00760A11" w:rsidP="00760A11">
      <w:pPr>
        <w:pStyle w:val="Paragraphedeliste"/>
        <w:numPr>
          <w:ilvl w:val="0"/>
          <w:numId w:val="20"/>
        </w:numPr>
        <w:shd w:val="clear" w:color="auto" w:fill="FFFFFF"/>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Participer à la préparation du PTBA pour approbation de la Banque ;</w:t>
      </w:r>
    </w:p>
    <w:p w14:paraId="47A9DF2C" w14:textId="77777777" w:rsidR="00760A11" w:rsidRPr="00760A11" w:rsidRDefault="00760A11" w:rsidP="00760A11">
      <w:pPr>
        <w:pStyle w:val="Paragraphedeliste"/>
        <w:numPr>
          <w:ilvl w:val="0"/>
          <w:numId w:val="20"/>
        </w:numPr>
        <w:shd w:val="clear" w:color="auto" w:fill="FFFFFF"/>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Saisir sur TOMPRO les budgets consolidés du projet ;</w:t>
      </w:r>
    </w:p>
    <w:p w14:paraId="5AE3640A" w14:textId="77777777" w:rsidR="00760A11" w:rsidRPr="00760A11" w:rsidRDefault="00760A11" w:rsidP="00760A11">
      <w:pPr>
        <w:pStyle w:val="Paragraphedeliste"/>
        <w:numPr>
          <w:ilvl w:val="0"/>
          <w:numId w:val="20"/>
        </w:numPr>
        <w:shd w:val="clear" w:color="auto" w:fill="FFFFFF"/>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Répondre de manière ponctuelle aux mesures d’urgence se rapportant à la gestion financière ;</w:t>
      </w:r>
    </w:p>
    <w:p w14:paraId="6081B14B" w14:textId="66DEB6B7" w:rsidR="00760A11" w:rsidRPr="000E2D73" w:rsidRDefault="00760A11" w:rsidP="00760A11">
      <w:pPr>
        <w:pStyle w:val="Paragraphedeliste"/>
        <w:numPr>
          <w:ilvl w:val="0"/>
          <w:numId w:val="20"/>
        </w:numPr>
        <w:shd w:val="clear" w:color="auto" w:fill="FFFFFF"/>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 xml:space="preserve">Participer aux évaluations </w:t>
      </w:r>
      <w:r w:rsidRPr="000E2D73">
        <w:rPr>
          <w:rFonts w:ascii="Times New Roman" w:hAnsi="Times New Roman" w:cs="Times New Roman"/>
          <w:color w:val="000000"/>
          <w:sz w:val="24"/>
          <w:szCs w:val="24"/>
          <w:lang w:eastAsia="fr-FR"/>
        </w:rPr>
        <w:t>conduites par la Passation des Marchés comme membre de jury sur demande du Coordonnateur général ;</w:t>
      </w:r>
    </w:p>
    <w:p w14:paraId="09147C26" w14:textId="377874ED" w:rsidR="000E2D73" w:rsidRPr="000E2D73" w:rsidRDefault="000E2D73" w:rsidP="00760A11">
      <w:pPr>
        <w:pStyle w:val="Paragraphedeliste"/>
        <w:numPr>
          <w:ilvl w:val="0"/>
          <w:numId w:val="20"/>
        </w:numPr>
        <w:shd w:val="clear" w:color="auto" w:fill="FFFFFF"/>
        <w:spacing w:after="0" w:line="360" w:lineRule="auto"/>
        <w:jc w:val="both"/>
        <w:rPr>
          <w:rFonts w:ascii="Times New Roman" w:hAnsi="Times New Roman" w:cs="Times New Roman"/>
          <w:color w:val="000000"/>
          <w:sz w:val="24"/>
          <w:szCs w:val="24"/>
          <w:lang w:eastAsia="fr-FR"/>
        </w:rPr>
      </w:pPr>
      <w:r w:rsidRPr="00186880">
        <w:rPr>
          <w:rFonts w:ascii="Times New Roman" w:hAnsi="Times New Roman" w:cs="Times New Roman"/>
          <w:sz w:val="24"/>
          <w:szCs w:val="24"/>
        </w:rPr>
        <w:t xml:space="preserve">Assurer l’élaboration et la mise en œuvre d’un programme de transfert de compétence à travers la formation et le renforcement des capacités en </w:t>
      </w:r>
      <w:r>
        <w:rPr>
          <w:rFonts w:ascii="Times New Roman" w:hAnsi="Times New Roman" w:cs="Times New Roman"/>
          <w:sz w:val="24"/>
          <w:szCs w:val="24"/>
        </w:rPr>
        <w:t>gestion financière</w:t>
      </w:r>
      <w:r w:rsidRPr="00186880">
        <w:rPr>
          <w:rFonts w:ascii="Times New Roman" w:hAnsi="Times New Roman" w:cs="Times New Roman"/>
          <w:sz w:val="24"/>
          <w:szCs w:val="24"/>
        </w:rPr>
        <w:t xml:space="preserve"> de tous les acteurs et agents publics impliqués dans la mise en œuvre du projet</w:t>
      </w:r>
    </w:p>
    <w:p w14:paraId="6A7B6608" w14:textId="26EF8EBD" w:rsidR="00760A11" w:rsidRPr="000E2D73" w:rsidRDefault="00760A11" w:rsidP="00760A11">
      <w:pPr>
        <w:pStyle w:val="Paragraphedeliste"/>
        <w:autoSpaceDE w:val="0"/>
        <w:autoSpaceDN w:val="0"/>
        <w:adjustRightInd w:val="0"/>
        <w:spacing w:line="360" w:lineRule="auto"/>
        <w:ind w:left="0"/>
        <w:jc w:val="both"/>
        <w:rPr>
          <w:rFonts w:ascii="Times New Roman" w:hAnsi="Times New Roman" w:cs="Times New Roman"/>
          <w:color w:val="000000"/>
          <w:sz w:val="24"/>
          <w:szCs w:val="24"/>
          <w:lang w:eastAsia="fr-FR"/>
        </w:rPr>
      </w:pPr>
      <w:r w:rsidRPr="000E2D73">
        <w:rPr>
          <w:rFonts w:ascii="Times New Roman" w:hAnsi="Times New Roman" w:cs="Times New Roman"/>
          <w:color w:val="000000"/>
          <w:sz w:val="24"/>
          <w:szCs w:val="24"/>
          <w:lang w:eastAsia="fr-FR"/>
        </w:rPr>
        <w:t xml:space="preserve">II.2. Spécifiques </w:t>
      </w:r>
    </w:p>
    <w:p w14:paraId="1B062E4E" w14:textId="77777777" w:rsidR="00760A11" w:rsidRPr="00760A11" w:rsidRDefault="00760A11" w:rsidP="00760A11">
      <w:pPr>
        <w:spacing w:line="360" w:lineRule="auto"/>
        <w:jc w:val="both"/>
        <w:rPr>
          <w:rFonts w:ascii="Times New Roman" w:hAnsi="Times New Roman" w:cs="Times New Roman"/>
          <w:color w:val="000000"/>
          <w:sz w:val="24"/>
          <w:szCs w:val="24"/>
          <w:lang w:eastAsia="fr-FR"/>
        </w:rPr>
      </w:pPr>
      <w:r w:rsidRPr="000E2D73">
        <w:rPr>
          <w:rFonts w:ascii="Times New Roman" w:hAnsi="Times New Roman" w:cs="Times New Roman"/>
          <w:color w:val="000000"/>
          <w:sz w:val="24"/>
          <w:szCs w:val="24"/>
          <w:lang w:eastAsia="fr-FR"/>
        </w:rPr>
        <w:t>Il s’agira plus particulièrement de s’assurer</w:t>
      </w:r>
      <w:r w:rsidRPr="00760A11">
        <w:rPr>
          <w:rFonts w:ascii="Times New Roman" w:hAnsi="Times New Roman" w:cs="Times New Roman"/>
          <w:color w:val="000000"/>
          <w:sz w:val="24"/>
          <w:szCs w:val="24"/>
          <w:lang w:eastAsia="fr-FR"/>
        </w:rPr>
        <w:t xml:space="preserve"> de la réalisation des tâches suivantes :</w:t>
      </w:r>
    </w:p>
    <w:p w14:paraId="572B214E" w14:textId="77777777" w:rsidR="00760A11" w:rsidRPr="00B85E8A" w:rsidRDefault="00760A11" w:rsidP="00760A11">
      <w:pPr>
        <w:spacing w:line="360" w:lineRule="auto"/>
        <w:jc w:val="both"/>
        <w:rPr>
          <w:rFonts w:ascii="Times New Roman" w:hAnsi="Times New Roman" w:cs="Times New Roman"/>
          <w:b/>
          <w:color w:val="000000"/>
          <w:sz w:val="24"/>
          <w:szCs w:val="24"/>
          <w:lang w:eastAsia="fr-FR"/>
        </w:rPr>
      </w:pPr>
      <w:r w:rsidRPr="00B85E8A">
        <w:rPr>
          <w:rFonts w:ascii="Times New Roman" w:hAnsi="Times New Roman" w:cs="Times New Roman"/>
          <w:b/>
          <w:color w:val="000000"/>
          <w:sz w:val="24"/>
          <w:szCs w:val="24"/>
          <w:lang w:eastAsia="fr-FR"/>
        </w:rPr>
        <w:t>Au niveau de la Comptabilité</w:t>
      </w:r>
    </w:p>
    <w:p w14:paraId="2CA9854E" w14:textId="77777777" w:rsidR="00760A11" w:rsidRPr="00760A11" w:rsidRDefault="00760A11" w:rsidP="00760A11">
      <w:pPr>
        <w:widowControl w:val="0"/>
        <w:numPr>
          <w:ilvl w:val="0"/>
          <w:numId w:val="22"/>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 xml:space="preserve">S'assurer du contrôle et du classement des documents sources (pièces justificatives – </w:t>
      </w:r>
      <w:r w:rsidRPr="00760A11">
        <w:rPr>
          <w:rFonts w:ascii="Times New Roman" w:hAnsi="Times New Roman" w:cs="Times New Roman"/>
          <w:color w:val="000000"/>
          <w:sz w:val="24"/>
          <w:szCs w:val="24"/>
          <w:lang w:eastAsia="fr-FR"/>
        </w:rPr>
        <w:lastRenderedPageBreak/>
        <w:t>rapports- contrats, etc.) ;</w:t>
      </w:r>
    </w:p>
    <w:p w14:paraId="7E6BBE40" w14:textId="77777777" w:rsidR="00760A11" w:rsidRPr="00760A11" w:rsidRDefault="00760A11" w:rsidP="00760A11">
      <w:pPr>
        <w:widowControl w:val="0"/>
        <w:numPr>
          <w:ilvl w:val="0"/>
          <w:numId w:val="22"/>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S'assurer du maintien en bon état et à jour des documents, livres et registres comptables ;</w:t>
      </w:r>
    </w:p>
    <w:p w14:paraId="066E90F1" w14:textId="77777777" w:rsidR="00760A11" w:rsidRPr="00760A11" w:rsidRDefault="00760A11" w:rsidP="00760A11">
      <w:pPr>
        <w:widowControl w:val="0"/>
        <w:numPr>
          <w:ilvl w:val="0"/>
          <w:numId w:val="22"/>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S'assurer de la documentation adéquate des transactions enregistrées ;</w:t>
      </w:r>
    </w:p>
    <w:p w14:paraId="5ABB3269"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Approuver les demandes de paiement directs et, le cas échéant, le contrôle des pièces justificatives et la constitution des dossiers pour les paiements directs et les engagements spéciaux ;</w:t>
      </w:r>
    </w:p>
    <w:p w14:paraId="5A89BD36"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les demandes de retraits de fonds, faire le suivi du compte désigné, approvisionner et réapprovisionner régulièrement le compte désigné ;</w:t>
      </w:r>
    </w:p>
    <w:p w14:paraId="712C9D00"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Faire les prévisions nécessaires afin de s’assurer que les comptes du Projet disposent toujours de fonds suffisants pour répondre à temps aux besoins ;</w:t>
      </w:r>
    </w:p>
    <w:p w14:paraId="579007C7"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Vérifier la conformité des pièces (contrats, factures et autres), préparer et/ou approuver les requêtes de décaissements liées à l’émission des chèques ;</w:t>
      </w:r>
    </w:p>
    <w:p w14:paraId="4B874405"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Approuver les conciliations bancaires des projets ;</w:t>
      </w:r>
    </w:p>
    <w:p w14:paraId="1F494EC8"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Participer en collaboration avec le Responsable de la Passation des Marchés (RPM) à la réception des biens et services acquis au titre du Projet, et s’assurer de leur conformité avec les spécifications des cahiers de charge ;</w:t>
      </w:r>
    </w:p>
    <w:p w14:paraId="5A6015C3"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S’assurer de la réalisation de l’inventaire du stock de matériel, des fournitures ainsi que l’inventaire physique des biens meubles et immeubles des projets par source de financement sur une base périodique et au minimum une fois à la fin de chaque exercice ;</w:t>
      </w:r>
    </w:p>
    <w:p w14:paraId="332FC224" w14:textId="77777777" w:rsidR="00760A11" w:rsidRPr="00760A11" w:rsidRDefault="00760A11" w:rsidP="00760A11">
      <w:pPr>
        <w:numPr>
          <w:ilvl w:val="0"/>
          <w:numId w:val="22"/>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Vérifier la validité et la conformité des pièces justificatives correspondantes aux demandes de paiements pour les primes de risque ;</w:t>
      </w:r>
    </w:p>
    <w:p w14:paraId="4A37B2EC" w14:textId="77777777" w:rsidR="00760A11" w:rsidRPr="00B85E8A" w:rsidRDefault="00760A11" w:rsidP="00760A11">
      <w:pPr>
        <w:spacing w:line="360" w:lineRule="auto"/>
        <w:jc w:val="both"/>
        <w:rPr>
          <w:rFonts w:ascii="Times New Roman" w:hAnsi="Times New Roman" w:cs="Times New Roman"/>
          <w:b/>
          <w:color w:val="000000"/>
          <w:sz w:val="24"/>
          <w:szCs w:val="24"/>
          <w:lang w:eastAsia="fr-FR"/>
        </w:rPr>
      </w:pPr>
      <w:r w:rsidRPr="00B85E8A">
        <w:rPr>
          <w:rFonts w:ascii="Times New Roman" w:hAnsi="Times New Roman" w:cs="Times New Roman"/>
          <w:b/>
          <w:color w:val="000000"/>
          <w:sz w:val="24"/>
          <w:szCs w:val="24"/>
          <w:lang w:eastAsia="fr-FR"/>
        </w:rPr>
        <w:t xml:space="preserve">Au niveau de la gestion budgétaire, de trésorerie et du reporting  </w:t>
      </w:r>
    </w:p>
    <w:p w14:paraId="55D7EB63" w14:textId="77777777" w:rsidR="00760A11" w:rsidRPr="00760A11" w:rsidRDefault="00760A11" w:rsidP="00760A11">
      <w:pPr>
        <w:numPr>
          <w:ilvl w:val="0"/>
          <w:numId w:val="21"/>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consolider et mettre à jour les budgets des projets et des plans de financement correspondants selon le programme de travail arrêté et faire le suivi périodique ;</w:t>
      </w:r>
    </w:p>
    <w:p w14:paraId="576E2522" w14:textId="77777777" w:rsidR="00760A11" w:rsidRPr="00760A11" w:rsidRDefault="00760A11" w:rsidP="00760A11">
      <w:pPr>
        <w:pStyle w:val="Paragraphedeliste"/>
        <w:numPr>
          <w:ilvl w:val="0"/>
          <w:numId w:val="21"/>
        </w:numPr>
        <w:spacing w:after="0" w:line="360" w:lineRule="auto"/>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 xml:space="preserve">Préparer et soumettre le planning de liquidité et la programmation des flux de trésorerie ; </w:t>
      </w:r>
    </w:p>
    <w:p w14:paraId="37935FF8" w14:textId="77777777" w:rsidR="00760A11" w:rsidRPr="00760A11" w:rsidRDefault="00760A11" w:rsidP="00760A11">
      <w:pPr>
        <w:numPr>
          <w:ilvl w:val="0"/>
          <w:numId w:val="21"/>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Élaborer et mettre à jour des états faisant apparaître les montants alloués, les engagements, les dépenses et les estimations des activités programmées et tous les rapports nécessaires aux examens périodiques ;</w:t>
      </w:r>
    </w:p>
    <w:p w14:paraId="2BD58609" w14:textId="77777777" w:rsidR="00760A11" w:rsidRPr="00760A11" w:rsidRDefault="00760A11" w:rsidP="00760A11">
      <w:pPr>
        <w:numPr>
          <w:ilvl w:val="0"/>
          <w:numId w:val="21"/>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les rapports financiers requis pour chaque projet ;</w:t>
      </w:r>
    </w:p>
    <w:p w14:paraId="3983D20C" w14:textId="77777777" w:rsidR="00760A11" w:rsidRPr="00760A11" w:rsidRDefault="00760A11" w:rsidP="00760A11">
      <w:pPr>
        <w:numPr>
          <w:ilvl w:val="0"/>
          <w:numId w:val="21"/>
        </w:numPr>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les états financiers des projets conformément aux normes comptables admises au plan international et en vigueur au dans la Zone OHADA.</w:t>
      </w:r>
    </w:p>
    <w:p w14:paraId="058F0EE2" w14:textId="77777777" w:rsidR="00B85E8A" w:rsidRDefault="00B85E8A" w:rsidP="00760A11">
      <w:pPr>
        <w:spacing w:line="360" w:lineRule="auto"/>
        <w:jc w:val="both"/>
        <w:rPr>
          <w:rFonts w:ascii="Times New Roman" w:hAnsi="Times New Roman" w:cs="Times New Roman"/>
          <w:b/>
          <w:color w:val="000000"/>
          <w:sz w:val="24"/>
          <w:szCs w:val="24"/>
          <w:lang w:eastAsia="fr-FR"/>
        </w:rPr>
      </w:pPr>
    </w:p>
    <w:p w14:paraId="5C3AB49D" w14:textId="77777777" w:rsidR="00B85E8A" w:rsidRDefault="00B85E8A" w:rsidP="00760A11">
      <w:pPr>
        <w:spacing w:line="360" w:lineRule="auto"/>
        <w:jc w:val="both"/>
        <w:rPr>
          <w:rFonts w:ascii="Times New Roman" w:hAnsi="Times New Roman" w:cs="Times New Roman"/>
          <w:b/>
          <w:color w:val="000000"/>
          <w:sz w:val="24"/>
          <w:szCs w:val="24"/>
          <w:lang w:eastAsia="fr-FR"/>
        </w:rPr>
      </w:pPr>
    </w:p>
    <w:p w14:paraId="111DFAD7" w14:textId="77777777" w:rsidR="00760A11" w:rsidRPr="00B85E8A" w:rsidRDefault="00760A11" w:rsidP="00760A11">
      <w:pPr>
        <w:spacing w:line="360" w:lineRule="auto"/>
        <w:jc w:val="both"/>
        <w:rPr>
          <w:rFonts w:ascii="Times New Roman" w:hAnsi="Times New Roman" w:cs="Times New Roman"/>
          <w:b/>
          <w:color w:val="000000"/>
          <w:sz w:val="24"/>
          <w:szCs w:val="24"/>
          <w:lang w:eastAsia="fr-FR"/>
        </w:rPr>
      </w:pPr>
      <w:r w:rsidRPr="00B85E8A">
        <w:rPr>
          <w:rFonts w:ascii="Times New Roman" w:hAnsi="Times New Roman" w:cs="Times New Roman"/>
          <w:b/>
          <w:color w:val="000000"/>
          <w:sz w:val="24"/>
          <w:szCs w:val="24"/>
          <w:lang w:eastAsia="fr-FR"/>
        </w:rPr>
        <w:lastRenderedPageBreak/>
        <w:t>Au niveau de l’audit</w:t>
      </w:r>
    </w:p>
    <w:p w14:paraId="462CD3D6" w14:textId="77777777" w:rsidR="00760A11" w:rsidRPr="00760A11" w:rsidRDefault="00760A11" w:rsidP="00760A11">
      <w:pPr>
        <w:numPr>
          <w:ilvl w:val="0"/>
          <w:numId w:val="23"/>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et soumettre à la Banque Mondiale pour non objection les termes de référence des auditeurs en phase de recrutement ;</w:t>
      </w:r>
    </w:p>
    <w:p w14:paraId="40C78864" w14:textId="77777777" w:rsidR="00760A11" w:rsidRPr="00760A11" w:rsidRDefault="00760A11" w:rsidP="00760A11">
      <w:pPr>
        <w:pStyle w:val="Paragraphedeliste"/>
        <w:numPr>
          <w:ilvl w:val="0"/>
          <w:numId w:val="23"/>
        </w:numPr>
        <w:spacing w:after="0" w:line="360" w:lineRule="auto"/>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l’audit financier de tous les projets ;</w:t>
      </w:r>
    </w:p>
    <w:p w14:paraId="41C84164" w14:textId="77777777" w:rsidR="00760A11" w:rsidRPr="00760A11" w:rsidRDefault="00760A11" w:rsidP="00760A11">
      <w:pPr>
        <w:numPr>
          <w:ilvl w:val="0"/>
          <w:numId w:val="23"/>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Assurer la liaison avec les auditeurs externes concernant le calendrier et l’étendue des audits et une assistance dans l’exercice de leur mandat ;</w:t>
      </w:r>
    </w:p>
    <w:p w14:paraId="3A8163BC" w14:textId="77777777" w:rsidR="00760A11" w:rsidRPr="00760A11" w:rsidRDefault="00760A11" w:rsidP="00760A11">
      <w:pPr>
        <w:numPr>
          <w:ilvl w:val="0"/>
          <w:numId w:val="23"/>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Préparer et soumettre les états financiers des projets aux auditeurs externes dans les délais requis et faciliter le processus d’audit.</w:t>
      </w:r>
    </w:p>
    <w:p w14:paraId="3F8AB4D7" w14:textId="118DBCC2" w:rsidR="008D1ABE" w:rsidRPr="00B85E8A" w:rsidRDefault="00760A11" w:rsidP="00B85E8A">
      <w:pPr>
        <w:numPr>
          <w:ilvl w:val="0"/>
          <w:numId w:val="23"/>
        </w:numPr>
        <w:autoSpaceDE w:val="0"/>
        <w:autoSpaceDN w:val="0"/>
        <w:adjustRightInd w:val="0"/>
        <w:spacing w:after="0" w:line="360" w:lineRule="auto"/>
        <w:jc w:val="both"/>
        <w:rPr>
          <w:rFonts w:ascii="Times New Roman" w:hAnsi="Times New Roman" w:cs="Times New Roman"/>
          <w:color w:val="000000"/>
          <w:sz w:val="24"/>
          <w:szCs w:val="24"/>
          <w:lang w:eastAsia="fr-FR"/>
        </w:rPr>
      </w:pPr>
      <w:r w:rsidRPr="00760A11">
        <w:rPr>
          <w:rFonts w:ascii="Times New Roman" w:hAnsi="Times New Roman" w:cs="Times New Roman"/>
          <w:color w:val="000000"/>
          <w:sz w:val="24"/>
          <w:szCs w:val="24"/>
          <w:lang w:eastAsia="fr-FR"/>
        </w:rPr>
        <w:t>Mettre en œuvre les recommandations comptables et financières et transmettre le rapport d’audit et informer les autres parties prenantes (coordonnateurs, responsables techniques de composantes…) des recommandations relevant de leurs responsabilités.</w:t>
      </w:r>
    </w:p>
    <w:p w14:paraId="08BFAE7E" w14:textId="77777777" w:rsidR="004F7E29" w:rsidRPr="00A62980" w:rsidRDefault="004F7E29" w:rsidP="00A62980">
      <w:pPr>
        <w:pStyle w:val="Paragraphedeliste"/>
        <w:spacing w:after="0" w:line="240" w:lineRule="auto"/>
        <w:ind w:left="1800"/>
        <w:jc w:val="both"/>
        <w:rPr>
          <w:rFonts w:ascii="Times New Roman" w:eastAsia="Times New Roman" w:hAnsi="Times New Roman" w:cs="Times New Roman"/>
          <w:spacing w:val="-3"/>
          <w:sz w:val="24"/>
          <w:szCs w:val="24"/>
          <w:lang w:eastAsia="fr-FR"/>
        </w:rPr>
      </w:pPr>
    </w:p>
    <w:p w14:paraId="3EF07878" w14:textId="77777777" w:rsidR="008D1ABE" w:rsidRPr="00A62980" w:rsidRDefault="008D1ABE" w:rsidP="00A62980">
      <w:pPr>
        <w:spacing w:before="80"/>
        <w:jc w:val="both"/>
        <w:rPr>
          <w:rFonts w:ascii="Times New Roman" w:hAnsi="Times New Roman" w:cs="Times New Roman"/>
          <w:b/>
          <w:color w:val="000000"/>
          <w:sz w:val="24"/>
          <w:szCs w:val="24"/>
          <w:lang w:eastAsia="fr-FR"/>
        </w:rPr>
      </w:pPr>
      <w:r w:rsidRPr="00A62980">
        <w:rPr>
          <w:rFonts w:ascii="Times New Roman" w:hAnsi="Times New Roman" w:cs="Times New Roman"/>
          <w:color w:val="000000"/>
          <w:sz w:val="24"/>
          <w:szCs w:val="24"/>
          <w:lang w:eastAsia="fr-FR"/>
        </w:rPr>
        <w:t>III</w:t>
      </w:r>
      <w:r w:rsidRPr="00A62980">
        <w:rPr>
          <w:rFonts w:ascii="Times New Roman" w:hAnsi="Times New Roman" w:cs="Times New Roman"/>
          <w:color w:val="000000"/>
          <w:sz w:val="24"/>
          <w:szCs w:val="24"/>
          <w:lang w:eastAsia="fr-FR"/>
        </w:rPr>
        <w:tab/>
      </w:r>
      <w:r w:rsidRPr="00A62980">
        <w:rPr>
          <w:rFonts w:ascii="Times New Roman" w:hAnsi="Times New Roman" w:cs="Times New Roman"/>
          <w:b/>
          <w:color w:val="000000"/>
          <w:sz w:val="24"/>
          <w:szCs w:val="24"/>
          <w:lang w:eastAsia="fr-FR"/>
        </w:rPr>
        <w:t>Profil requis</w:t>
      </w:r>
    </w:p>
    <w:p w14:paraId="2A4A7288" w14:textId="3633503B" w:rsidR="008D1ABE" w:rsidRDefault="009523AA"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Etre titulaire d’un diplôme universitaire de niveau</w:t>
      </w:r>
      <w:r w:rsidR="008D1ABE" w:rsidRPr="00A62980">
        <w:rPr>
          <w:rFonts w:ascii="Times New Roman" w:eastAsia="Times New Roman" w:hAnsi="Times New Roman" w:cs="Times New Roman"/>
          <w:spacing w:val="-3"/>
          <w:sz w:val="24"/>
          <w:szCs w:val="24"/>
          <w:lang w:eastAsia="fr-FR"/>
        </w:rPr>
        <w:t xml:space="preserve"> au moins</w:t>
      </w:r>
      <w:r w:rsidRPr="00A62980">
        <w:rPr>
          <w:rFonts w:ascii="Times New Roman" w:eastAsia="Times New Roman" w:hAnsi="Times New Roman" w:cs="Times New Roman"/>
          <w:spacing w:val="-3"/>
          <w:sz w:val="24"/>
          <w:szCs w:val="24"/>
          <w:lang w:eastAsia="fr-FR"/>
        </w:rPr>
        <w:t xml:space="preserve"> licence (Bac+5 ou équivalent) </w:t>
      </w:r>
      <w:r w:rsidR="008D1ABE" w:rsidRPr="00A62980">
        <w:rPr>
          <w:rFonts w:ascii="Times New Roman" w:eastAsia="Times New Roman" w:hAnsi="Times New Roman" w:cs="Times New Roman"/>
          <w:spacing w:val="-3"/>
          <w:sz w:val="24"/>
          <w:szCs w:val="24"/>
          <w:lang w:eastAsia="fr-FR"/>
        </w:rPr>
        <w:t xml:space="preserve"> en gestion financière, expertise comptable ou tout autre diplôme équivalent ;  </w:t>
      </w:r>
    </w:p>
    <w:p w14:paraId="47F20A9F" w14:textId="6B5CE6D6" w:rsidR="00C54C17" w:rsidRPr="00A62980" w:rsidRDefault="00C54C17" w:rsidP="00C54C17">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 xml:space="preserve">Disposer d’au moins 10 ans d’expérience professionnelle en gestion administrative et financière au sein de la fonction publique, dans une entreprise privée, dans les projets de développement </w:t>
      </w:r>
      <w:r>
        <w:rPr>
          <w:rFonts w:ascii="Times New Roman" w:eastAsia="Times New Roman" w:hAnsi="Times New Roman" w:cs="Times New Roman"/>
          <w:spacing w:val="-3"/>
          <w:sz w:val="24"/>
          <w:szCs w:val="24"/>
          <w:lang w:eastAsia="fr-FR"/>
        </w:rPr>
        <w:t xml:space="preserve">dans la </w:t>
      </w:r>
      <w:r w:rsidRPr="00E905D9">
        <w:rPr>
          <w:rFonts w:ascii="Times New Roman" w:eastAsia="Times New Roman" w:hAnsi="Times New Roman" w:cs="Times New Roman"/>
          <w:spacing w:val="-3"/>
          <w:sz w:val="24"/>
          <w:szCs w:val="24"/>
          <w:lang w:eastAsia="fr-FR"/>
        </w:rPr>
        <w:t>préparation de maintien des comptes et utilisation de systèmes de gestion d’information pour les larges opérations</w:t>
      </w:r>
      <w:r w:rsidRPr="00EA61D4">
        <w:t> </w:t>
      </w:r>
      <w:r w:rsidRPr="00A62980">
        <w:rPr>
          <w:rFonts w:ascii="Times New Roman" w:eastAsia="Times New Roman" w:hAnsi="Times New Roman" w:cs="Times New Roman"/>
          <w:spacing w:val="-3"/>
          <w:sz w:val="24"/>
          <w:szCs w:val="24"/>
          <w:lang w:eastAsia="fr-FR"/>
        </w:rPr>
        <w:t>dont 7 ans comme Responsable Administratif et Financier (envergure du projet);</w:t>
      </w:r>
    </w:p>
    <w:p w14:paraId="6999AF96" w14:textId="77777777" w:rsidR="00C54C17" w:rsidRPr="00A62980" w:rsidRDefault="00C54C17"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p>
    <w:p w14:paraId="05188435" w14:textId="6610856B" w:rsidR="008D1ABE" w:rsidRPr="00A62980" w:rsidRDefault="00760A11"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E905D9">
        <w:rPr>
          <w:rFonts w:ascii="Times New Roman" w:eastAsia="Times New Roman" w:hAnsi="Times New Roman" w:cs="Times New Roman"/>
          <w:spacing w:val="-3"/>
          <w:sz w:val="24"/>
          <w:szCs w:val="24"/>
          <w:lang w:eastAsia="fr-FR"/>
        </w:rPr>
        <w:t>Avoir d’excellentes compétences en gestion d’équipe</w:t>
      </w:r>
      <w:r w:rsidR="008D1ABE" w:rsidRPr="00A62980">
        <w:rPr>
          <w:rFonts w:ascii="Times New Roman" w:eastAsia="Times New Roman" w:hAnsi="Times New Roman" w:cs="Times New Roman"/>
          <w:spacing w:val="-3"/>
          <w:sz w:val="24"/>
          <w:szCs w:val="24"/>
          <w:lang w:eastAsia="fr-FR"/>
        </w:rPr>
        <w:t>;</w:t>
      </w:r>
      <w:r w:rsidR="00C54C17">
        <w:rPr>
          <w:rFonts w:ascii="Times New Roman" w:eastAsia="Times New Roman" w:hAnsi="Times New Roman" w:cs="Times New Roman"/>
          <w:spacing w:val="-3"/>
          <w:sz w:val="24"/>
          <w:szCs w:val="24"/>
          <w:lang w:eastAsia="fr-FR"/>
        </w:rPr>
        <w:t xml:space="preserve"> </w:t>
      </w:r>
    </w:p>
    <w:p w14:paraId="281C59D5"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Avoir une bonne connaissance des règles et procédures des finances publiques ; et de gestion budgétaire et financière des projets financés par les Bailleurs de Fonds ;</w:t>
      </w:r>
    </w:p>
    <w:p w14:paraId="62AF1A24"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Avoir une bonne connaissance des mécanismes et procédures de gestion des projets de développement ; la connaissance des procédures de décaissement de la Banque mondiale est un atout du poste.</w:t>
      </w:r>
    </w:p>
    <w:p w14:paraId="728AC824"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Avoir d’excellentes compétences relationnelles, notamment l’ouverture d’esprit, le sens du dialogue, le respect et l’esprit d’équipe ;</w:t>
      </w:r>
    </w:p>
    <w:p w14:paraId="2808E798" w14:textId="77777777" w:rsidR="009523AA" w:rsidRPr="00A62980" w:rsidRDefault="009523AA"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Avoir une grande capacité organisationnelle, une réactivité et une proactivité ;</w:t>
      </w:r>
    </w:p>
    <w:p w14:paraId="78A96FA8" w14:textId="5F9D94BE" w:rsidR="009523AA" w:rsidRPr="00A62980" w:rsidRDefault="009523AA"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 xml:space="preserve">Bonne capacités de résolution des problèmes liés à la gestion financière et des ressources humaines; </w:t>
      </w:r>
    </w:p>
    <w:p w14:paraId="474CD32A" w14:textId="77777777" w:rsidR="009523AA" w:rsidRPr="00A62980" w:rsidRDefault="009523AA"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 xml:space="preserve">Avoir le sens de responsabilité, d’honnêteté et d’intégrité; </w:t>
      </w:r>
    </w:p>
    <w:p w14:paraId="694DD2EA" w14:textId="77777777" w:rsidR="009523AA" w:rsidRPr="00A62980" w:rsidRDefault="009523AA"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Avoir un esprit d’initiative et une rigueur dans le traitement des dossiers</w:t>
      </w:r>
    </w:p>
    <w:p w14:paraId="2938846A" w14:textId="77777777" w:rsidR="008D1ABE" w:rsidRPr="00A62980" w:rsidRDefault="008D1ABE" w:rsidP="00A62980">
      <w:pPr>
        <w:spacing w:before="80" w:after="80"/>
        <w:jc w:val="both"/>
        <w:rPr>
          <w:rFonts w:ascii="Times New Roman" w:hAnsi="Times New Roman" w:cs="Times New Roman"/>
          <w:color w:val="000000"/>
          <w:sz w:val="24"/>
          <w:szCs w:val="24"/>
          <w:lang w:eastAsia="fr-FR"/>
        </w:rPr>
      </w:pPr>
      <w:r w:rsidRPr="00A62980">
        <w:rPr>
          <w:rFonts w:ascii="Times New Roman" w:hAnsi="Times New Roman" w:cs="Times New Roman"/>
          <w:color w:val="000000"/>
          <w:sz w:val="24"/>
          <w:szCs w:val="24"/>
          <w:lang w:eastAsia="fr-FR"/>
        </w:rPr>
        <w:t xml:space="preserve">Par ailleurs, le candidat ou la candidate devra: </w:t>
      </w:r>
    </w:p>
    <w:p w14:paraId="387A575C" w14:textId="3C0F50D0" w:rsidR="008D1ABE" w:rsidRPr="00A62980" w:rsidRDefault="00186880"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E</w:t>
      </w:r>
      <w:r w:rsidR="008D1ABE" w:rsidRPr="00A62980">
        <w:rPr>
          <w:rFonts w:ascii="Times New Roman" w:eastAsia="Times New Roman" w:hAnsi="Times New Roman" w:cs="Times New Roman"/>
          <w:spacing w:val="-3"/>
          <w:sz w:val="24"/>
          <w:szCs w:val="24"/>
          <w:lang w:eastAsia="fr-FR"/>
        </w:rPr>
        <w:t>tre capable de créer les conditions propices de travail en équipe ;</w:t>
      </w:r>
    </w:p>
    <w:p w14:paraId="3A3C2296"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lastRenderedPageBreak/>
        <w:t xml:space="preserve">Avoir une bonne maîtrise opérationnelle de l’outil informatique ainsi que de logiciels spécialisés de Gestion des Projets (comptabilité, finances). La maîtrise du logiciel comptable TOMPRO serait un atout </w:t>
      </w:r>
    </w:p>
    <w:p w14:paraId="30079B73"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 xml:space="preserve">Une bonne connaissance des outils de suivi et contrôle des projets, </w:t>
      </w:r>
    </w:p>
    <w:p w14:paraId="4F16C725" w14:textId="77777777" w:rsidR="001277AB" w:rsidRPr="00A62980" w:rsidRDefault="001277AB" w:rsidP="00A62980">
      <w:pPr>
        <w:pStyle w:val="Paragraphedeliste"/>
        <w:numPr>
          <w:ilvl w:val="0"/>
          <w:numId w:val="7"/>
        </w:numPr>
        <w:spacing w:after="0" w:line="240" w:lineRule="auto"/>
        <w:jc w:val="both"/>
        <w:rPr>
          <w:rFonts w:ascii="Times New Roman" w:eastAsia="Times New Roman" w:hAnsi="Times New Roman" w:cs="Times New Roman"/>
          <w:spacing w:val="-3"/>
          <w:sz w:val="24"/>
          <w:szCs w:val="24"/>
          <w:lang w:eastAsia="fr-FR"/>
        </w:rPr>
      </w:pPr>
      <w:r w:rsidRPr="00A62980">
        <w:rPr>
          <w:rFonts w:ascii="Times New Roman" w:eastAsia="Times New Roman" w:hAnsi="Times New Roman" w:cs="Times New Roman"/>
          <w:spacing w:val="-3"/>
          <w:sz w:val="24"/>
          <w:szCs w:val="24"/>
          <w:lang w:eastAsia="fr-FR"/>
        </w:rPr>
        <w:t xml:space="preserve">Avoir la capacité de rédaction des textes techniques, économiques et administratifs.          </w:t>
      </w:r>
    </w:p>
    <w:p w14:paraId="4EB1A6EE" w14:textId="5CD240A3" w:rsidR="00C17388" w:rsidRPr="00186880" w:rsidRDefault="00186880" w:rsidP="00186880">
      <w:pPr>
        <w:ind w:left="360"/>
        <w:jc w:val="both"/>
        <w:rPr>
          <w:rFonts w:ascii="Times New Roman" w:hAnsi="Times New Roman" w:cs="Times New Roman"/>
          <w:b/>
          <w:sz w:val="24"/>
          <w:szCs w:val="24"/>
        </w:rPr>
      </w:pPr>
      <w:r>
        <w:rPr>
          <w:rFonts w:ascii="Times New Roman" w:hAnsi="Times New Roman" w:cs="Times New Roman"/>
          <w:b/>
          <w:sz w:val="24"/>
          <w:szCs w:val="24"/>
        </w:rPr>
        <w:t>IV.</w:t>
      </w:r>
      <w:r w:rsidRPr="00186880">
        <w:rPr>
          <w:rFonts w:ascii="Times New Roman" w:hAnsi="Times New Roman" w:cs="Times New Roman"/>
          <w:b/>
          <w:sz w:val="24"/>
          <w:szCs w:val="24"/>
        </w:rPr>
        <w:t xml:space="preserve"> Incompatibilité</w:t>
      </w:r>
      <w:r w:rsidR="00C17388" w:rsidRPr="00186880">
        <w:rPr>
          <w:rFonts w:ascii="Times New Roman" w:hAnsi="Times New Roman" w:cs="Times New Roman"/>
          <w:b/>
          <w:sz w:val="24"/>
          <w:szCs w:val="24"/>
        </w:rPr>
        <w:t xml:space="preserve"> avec certaines fonctions au sein de la cellule d’exécution du projet </w:t>
      </w:r>
    </w:p>
    <w:p w14:paraId="105DE52F" w14:textId="1C8BB9A6" w:rsidR="00C17388" w:rsidRPr="00A62980" w:rsidRDefault="00C17388" w:rsidP="00A62980">
      <w:pPr>
        <w:jc w:val="both"/>
        <w:rPr>
          <w:rFonts w:ascii="Times New Roman" w:hAnsi="Times New Roman" w:cs="Times New Roman"/>
          <w:sz w:val="24"/>
          <w:szCs w:val="24"/>
        </w:rPr>
      </w:pPr>
      <w:r w:rsidRPr="00A62980">
        <w:rPr>
          <w:rFonts w:ascii="Times New Roman" w:hAnsi="Times New Roman" w:cs="Times New Roman"/>
          <w:sz w:val="24"/>
          <w:szCs w:val="24"/>
        </w:rPr>
        <w:t>Afin d’éviter les situations potentielles de conflit d’intérêts qui pourraient ne pas lui permettre de donner un avis objectif dans le seul intér</w:t>
      </w:r>
      <w:r w:rsidR="00DB3272" w:rsidRPr="00A62980">
        <w:rPr>
          <w:rFonts w:ascii="Times New Roman" w:hAnsi="Times New Roman" w:cs="Times New Roman"/>
          <w:sz w:val="24"/>
          <w:szCs w:val="24"/>
        </w:rPr>
        <w:t>êt du client, le Responsable Administratif et Financier</w:t>
      </w:r>
      <w:r w:rsidRPr="00A62980">
        <w:rPr>
          <w:rFonts w:ascii="Times New Roman" w:hAnsi="Times New Roman" w:cs="Times New Roman"/>
          <w:sz w:val="24"/>
          <w:szCs w:val="24"/>
        </w:rPr>
        <w:t xml:space="preserve"> </w:t>
      </w:r>
    </w:p>
    <w:p w14:paraId="24E47247" w14:textId="222CD631" w:rsidR="00C17388" w:rsidRPr="00A62980" w:rsidRDefault="00C17388" w:rsidP="00A62980">
      <w:pPr>
        <w:numPr>
          <w:ilvl w:val="0"/>
          <w:numId w:val="18"/>
        </w:numPr>
        <w:spacing w:after="0" w:line="240" w:lineRule="auto"/>
        <w:jc w:val="both"/>
        <w:rPr>
          <w:rFonts w:ascii="Times New Roman" w:hAnsi="Times New Roman" w:cs="Times New Roman"/>
          <w:sz w:val="24"/>
          <w:szCs w:val="24"/>
        </w:rPr>
      </w:pPr>
      <w:r w:rsidRPr="00A62980">
        <w:rPr>
          <w:rFonts w:ascii="Times New Roman" w:hAnsi="Times New Roman" w:cs="Times New Roman"/>
          <w:sz w:val="24"/>
          <w:szCs w:val="24"/>
        </w:rPr>
        <w:t>Ne devra pas être da</w:t>
      </w:r>
      <w:r w:rsidR="00DB3272" w:rsidRPr="00A62980">
        <w:rPr>
          <w:rFonts w:ascii="Times New Roman" w:hAnsi="Times New Roman" w:cs="Times New Roman"/>
          <w:sz w:val="24"/>
          <w:szCs w:val="24"/>
        </w:rPr>
        <w:t xml:space="preserve">ns une position de </w:t>
      </w:r>
      <w:r w:rsidRPr="00A62980">
        <w:rPr>
          <w:rFonts w:ascii="Times New Roman" w:hAnsi="Times New Roman" w:cs="Times New Roman"/>
          <w:sz w:val="24"/>
          <w:szCs w:val="24"/>
        </w:rPr>
        <w:t>comptable</w:t>
      </w:r>
      <w:r w:rsidR="00DB3272" w:rsidRPr="00A62980">
        <w:rPr>
          <w:rFonts w:ascii="Times New Roman" w:hAnsi="Times New Roman" w:cs="Times New Roman"/>
          <w:sz w:val="24"/>
          <w:szCs w:val="24"/>
        </w:rPr>
        <w:t xml:space="preserve">, trésorier ou caissier </w:t>
      </w:r>
      <w:r w:rsidRPr="00A62980">
        <w:rPr>
          <w:rFonts w:ascii="Times New Roman" w:hAnsi="Times New Roman" w:cs="Times New Roman"/>
          <w:sz w:val="24"/>
          <w:szCs w:val="24"/>
        </w:rPr>
        <w:t xml:space="preserve"> </w:t>
      </w:r>
    </w:p>
    <w:p w14:paraId="1AEE789B" w14:textId="04E8AD1B" w:rsidR="00C17388" w:rsidRPr="00A62980" w:rsidRDefault="00C17388" w:rsidP="00A62980">
      <w:pPr>
        <w:jc w:val="both"/>
        <w:rPr>
          <w:rFonts w:ascii="Times New Roman" w:hAnsi="Times New Roman" w:cs="Times New Roman"/>
          <w:sz w:val="24"/>
          <w:szCs w:val="24"/>
        </w:rPr>
      </w:pPr>
      <w:r w:rsidRPr="00A62980">
        <w:rPr>
          <w:rFonts w:ascii="Times New Roman" w:hAnsi="Times New Roman" w:cs="Times New Roman"/>
          <w:sz w:val="24"/>
          <w:szCs w:val="24"/>
        </w:rPr>
        <w:t xml:space="preserve">Si le candidat retenu appartient à la fonction publique, la régularisation de sa position de fonctionnaire pour être conforme </w:t>
      </w:r>
      <w:r w:rsidR="00B45C4B">
        <w:rPr>
          <w:rFonts w:ascii="Times New Roman" w:hAnsi="Times New Roman" w:cs="Times New Roman"/>
          <w:sz w:val="24"/>
          <w:szCs w:val="24"/>
        </w:rPr>
        <w:t xml:space="preserve">à l’Accord de Financement </w:t>
      </w:r>
      <w:r w:rsidR="000501E4">
        <w:rPr>
          <w:rFonts w:ascii="Times New Roman" w:hAnsi="Times New Roman" w:cs="Times New Roman"/>
          <w:sz w:val="24"/>
          <w:szCs w:val="24"/>
        </w:rPr>
        <w:t xml:space="preserve">du PNDA </w:t>
      </w:r>
      <w:r w:rsidR="00B45C4B">
        <w:rPr>
          <w:rFonts w:ascii="Times New Roman" w:hAnsi="Times New Roman" w:cs="Times New Roman"/>
          <w:sz w:val="24"/>
          <w:szCs w:val="24"/>
        </w:rPr>
        <w:t xml:space="preserve">et </w:t>
      </w:r>
      <w:r w:rsidRPr="00A62980">
        <w:rPr>
          <w:rFonts w:ascii="Times New Roman" w:hAnsi="Times New Roman" w:cs="Times New Roman"/>
          <w:sz w:val="24"/>
          <w:szCs w:val="24"/>
        </w:rPr>
        <w:t>aux directives de la Banque mondiale sera une condition de mise en vigueur de son contrat. A cet effet, les représentants de l’Etat ou fonctionnaires ne peuvent être embauchés qu’à condition que cette embauche ne soit incompatibles avec aucun règlement ou politique d’emploi du pays et que cet engagement ne créera pas de conflit d’intérêts.</w:t>
      </w:r>
    </w:p>
    <w:p w14:paraId="0B1A2096" w14:textId="0906A27B" w:rsidR="00C17388" w:rsidRPr="00A62980" w:rsidRDefault="00C17388" w:rsidP="00A62980">
      <w:pPr>
        <w:jc w:val="both"/>
        <w:rPr>
          <w:rFonts w:ascii="Times New Roman" w:hAnsi="Times New Roman" w:cs="Times New Roman"/>
          <w:b/>
          <w:color w:val="000000"/>
          <w:sz w:val="24"/>
          <w:szCs w:val="24"/>
          <w:lang w:eastAsia="fr-FR"/>
        </w:rPr>
      </w:pPr>
      <w:r w:rsidRPr="00A62980">
        <w:rPr>
          <w:rFonts w:ascii="Times New Roman" w:hAnsi="Times New Roman" w:cs="Times New Roman"/>
          <w:color w:val="000000"/>
          <w:sz w:val="24"/>
          <w:szCs w:val="24"/>
          <w:lang w:eastAsia="fr-FR"/>
        </w:rPr>
        <w:t xml:space="preserve">V. </w:t>
      </w:r>
      <w:r w:rsidRPr="00A62980">
        <w:rPr>
          <w:rFonts w:ascii="Times New Roman" w:hAnsi="Times New Roman" w:cs="Times New Roman"/>
          <w:b/>
          <w:color w:val="000000"/>
          <w:sz w:val="24"/>
          <w:szCs w:val="24"/>
          <w:lang w:eastAsia="fr-FR"/>
        </w:rPr>
        <w:t>Durée de la mission</w:t>
      </w:r>
    </w:p>
    <w:p w14:paraId="13991470" w14:textId="77777777" w:rsidR="00C17388" w:rsidRPr="00A62980" w:rsidRDefault="00C17388" w:rsidP="00A62980">
      <w:pPr>
        <w:jc w:val="both"/>
        <w:rPr>
          <w:rFonts w:ascii="Times New Roman" w:hAnsi="Times New Roman" w:cs="Times New Roman"/>
          <w:color w:val="000000"/>
          <w:sz w:val="24"/>
          <w:szCs w:val="24"/>
          <w:lang w:eastAsia="fr-FR"/>
        </w:rPr>
      </w:pPr>
      <w:r w:rsidRPr="00A62980">
        <w:rPr>
          <w:rFonts w:ascii="Times New Roman" w:hAnsi="Times New Roman" w:cs="Times New Roman"/>
          <w:color w:val="000000"/>
          <w:sz w:val="24"/>
          <w:szCs w:val="24"/>
          <w:lang w:eastAsia="fr-FR"/>
        </w:rPr>
        <w:t>La durée du contrat est de 12 mois avec possibilité de renouvellement après une évaluation satisfaisante de la performance.</w:t>
      </w:r>
    </w:p>
    <w:p w14:paraId="6AF378D9" w14:textId="0A5DA642" w:rsidR="00B77026" w:rsidRPr="00A62980" w:rsidRDefault="00B77026" w:rsidP="00A62980">
      <w:pPr>
        <w:pStyle w:val="Paragraphedeliste"/>
        <w:ind w:left="0"/>
        <w:contextualSpacing w:val="0"/>
        <w:jc w:val="both"/>
        <w:rPr>
          <w:rFonts w:ascii="Times New Roman" w:hAnsi="Times New Roman" w:cs="Times New Roman"/>
          <w:sz w:val="24"/>
          <w:szCs w:val="24"/>
          <w:lang w:val="fr-BE"/>
        </w:rPr>
      </w:pPr>
    </w:p>
    <w:sectPr w:rsidR="00B77026" w:rsidRPr="00A62980" w:rsidSect="00B827C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15E0E" w16cex:dateUtc="2021-08-01T16:53:00Z"/>
  <w16cex:commentExtensible w16cex:durableId="24B159AF" w16cex:dateUtc="2021-08-01T16:34:00Z"/>
  <w16cex:commentExtensible w16cex:durableId="24B15A15" w16cex:dateUtc="2021-08-01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5707D" w16cid:durableId="24B15E0E"/>
  <w16cid:commentId w16cid:paraId="64469CB4" w16cid:durableId="24B159AF"/>
  <w16cid:commentId w16cid:paraId="71B7A5F8" w16cid:durableId="24B15A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11B3" w14:textId="77777777" w:rsidR="00FA3C8C" w:rsidRDefault="00FA3C8C" w:rsidP="004F027B">
      <w:pPr>
        <w:spacing w:after="0" w:line="240" w:lineRule="auto"/>
      </w:pPr>
      <w:r>
        <w:separator/>
      </w:r>
    </w:p>
  </w:endnote>
  <w:endnote w:type="continuationSeparator" w:id="0">
    <w:p w14:paraId="6CCFF8D3" w14:textId="77777777" w:rsidR="00FA3C8C" w:rsidRDefault="00FA3C8C" w:rsidP="004F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92BB" w14:textId="77777777" w:rsidR="00E905D9" w:rsidRDefault="00E905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80207"/>
      <w:docPartObj>
        <w:docPartGallery w:val="Page Numbers (Bottom of Page)"/>
        <w:docPartUnique/>
      </w:docPartObj>
    </w:sdtPr>
    <w:sdtEndPr/>
    <w:sdtContent>
      <w:p w14:paraId="6E0BF0E0" w14:textId="77777777" w:rsidR="004F027B" w:rsidRDefault="004F027B">
        <w:pPr>
          <w:pStyle w:val="Pieddepage"/>
          <w:jc w:val="center"/>
        </w:pPr>
        <w:r>
          <w:fldChar w:fldCharType="begin"/>
        </w:r>
        <w:r>
          <w:instrText>PAGE   \* MERGEFORMAT</w:instrText>
        </w:r>
        <w:r>
          <w:fldChar w:fldCharType="separate"/>
        </w:r>
        <w:r w:rsidR="00084AF8">
          <w:rPr>
            <w:noProof/>
          </w:rPr>
          <w:t>1</w:t>
        </w:r>
        <w:r>
          <w:fldChar w:fldCharType="end"/>
        </w:r>
      </w:p>
    </w:sdtContent>
  </w:sdt>
  <w:p w14:paraId="5B24C087" w14:textId="77777777" w:rsidR="004F027B" w:rsidRDefault="004F02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CF16" w14:textId="77777777" w:rsidR="00E905D9" w:rsidRDefault="00E905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0383" w14:textId="77777777" w:rsidR="00FA3C8C" w:rsidRDefault="00FA3C8C" w:rsidP="004F027B">
      <w:pPr>
        <w:spacing w:after="0" w:line="240" w:lineRule="auto"/>
      </w:pPr>
      <w:r>
        <w:separator/>
      </w:r>
    </w:p>
  </w:footnote>
  <w:footnote w:type="continuationSeparator" w:id="0">
    <w:p w14:paraId="2D9408C7" w14:textId="77777777" w:rsidR="00FA3C8C" w:rsidRDefault="00FA3C8C" w:rsidP="004F027B">
      <w:pPr>
        <w:spacing w:after="0" w:line="240" w:lineRule="auto"/>
      </w:pPr>
      <w:r>
        <w:continuationSeparator/>
      </w:r>
    </w:p>
  </w:footnote>
  <w:footnote w:id="1">
    <w:p w14:paraId="79EF07BC" w14:textId="77777777" w:rsidR="008D1ABE" w:rsidRPr="00A91FB6" w:rsidRDefault="008D1ABE" w:rsidP="008D1ABE">
      <w:pPr>
        <w:pBdr>
          <w:top w:val="nil"/>
          <w:left w:val="nil"/>
          <w:bottom w:val="nil"/>
          <w:right w:val="nil"/>
          <w:between w:val="nil"/>
        </w:pBdr>
        <w:rPr>
          <w:color w:val="000000"/>
          <w:sz w:val="18"/>
          <w:szCs w:val="18"/>
        </w:rPr>
      </w:pPr>
    </w:p>
  </w:footnote>
  <w:footnote w:id="2">
    <w:p w14:paraId="045A70E8" w14:textId="77777777" w:rsidR="008D1ABE" w:rsidRPr="00A91FB6" w:rsidRDefault="008D1ABE" w:rsidP="008D1ABE">
      <w:pPr>
        <w:pStyle w:val="Notedebasdepage"/>
        <w:ind w:left="5" w:hanging="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513D" w14:textId="77777777" w:rsidR="00E905D9" w:rsidRDefault="00E905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4928" w14:textId="77777777" w:rsidR="00E905D9" w:rsidRDefault="00E905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6B23" w14:textId="77777777" w:rsidR="00E905D9" w:rsidRDefault="00E905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2">
    <w:nsid w:val="0C653E8F"/>
    <w:multiLevelType w:val="multilevel"/>
    <w:tmpl w:val="644ADB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CC3342"/>
    <w:multiLevelType w:val="hybridMultilevel"/>
    <w:tmpl w:val="2682B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A44AE9"/>
    <w:multiLevelType w:val="hybridMultilevel"/>
    <w:tmpl w:val="7116CA80"/>
    <w:lvl w:ilvl="0" w:tplc="F9F03628">
      <w:start w:val="1"/>
      <w:numFmt w:val="bullet"/>
      <w:lvlText w:val=""/>
      <w:lvlJc w:val="left"/>
      <w:pPr>
        <w:tabs>
          <w:tab w:val="num" w:pos="360"/>
        </w:tabs>
        <w:ind w:left="360" w:hanging="360"/>
      </w:pPr>
      <w:rPr>
        <w:rFonts w:ascii="Wingdings" w:hAnsi="Wingdings" w:hint="default"/>
        <w:sz w:val="24"/>
      </w:rPr>
    </w:lvl>
    <w:lvl w:ilvl="1" w:tplc="FFFFFFFF">
      <w:start w:val="1"/>
      <w:numFmt w:val="bullet"/>
      <w:lvlText w:val=""/>
      <w:lvlJc w:val="left"/>
      <w:pPr>
        <w:tabs>
          <w:tab w:val="num" w:pos="533"/>
        </w:tabs>
        <w:ind w:left="533" w:hanging="360"/>
      </w:pPr>
      <w:rPr>
        <w:rFonts w:ascii="Wingdings" w:hAnsi="Wingdings" w:hint="default"/>
        <w:sz w:val="16"/>
      </w:rPr>
    </w:lvl>
    <w:lvl w:ilvl="2" w:tplc="FFFFFFFF" w:tentative="1">
      <w:start w:val="1"/>
      <w:numFmt w:val="bullet"/>
      <w:lvlText w:val=""/>
      <w:lvlJc w:val="left"/>
      <w:pPr>
        <w:tabs>
          <w:tab w:val="num" w:pos="1253"/>
        </w:tabs>
        <w:ind w:left="1253" w:hanging="360"/>
      </w:pPr>
      <w:rPr>
        <w:rFonts w:ascii="Wingdings" w:hAnsi="Wingdings" w:hint="default"/>
      </w:rPr>
    </w:lvl>
    <w:lvl w:ilvl="3" w:tplc="FFFFFFFF" w:tentative="1">
      <w:start w:val="1"/>
      <w:numFmt w:val="bullet"/>
      <w:lvlText w:val=""/>
      <w:lvlJc w:val="left"/>
      <w:pPr>
        <w:tabs>
          <w:tab w:val="num" w:pos="1973"/>
        </w:tabs>
        <w:ind w:left="1973" w:hanging="360"/>
      </w:pPr>
      <w:rPr>
        <w:rFonts w:ascii="Symbol" w:hAnsi="Symbol" w:hint="default"/>
      </w:rPr>
    </w:lvl>
    <w:lvl w:ilvl="4" w:tplc="FFFFFFFF" w:tentative="1">
      <w:start w:val="1"/>
      <w:numFmt w:val="bullet"/>
      <w:lvlText w:val="o"/>
      <w:lvlJc w:val="left"/>
      <w:pPr>
        <w:tabs>
          <w:tab w:val="num" w:pos="2693"/>
        </w:tabs>
        <w:ind w:left="2693" w:hanging="360"/>
      </w:pPr>
      <w:rPr>
        <w:rFonts w:ascii="Courier New" w:hAnsi="Courier New" w:hint="default"/>
      </w:rPr>
    </w:lvl>
    <w:lvl w:ilvl="5" w:tplc="FFFFFFFF" w:tentative="1">
      <w:start w:val="1"/>
      <w:numFmt w:val="bullet"/>
      <w:lvlText w:val=""/>
      <w:lvlJc w:val="left"/>
      <w:pPr>
        <w:tabs>
          <w:tab w:val="num" w:pos="3413"/>
        </w:tabs>
        <w:ind w:left="3413" w:hanging="360"/>
      </w:pPr>
      <w:rPr>
        <w:rFonts w:ascii="Wingdings" w:hAnsi="Wingdings" w:hint="default"/>
      </w:rPr>
    </w:lvl>
    <w:lvl w:ilvl="6" w:tplc="FFFFFFFF" w:tentative="1">
      <w:start w:val="1"/>
      <w:numFmt w:val="bullet"/>
      <w:lvlText w:val=""/>
      <w:lvlJc w:val="left"/>
      <w:pPr>
        <w:tabs>
          <w:tab w:val="num" w:pos="4133"/>
        </w:tabs>
        <w:ind w:left="4133" w:hanging="360"/>
      </w:pPr>
      <w:rPr>
        <w:rFonts w:ascii="Symbol" w:hAnsi="Symbol" w:hint="default"/>
      </w:rPr>
    </w:lvl>
    <w:lvl w:ilvl="7" w:tplc="FFFFFFFF" w:tentative="1">
      <w:start w:val="1"/>
      <w:numFmt w:val="bullet"/>
      <w:lvlText w:val="o"/>
      <w:lvlJc w:val="left"/>
      <w:pPr>
        <w:tabs>
          <w:tab w:val="num" w:pos="4853"/>
        </w:tabs>
        <w:ind w:left="4853" w:hanging="360"/>
      </w:pPr>
      <w:rPr>
        <w:rFonts w:ascii="Courier New" w:hAnsi="Courier New" w:hint="default"/>
      </w:rPr>
    </w:lvl>
    <w:lvl w:ilvl="8" w:tplc="FFFFFFFF" w:tentative="1">
      <w:start w:val="1"/>
      <w:numFmt w:val="bullet"/>
      <w:lvlText w:val=""/>
      <w:lvlJc w:val="left"/>
      <w:pPr>
        <w:tabs>
          <w:tab w:val="num" w:pos="5573"/>
        </w:tabs>
        <w:ind w:left="5573" w:hanging="360"/>
      </w:pPr>
      <w:rPr>
        <w:rFonts w:ascii="Wingdings" w:hAnsi="Wingdings" w:hint="default"/>
      </w:rPr>
    </w:lvl>
  </w:abstractNum>
  <w:abstractNum w:abstractNumId="5">
    <w:nsid w:val="1E7D4FA3"/>
    <w:multiLevelType w:val="hybridMultilevel"/>
    <w:tmpl w:val="EF9A6818"/>
    <w:lvl w:ilvl="0" w:tplc="D514FC0C">
      <w:start w:val="1"/>
      <w:numFmt w:val="bullet"/>
      <w:lvlText w:val=""/>
      <w:lvlJc w:val="left"/>
      <w:pPr>
        <w:tabs>
          <w:tab w:val="num" w:pos="1800"/>
        </w:tabs>
        <w:ind w:left="1800" w:hanging="360"/>
      </w:pPr>
      <w:rPr>
        <w:rFonts w:ascii="Wingdings" w:hAnsi="Wingdings" w:hint="default"/>
      </w:rPr>
    </w:lvl>
    <w:lvl w:ilvl="1" w:tplc="19AACF56"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4616213"/>
    <w:multiLevelType w:val="hybridMultilevel"/>
    <w:tmpl w:val="88BE5F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0642DD1"/>
    <w:multiLevelType w:val="hybridMultilevel"/>
    <w:tmpl w:val="F3F8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F317FF"/>
    <w:multiLevelType w:val="hybridMultilevel"/>
    <w:tmpl w:val="E3DC044E"/>
    <w:lvl w:ilvl="0" w:tplc="648E2E3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F4664"/>
    <w:multiLevelType w:val="hybridMultilevel"/>
    <w:tmpl w:val="3E4EAADA"/>
    <w:lvl w:ilvl="0" w:tplc="3296097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E5A82"/>
    <w:multiLevelType w:val="hybridMultilevel"/>
    <w:tmpl w:val="64CEBC32"/>
    <w:lvl w:ilvl="0" w:tplc="5FA4A80A">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B5BBA"/>
    <w:multiLevelType w:val="hybridMultilevel"/>
    <w:tmpl w:val="82CE7D90"/>
    <w:lvl w:ilvl="0" w:tplc="9F48FA1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1B10C0"/>
    <w:multiLevelType w:val="hybridMultilevel"/>
    <w:tmpl w:val="0D026710"/>
    <w:lvl w:ilvl="0" w:tplc="5D4E069C">
      <w:start w:val="1"/>
      <w:numFmt w:val="upperRoman"/>
      <w:lvlText w:val="%1."/>
      <w:lvlJc w:val="left"/>
      <w:pPr>
        <w:ind w:left="1146" w:hanging="720"/>
      </w:pPr>
      <w:rPr>
        <w:rFonts w:ascii="Tahoma" w:hAnsi="Tahoma" w:cs="Tahom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006FC5"/>
    <w:multiLevelType w:val="hybridMultilevel"/>
    <w:tmpl w:val="2536F7B6"/>
    <w:lvl w:ilvl="0" w:tplc="AA9EEE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CA43C9"/>
    <w:multiLevelType w:val="hybridMultilevel"/>
    <w:tmpl w:val="67C4352C"/>
    <w:lvl w:ilvl="0" w:tplc="F9F0362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A243883"/>
    <w:multiLevelType w:val="hybridMultilevel"/>
    <w:tmpl w:val="20329B1E"/>
    <w:lvl w:ilvl="0" w:tplc="F9F03628">
      <w:start w:val="1"/>
      <w:numFmt w:val="bullet"/>
      <w:lvlText w:val=""/>
      <w:lvlJc w:val="left"/>
      <w:pPr>
        <w:tabs>
          <w:tab w:val="num" w:pos="360"/>
        </w:tabs>
        <w:ind w:left="360" w:hanging="360"/>
      </w:pPr>
      <w:rPr>
        <w:rFonts w:ascii="Wingdings" w:hAnsi="Wingdings" w:hint="default"/>
        <w:sz w:val="24"/>
      </w:rPr>
    </w:lvl>
    <w:lvl w:ilvl="1" w:tplc="F9F03628">
      <w:start w:val="1"/>
      <w:numFmt w:val="bullet"/>
      <w:lvlText w:val=""/>
      <w:lvlJc w:val="left"/>
      <w:pPr>
        <w:tabs>
          <w:tab w:val="num" w:pos="1080"/>
        </w:tabs>
        <w:ind w:left="1080" w:hanging="360"/>
      </w:pPr>
      <w:rPr>
        <w:rFonts w:ascii="Wingdings" w:hAnsi="Wingdings" w:hint="default"/>
        <w:sz w:val="24"/>
      </w:rPr>
    </w:lvl>
    <w:lvl w:ilvl="2" w:tplc="20FCA68C">
      <w:start w:val="1"/>
      <w:numFmt w:val="decimal"/>
      <w:lvlText w:val="%3."/>
      <w:lvlJc w:val="left"/>
      <w:pPr>
        <w:ind w:left="2340" w:hanging="720"/>
      </w:pPr>
      <w:rPr>
        <w:rFonts w:eastAsia="Times New Roman" w:hint="default"/>
        <w:u w:val="single"/>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18"/>
  </w:num>
  <w:num w:numId="5">
    <w:abstractNumId w:val="16"/>
  </w:num>
  <w:num w:numId="6">
    <w:abstractNumId w:val="9"/>
  </w:num>
  <w:num w:numId="7">
    <w:abstractNumId w:val="7"/>
  </w:num>
  <w:num w:numId="8">
    <w:abstractNumId w:val="5"/>
  </w:num>
  <w:num w:numId="9">
    <w:abstractNumId w:val="1"/>
  </w:num>
  <w:num w:numId="10">
    <w:abstractNumId w:val="3"/>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5"/>
  </w:num>
  <w:num w:numId="16">
    <w:abstractNumId w:val="2"/>
  </w:num>
  <w:num w:numId="17">
    <w:abstractNumId w:val="21"/>
  </w:num>
  <w:num w:numId="18">
    <w:abstractNumId w:val="8"/>
  </w:num>
  <w:num w:numId="19">
    <w:abstractNumId w:val="12"/>
  </w:num>
  <w:num w:numId="20">
    <w:abstractNumId w:val="13"/>
  </w:num>
  <w:num w:numId="21">
    <w:abstractNumId w:val="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A"/>
    <w:rsid w:val="000501E4"/>
    <w:rsid w:val="00084064"/>
    <w:rsid w:val="00084AF8"/>
    <w:rsid w:val="000E2D73"/>
    <w:rsid w:val="001277AB"/>
    <w:rsid w:val="00186880"/>
    <w:rsid w:val="002050DA"/>
    <w:rsid w:val="0023125B"/>
    <w:rsid w:val="0024775C"/>
    <w:rsid w:val="002742C5"/>
    <w:rsid w:val="0028202B"/>
    <w:rsid w:val="0032418F"/>
    <w:rsid w:val="00363CB7"/>
    <w:rsid w:val="00410324"/>
    <w:rsid w:val="00441D42"/>
    <w:rsid w:val="004F027B"/>
    <w:rsid w:val="004F7E29"/>
    <w:rsid w:val="005101AF"/>
    <w:rsid w:val="005252F5"/>
    <w:rsid w:val="00535BC3"/>
    <w:rsid w:val="005B74F9"/>
    <w:rsid w:val="0075171C"/>
    <w:rsid w:val="00760A11"/>
    <w:rsid w:val="007C7E51"/>
    <w:rsid w:val="00866BB2"/>
    <w:rsid w:val="00887D23"/>
    <w:rsid w:val="008D1ABE"/>
    <w:rsid w:val="009523AA"/>
    <w:rsid w:val="00964C60"/>
    <w:rsid w:val="00A261BE"/>
    <w:rsid w:val="00A3356F"/>
    <w:rsid w:val="00A62980"/>
    <w:rsid w:val="00AA6870"/>
    <w:rsid w:val="00AB1D8B"/>
    <w:rsid w:val="00AD1806"/>
    <w:rsid w:val="00AE256A"/>
    <w:rsid w:val="00B45C4B"/>
    <w:rsid w:val="00B523B8"/>
    <w:rsid w:val="00B77026"/>
    <w:rsid w:val="00B85E8A"/>
    <w:rsid w:val="00BB45F2"/>
    <w:rsid w:val="00BF3FE5"/>
    <w:rsid w:val="00C17388"/>
    <w:rsid w:val="00C177D0"/>
    <w:rsid w:val="00C54C17"/>
    <w:rsid w:val="00DB3272"/>
    <w:rsid w:val="00E70BED"/>
    <w:rsid w:val="00E905D9"/>
    <w:rsid w:val="00EA2188"/>
    <w:rsid w:val="00F64BB2"/>
    <w:rsid w:val="00FA3C8C"/>
    <w:rsid w:val="00FB4EA1"/>
    <w:rsid w:val="00FF5D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43C6"/>
  <w15:docId w15:val="{AF939175-1705-48E9-98CD-C3467D09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6A"/>
    <w:rPr>
      <w:rFonts w:eastAsiaTheme="minorHAnsi"/>
      <w:lang w:eastAsia="en-US"/>
    </w:rPr>
  </w:style>
  <w:style w:type="paragraph" w:styleId="Titre1">
    <w:name w:val="heading 1"/>
    <w:basedOn w:val="Normal"/>
    <w:next w:val="Normal"/>
    <w:link w:val="Titre1Car"/>
    <w:qFormat/>
    <w:rsid w:val="008D1ABE"/>
    <w:pPr>
      <w:keepNext/>
      <w:tabs>
        <w:tab w:val="left" w:pos="0"/>
        <w:tab w:val="left" w:pos="720"/>
      </w:tabs>
      <w:overflowPunct w:val="0"/>
      <w:autoSpaceDE w:val="0"/>
      <w:autoSpaceDN w:val="0"/>
      <w:adjustRightInd w:val="0"/>
      <w:spacing w:after="0" w:line="240" w:lineRule="auto"/>
      <w:jc w:val="center"/>
      <w:textAlignment w:val="baseline"/>
      <w:outlineLvl w:val="0"/>
    </w:pPr>
    <w:rPr>
      <w:rFonts w:ascii="Arial Narrow" w:eastAsia="Times New Roman" w:hAnsi="Arial Narrow"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AE256A"/>
    <w:pPr>
      <w:ind w:left="720"/>
      <w:contextualSpacing/>
    </w:pPr>
  </w:style>
  <w:style w:type="paragraph" w:styleId="NormalWeb">
    <w:name w:val="Normal (Web)"/>
    <w:basedOn w:val="Normal"/>
    <w:uiPriority w:val="99"/>
    <w:unhideWhenUsed/>
    <w:rsid w:val="00AE256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AE256A"/>
    <w:rPr>
      <w:rFonts w:eastAsiaTheme="minorHAnsi"/>
      <w:lang w:eastAsia="en-US"/>
    </w:rPr>
  </w:style>
  <w:style w:type="character" w:customStyle="1" w:styleId="Policepardfaut1">
    <w:name w:val="Police par défaut1"/>
    <w:rsid w:val="00AE256A"/>
  </w:style>
  <w:style w:type="paragraph" w:styleId="Textedebulles">
    <w:name w:val="Balloon Text"/>
    <w:basedOn w:val="Normal"/>
    <w:link w:val="TextedebullesCar"/>
    <w:uiPriority w:val="99"/>
    <w:semiHidden/>
    <w:unhideWhenUsed/>
    <w:rsid w:val="00AE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56A"/>
    <w:rPr>
      <w:rFonts w:ascii="Tahoma" w:eastAsiaTheme="minorHAnsi" w:hAnsi="Tahoma" w:cs="Tahoma"/>
      <w:sz w:val="16"/>
      <w:szCs w:val="16"/>
      <w:lang w:eastAsia="en-US"/>
    </w:rPr>
  </w:style>
  <w:style w:type="paragraph" w:styleId="En-tte">
    <w:name w:val="header"/>
    <w:basedOn w:val="Normal"/>
    <w:link w:val="En-tteCar"/>
    <w:uiPriority w:val="99"/>
    <w:unhideWhenUsed/>
    <w:rsid w:val="004F027B"/>
    <w:pPr>
      <w:tabs>
        <w:tab w:val="center" w:pos="4536"/>
        <w:tab w:val="right" w:pos="9072"/>
      </w:tabs>
      <w:spacing w:after="0" w:line="240" w:lineRule="auto"/>
    </w:pPr>
  </w:style>
  <w:style w:type="character" w:customStyle="1" w:styleId="En-tteCar">
    <w:name w:val="En-tête Car"/>
    <w:basedOn w:val="Policepardfaut"/>
    <w:link w:val="En-tte"/>
    <w:uiPriority w:val="99"/>
    <w:rsid w:val="004F027B"/>
    <w:rPr>
      <w:rFonts w:eastAsiaTheme="minorHAnsi"/>
      <w:lang w:eastAsia="en-US"/>
    </w:rPr>
  </w:style>
  <w:style w:type="paragraph" w:styleId="Pieddepage">
    <w:name w:val="footer"/>
    <w:basedOn w:val="Normal"/>
    <w:link w:val="PieddepageCar"/>
    <w:uiPriority w:val="99"/>
    <w:unhideWhenUsed/>
    <w:rsid w:val="004F02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27B"/>
    <w:rPr>
      <w:rFonts w:eastAsiaTheme="minorHAnsi"/>
      <w:lang w:eastAsia="en-US"/>
    </w:rPr>
  </w:style>
  <w:style w:type="character" w:customStyle="1" w:styleId="Titre1Car">
    <w:name w:val="Titre 1 Car"/>
    <w:basedOn w:val="Policepardfaut"/>
    <w:link w:val="Titre1"/>
    <w:rsid w:val="008D1ABE"/>
    <w:rPr>
      <w:rFonts w:ascii="Arial Narrow" w:eastAsia="Times New Roman" w:hAnsi="Arial Narrow" w:cs="Times New Roman"/>
      <w:b/>
      <w:sz w:val="24"/>
      <w:szCs w:val="20"/>
      <w:lang w:eastAsia="en-US"/>
    </w:rPr>
  </w:style>
  <w:style w:type="paragraph" w:styleId="Notedebasdepage">
    <w:name w:val="footnote text"/>
    <w:aliases w:val="Char,single space,fn,Footnote Text Char2 Char,Footnote Text Char1 Char Char,Footnote Text Char2 Char Char Char,Footnote Text Char1 Char Char Char Char,Footnote Text Char2 Char Char Char Char Char,ALTS FOOTNOTE,ft,FOOTNOTES,Nbpage Moe"/>
    <w:basedOn w:val="Normal"/>
    <w:link w:val="NotedebasdepageCar"/>
    <w:uiPriority w:val="99"/>
    <w:qFormat/>
    <w:rsid w:val="008D1A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tedebasdepageCar">
    <w:name w:val="Note de bas de page Car"/>
    <w:aliases w:val="Char Car,single space Car,fn Car,Footnote Text Char2 Char Car,Footnote Text Char1 Char Char Car,Footnote Text Char2 Char Char Char Car,Footnote Text Char1 Char Char Char Char Car,Footnote Text Char2 Char Char Char Char Char Car"/>
    <w:basedOn w:val="Policepardfaut"/>
    <w:link w:val="Notedebasdepage"/>
    <w:uiPriority w:val="99"/>
    <w:rsid w:val="008D1ABE"/>
    <w:rPr>
      <w:rFonts w:ascii="Times New Roman" w:eastAsia="Times New Roman" w:hAnsi="Times New Roman" w:cs="Times New Roman"/>
      <w:sz w:val="20"/>
      <w:szCs w:val="20"/>
      <w:lang w:eastAsia="en-US"/>
    </w:rPr>
  </w:style>
  <w:style w:type="character" w:styleId="Appelnotedebasdep">
    <w:name w:val="footnote reference"/>
    <w:aliases w:val="16 Point,Superscript 6 Point,ftref,BVI fnr,Ref,de nota al pie,fr,Used by Word for Help footnote symbols,Car Car Char Car Char Car Car Char Car Char Char,SUPERS,BVI f, Car Car Char Car Char Car Car Char Car Char Char,R,Footnote"/>
    <w:link w:val="FNRefeCharChar"/>
    <w:qFormat/>
    <w:rsid w:val="008D1ABE"/>
    <w:rPr>
      <w:vertAlign w:val="superscript"/>
    </w:rPr>
  </w:style>
  <w:style w:type="paragraph" w:styleId="Corpsdetexte">
    <w:name w:val="Body Text"/>
    <w:basedOn w:val="Normal"/>
    <w:link w:val="CorpsdetexteCar"/>
    <w:rsid w:val="008D1ABE"/>
    <w:pPr>
      <w:spacing w:after="120" w:line="240" w:lineRule="auto"/>
    </w:pPr>
    <w:rPr>
      <w:rFonts w:ascii="Times New Roman" w:eastAsia="MS Mincho" w:hAnsi="Times New Roman" w:cs="Times New Roman"/>
      <w:sz w:val="24"/>
      <w:szCs w:val="24"/>
      <w:lang w:val="en-US" w:eastAsia="x-none"/>
    </w:rPr>
  </w:style>
  <w:style w:type="character" w:customStyle="1" w:styleId="CorpsdetexteCar">
    <w:name w:val="Corps de texte Car"/>
    <w:basedOn w:val="Policepardfaut"/>
    <w:link w:val="Corpsdetexte"/>
    <w:rsid w:val="008D1ABE"/>
    <w:rPr>
      <w:rFonts w:ascii="Times New Roman" w:eastAsia="MS Mincho" w:hAnsi="Times New Roman" w:cs="Times New Roman"/>
      <w:sz w:val="24"/>
      <w:szCs w:val="24"/>
      <w:lang w:val="en-US" w:eastAsia="x-none"/>
    </w:rPr>
  </w:style>
  <w:style w:type="paragraph" w:styleId="Listepuces4">
    <w:name w:val="List Bullet 4"/>
    <w:basedOn w:val="Normal"/>
    <w:rsid w:val="008D1ABE"/>
    <w:pPr>
      <w:tabs>
        <w:tab w:val="num" w:pos="1440"/>
      </w:tabs>
      <w:spacing w:after="0" w:line="240" w:lineRule="auto"/>
      <w:ind w:left="1440" w:hanging="360"/>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8D1ABE"/>
    <w:pPr>
      <w:spacing w:after="160" w:line="240" w:lineRule="exact"/>
    </w:pPr>
    <w:rPr>
      <w:rFonts w:eastAsiaTheme="minorEastAsia"/>
      <w:vertAlign w:val="superscript"/>
      <w:lang w:eastAsia="zh-CN"/>
    </w:rPr>
  </w:style>
  <w:style w:type="character" w:customStyle="1" w:styleId="NotedebasdepageCar1">
    <w:name w:val="Note de bas de page Car1"/>
    <w:basedOn w:val="Policepardfaut"/>
    <w:uiPriority w:val="99"/>
    <w:qFormat/>
    <w:rsid w:val="008D1ABE"/>
    <w:rPr>
      <w:rFonts w:ascii="Times New Roman" w:eastAsia="Times New Roman" w:hAnsi="Times New Roman" w:cs="Times New Roman"/>
      <w:sz w:val="20"/>
      <w:szCs w:val="20"/>
      <w:lang w:eastAsia="en-US"/>
    </w:rPr>
  </w:style>
  <w:style w:type="character" w:styleId="Marquedecommentaire">
    <w:name w:val="annotation reference"/>
    <w:basedOn w:val="Policepardfaut"/>
    <w:uiPriority w:val="99"/>
    <w:semiHidden/>
    <w:unhideWhenUsed/>
    <w:rsid w:val="002050DA"/>
    <w:rPr>
      <w:sz w:val="16"/>
      <w:szCs w:val="16"/>
    </w:rPr>
  </w:style>
  <w:style w:type="paragraph" w:styleId="Commentaire">
    <w:name w:val="annotation text"/>
    <w:basedOn w:val="Normal"/>
    <w:link w:val="CommentaireCar"/>
    <w:uiPriority w:val="99"/>
    <w:semiHidden/>
    <w:unhideWhenUsed/>
    <w:rsid w:val="002050DA"/>
    <w:pPr>
      <w:spacing w:line="240" w:lineRule="auto"/>
    </w:pPr>
    <w:rPr>
      <w:sz w:val="20"/>
      <w:szCs w:val="20"/>
    </w:rPr>
  </w:style>
  <w:style w:type="character" w:customStyle="1" w:styleId="CommentaireCar">
    <w:name w:val="Commentaire Car"/>
    <w:basedOn w:val="Policepardfaut"/>
    <w:link w:val="Commentaire"/>
    <w:uiPriority w:val="99"/>
    <w:semiHidden/>
    <w:rsid w:val="002050DA"/>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2050DA"/>
    <w:rPr>
      <w:b/>
      <w:bCs/>
    </w:rPr>
  </w:style>
  <w:style w:type="character" w:customStyle="1" w:styleId="ObjetducommentaireCar">
    <w:name w:val="Objet du commentaire Car"/>
    <w:basedOn w:val="CommentaireCar"/>
    <w:link w:val="Objetducommentaire"/>
    <w:uiPriority w:val="99"/>
    <w:semiHidden/>
    <w:rsid w:val="002050D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E90B6-2981-4BFD-8323-5586EF08A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E5669-C9E9-40F3-807E-DB5BBAA03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2562E-68F0-4AD3-9958-2A37E1839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15985</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MCN_Jacques</cp:lastModifiedBy>
  <cp:revision>2</cp:revision>
  <dcterms:created xsi:type="dcterms:W3CDTF">2021-11-04T06:52:00Z</dcterms:created>
  <dcterms:modified xsi:type="dcterms:W3CDTF">2021-11-04T06:52:00Z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