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124" w:rsidRPr="0040543F" w:rsidRDefault="00707EB1" w:rsidP="002C5D8C">
      <w:pPr>
        <w:jc w:val="center"/>
        <w:rPr>
          <w:rFonts w:ascii="Arial" w:hAnsi="Arial" w:cs="Arial"/>
          <w:b/>
          <w:lang w:val="fr-FR"/>
        </w:rPr>
      </w:pPr>
      <w:r w:rsidRPr="0040543F">
        <w:rPr>
          <w:rFonts w:ascii="Arial" w:hAnsi="Arial" w:cs="Arial"/>
          <w:noProof/>
          <w:lang w:val="fr-FR" w:eastAsia="fr-FR"/>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302205</wp:posOffset>
                </wp:positionV>
                <wp:extent cx="5814060" cy="1404620"/>
                <wp:effectExtent l="0" t="0" r="1524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404620"/>
                        </a:xfrm>
                        <a:prstGeom prst="rect">
                          <a:avLst/>
                        </a:prstGeom>
                        <a:solidFill>
                          <a:srgbClr val="FFFFFF"/>
                        </a:solidFill>
                        <a:ln w="9525">
                          <a:solidFill>
                            <a:srgbClr val="000000"/>
                          </a:solidFill>
                          <a:miter lim="800000"/>
                          <a:headEnd/>
                          <a:tailEnd/>
                        </a:ln>
                      </wps:spPr>
                      <wps:txbx>
                        <w:txbxContent>
                          <w:p w:rsidR="004A69B8" w:rsidRPr="004A69B8" w:rsidRDefault="004A69B8" w:rsidP="004A69B8">
                            <w:pPr>
                              <w:rPr>
                                <w:b/>
                                <w:lang w:val="fr-FR"/>
                              </w:rPr>
                            </w:pPr>
                            <w:r w:rsidRPr="004A69B8">
                              <w:rPr>
                                <w:b/>
                                <w:lang w:val="fr-FR"/>
                              </w:rPr>
                              <w:t>Résumé de la formation :</w:t>
                            </w:r>
                          </w:p>
                          <w:p w:rsidR="004A69B8" w:rsidRPr="004A69B8" w:rsidRDefault="004A69B8" w:rsidP="004A69B8">
                            <w:pPr>
                              <w:jc w:val="both"/>
                              <w:rPr>
                                <w:lang w:val="fr-FR"/>
                              </w:rPr>
                            </w:pPr>
                            <w:r w:rsidRPr="004A69B8">
                              <w:rPr>
                                <w:lang w:val="fr-FR"/>
                              </w:rPr>
                              <w:t>Formation certifiant de 100 heures sur la RSE dans l'industrie minière et les chaînes d'approvisionnement en matières premières.</w:t>
                            </w:r>
                          </w:p>
                          <w:p w:rsidR="004A69B8" w:rsidRPr="004A69B8" w:rsidRDefault="004A69B8" w:rsidP="004A69B8">
                            <w:pPr>
                              <w:jc w:val="both"/>
                              <w:rPr>
                                <w:lang w:val="fr-FR"/>
                              </w:rPr>
                            </w:pPr>
                            <w:r w:rsidRPr="004A69B8">
                              <w:rPr>
                                <w:b/>
                                <w:lang w:val="fr-FR"/>
                              </w:rPr>
                              <w:t>Lieu</w:t>
                            </w:r>
                            <w:r w:rsidRPr="004A69B8">
                              <w:rPr>
                                <w:lang w:val="fr-FR"/>
                              </w:rPr>
                              <w:t xml:space="preserve"> : Likasi, Lubumbashi, en partie en ligne</w:t>
                            </w:r>
                          </w:p>
                          <w:p w:rsidR="00EA113A" w:rsidRDefault="004A69B8" w:rsidP="004A69B8">
                            <w:pPr>
                              <w:jc w:val="both"/>
                              <w:rPr>
                                <w:lang w:val="fr-FR"/>
                              </w:rPr>
                            </w:pPr>
                            <w:r w:rsidRPr="004A69B8">
                              <w:rPr>
                                <w:b/>
                                <w:lang w:val="fr-FR"/>
                              </w:rPr>
                              <w:t>Conditions</w:t>
                            </w:r>
                            <w:r w:rsidRPr="004A69B8">
                              <w:rPr>
                                <w:lang w:val="fr-FR"/>
                              </w:rPr>
                              <w:t xml:space="preserve"> : </w:t>
                            </w:r>
                          </w:p>
                          <w:p w:rsidR="00EA113A" w:rsidRPr="0069157D" w:rsidRDefault="004A69B8" w:rsidP="0069157D">
                            <w:pPr>
                              <w:pStyle w:val="Paragraphedeliste"/>
                              <w:numPr>
                                <w:ilvl w:val="0"/>
                                <w:numId w:val="3"/>
                              </w:numPr>
                              <w:jc w:val="both"/>
                              <w:rPr>
                                <w:lang w:val="fr-FR"/>
                              </w:rPr>
                            </w:pPr>
                            <w:r w:rsidRPr="0069157D">
                              <w:rPr>
                                <w:lang w:val="fr-FR"/>
                              </w:rPr>
                              <w:t xml:space="preserve">Frais de participation de </w:t>
                            </w:r>
                            <w:r w:rsidR="00C41A26" w:rsidRPr="0069157D">
                              <w:rPr>
                                <w:b/>
                                <w:lang w:val="fr-FR"/>
                              </w:rPr>
                              <w:t>200</w:t>
                            </w:r>
                            <w:r w:rsidRPr="0069157D">
                              <w:rPr>
                                <w:b/>
                                <w:lang w:val="fr-FR"/>
                              </w:rPr>
                              <w:t xml:space="preserve"> $</w:t>
                            </w:r>
                            <w:r w:rsidRPr="0069157D">
                              <w:rPr>
                                <w:lang w:val="fr-FR"/>
                              </w:rPr>
                              <w:t xml:space="preserve"> </w:t>
                            </w:r>
                            <w:r w:rsidR="0069157D" w:rsidRPr="0069157D">
                              <w:rPr>
                                <w:lang w:val="fr-FR"/>
                              </w:rPr>
                              <w:t>à la FEC</w:t>
                            </w:r>
                          </w:p>
                          <w:p w:rsidR="00EA113A" w:rsidRPr="0069157D" w:rsidRDefault="00EA113A" w:rsidP="0069157D">
                            <w:pPr>
                              <w:pStyle w:val="Paragraphedeliste"/>
                              <w:numPr>
                                <w:ilvl w:val="0"/>
                                <w:numId w:val="3"/>
                              </w:numPr>
                              <w:jc w:val="both"/>
                              <w:rPr>
                                <w:lang w:val="fr-FR"/>
                              </w:rPr>
                            </w:pPr>
                            <w:r w:rsidRPr="0069157D">
                              <w:rPr>
                                <w:lang w:val="fr-FR"/>
                              </w:rPr>
                              <w:t>N</w:t>
                            </w:r>
                            <w:r w:rsidR="004A69B8" w:rsidRPr="0069157D">
                              <w:rPr>
                                <w:lang w:val="fr-FR"/>
                              </w:rPr>
                              <w:t>ationalité congolaise</w:t>
                            </w:r>
                          </w:p>
                          <w:p w:rsidR="004A69B8" w:rsidRPr="0069157D" w:rsidRDefault="00EA113A" w:rsidP="0069157D">
                            <w:pPr>
                              <w:pStyle w:val="Paragraphedeliste"/>
                              <w:numPr>
                                <w:ilvl w:val="0"/>
                                <w:numId w:val="3"/>
                              </w:numPr>
                              <w:jc w:val="both"/>
                              <w:rPr>
                                <w:lang w:val="fr-FR"/>
                              </w:rPr>
                            </w:pPr>
                            <w:r w:rsidRPr="0069157D">
                              <w:rPr>
                                <w:lang w:val="fr-FR"/>
                              </w:rPr>
                              <w:t>Employé(e) à une entreprise ayant un lien avec le secteur minier en RDC (p.ex. minière, logistique, sous-traitance)</w:t>
                            </w:r>
                            <w:r w:rsidR="004A69B8" w:rsidRPr="0069157D">
                              <w:rPr>
                                <w:lang w:val="fr-FR"/>
                              </w:rPr>
                              <w:t>.</w:t>
                            </w:r>
                          </w:p>
                          <w:p w:rsidR="004A69B8" w:rsidRPr="00B8526D" w:rsidRDefault="004A69B8" w:rsidP="004A69B8">
                            <w:pPr>
                              <w:jc w:val="both"/>
                              <w:rPr>
                                <w:lang w:val="fr-FR"/>
                              </w:rPr>
                            </w:pPr>
                            <w:r w:rsidRPr="0069157D">
                              <w:rPr>
                                <w:b/>
                                <w:lang w:val="fr-FR"/>
                              </w:rPr>
                              <w:t>Formateur</w:t>
                            </w:r>
                            <w:r w:rsidRPr="00B8526D">
                              <w:rPr>
                                <w:lang w:val="fr-FR"/>
                              </w:rPr>
                              <w:t xml:space="preserve"> : </w:t>
                            </w:r>
                            <w:r w:rsidR="00C41A26">
                              <w:rPr>
                                <w:lang w:val="fr-FR"/>
                              </w:rPr>
                              <w:t>LEVIN SOURCES Ltd. (entreprise britannique)</w:t>
                            </w:r>
                          </w:p>
                          <w:p w:rsidR="002C5D8C" w:rsidRPr="004A69B8" w:rsidRDefault="004A69B8" w:rsidP="004A69B8">
                            <w:pPr>
                              <w:jc w:val="both"/>
                              <w:rPr>
                                <w:lang w:val="fr-FR"/>
                              </w:rPr>
                            </w:pPr>
                            <w:r w:rsidRPr="004A69B8">
                              <w:rPr>
                                <w:b/>
                                <w:lang w:val="fr-FR"/>
                              </w:rPr>
                              <w:t>Date limite</w:t>
                            </w:r>
                            <w:r w:rsidRPr="004A69B8">
                              <w:rPr>
                                <w:lang w:val="fr-FR"/>
                              </w:rPr>
                              <w:t xml:space="preserve"> </w:t>
                            </w:r>
                            <w:r w:rsidRPr="0040543F">
                              <w:rPr>
                                <w:b/>
                                <w:lang w:val="fr-FR"/>
                              </w:rPr>
                              <w:t>de dépôt des candidatures</w:t>
                            </w:r>
                            <w:r w:rsidRPr="004A69B8">
                              <w:rPr>
                                <w:lang w:val="fr-FR"/>
                              </w:rPr>
                              <w:t xml:space="preserve"> : 1</w:t>
                            </w:r>
                            <w:r w:rsidR="00457356">
                              <w:rPr>
                                <w:lang w:val="fr-FR"/>
                              </w:rPr>
                              <w:t>2</w:t>
                            </w:r>
                            <w:r w:rsidR="00C41A26">
                              <w:rPr>
                                <w:lang w:val="fr-FR"/>
                              </w:rPr>
                              <w:t>/10/</w:t>
                            </w:r>
                            <w:r w:rsidRPr="004A69B8">
                              <w:rPr>
                                <w:lang w:val="fr-FR"/>
                              </w:rPr>
                              <w:t>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0;margin-top:23.8pt;width:457.8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">
                <v:textbox style="mso-fit-shape-to-text:t">
                  <w:txbxContent>
                    <w:p w:rsidR="004A69B8" w:rsidRPr="004A69B8" w:rsidRDefault="004A69B8" w:rsidP="004A69B8">
                      <w:pPr>
                        <w:rPr>
                          <w:b/>
                          <w:lang w:val="fr-FR"/>
                        </w:rPr>
                      </w:pPr>
                      <w:r w:rsidRPr="004A69B8">
                        <w:rPr>
                          <w:b/>
                          <w:lang w:val="fr-FR"/>
                        </w:rPr>
                        <w:t>Résumé de la formation :</w:t>
                      </w:r>
                    </w:p>
                    <w:p w:rsidR="004A69B8" w:rsidRPr="004A69B8" w:rsidRDefault="004A69B8" w:rsidP="004A69B8">
                      <w:pPr>
                        <w:jc w:val="both"/>
                        <w:rPr>
                          <w:lang w:val="fr-FR"/>
                        </w:rPr>
                      </w:pPr>
                      <w:r w:rsidRPr="004A69B8">
                        <w:rPr>
                          <w:lang w:val="fr-FR"/>
                        </w:rPr>
                        <w:t>Formation certifiant de 100 heures sur la RSE dans l'industrie minière et les chaînes d'approvisionnement en matières premières.</w:t>
                      </w:r>
                    </w:p>
                    <w:p w:rsidR="004A69B8" w:rsidRPr="004A69B8" w:rsidRDefault="004A69B8" w:rsidP="004A69B8">
                      <w:pPr>
                        <w:jc w:val="both"/>
                        <w:rPr>
                          <w:lang w:val="fr-FR"/>
                        </w:rPr>
                      </w:pPr>
                      <w:r w:rsidRPr="004A69B8">
                        <w:rPr>
                          <w:b/>
                          <w:lang w:val="fr-FR"/>
                        </w:rPr>
                        <w:t>Lieu</w:t>
                      </w:r>
                      <w:r w:rsidRPr="004A69B8">
                        <w:rPr>
                          <w:lang w:val="fr-FR"/>
                        </w:rPr>
                        <w:t xml:space="preserve"> : Likasi, Lubumbashi, en partie en ligne</w:t>
                      </w:r>
                    </w:p>
                    <w:p w:rsidR="00EA113A" w:rsidRDefault="004A69B8" w:rsidP="004A69B8">
                      <w:pPr>
                        <w:jc w:val="both"/>
                        <w:rPr>
                          <w:lang w:val="fr-FR"/>
                        </w:rPr>
                      </w:pPr>
                      <w:r w:rsidRPr="004A69B8">
                        <w:rPr>
                          <w:b/>
                          <w:lang w:val="fr-FR"/>
                        </w:rPr>
                        <w:t>Conditions</w:t>
                      </w:r>
                      <w:r w:rsidRPr="004A69B8">
                        <w:rPr>
                          <w:lang w:val="fr-FR"/>
                        </w:rPr>
                        <w:t xml:space="preserve"> : </w:t>
                      </w:r>
                    </w:p>
                    <w:p w:rsidR="00EA113A" w:rsidRPr="0069157D" w:rsidRDefault="004A69B8" w:rsidP="0069157D">
                      <w:pPr>
                        <w:pStyle w:val="Listenabsatz"/>
                        <w:numPr>
                          <w:ilvl w:val="0"/>
                          <w:numId w:val="3"/>
                        </w:numPr>
                        <w:jc w:val="both"/>
                        <w:rPr>
                          <w:lang w:val="fr-FR"/>
                        </w:rPr>
                      </w:pPr>
                      <w:r w:rsidRPr="0069157D">
                        <w:rPr>
                          <w:lang w:val="fr-FR"/>
                        </w:rPr>
                        <w:t xml:space="preserve">Frais de participation de </w:t>
                      </w:r>
                      <w:r w:rsidR="00C41A26" w:rsidRPr="0069157D">
                        <w:rPr>
                          <w:b/>
                          <w:lang w:val="fr-FR"/>
                        </w:rPr>
                        <w:t>200</w:t>
                      </w:r>
                      <w:r w:rsidRPr="0069157D">
                        <w:rPr>
                          <w:b/>
                          <w:lang w:val="fr-FR"/>
                        </w:rPr>
                        <w:t xml:space="preserve"> $</w:t>
                      </w:r>
                      <w:r w:rsidRPr="0069157D">
                        <w:rPr>
                          <w:lang w:val="fr-FR"/>
                        </w:rPr>
                        <w:t xml:space="preserve"> </w:t>
                      </w:r>
                      <w:r w:rsidR="0069157D" w:rsidRPr="0069157D">
                        <w:rPr>
                          <w:lang w:val="fr-FR"/>
                        </w:rPr>
                        <w:t>à la FEC</w:t>
                      </w:r>
                    </w:p>
                    <w:p w:rsidR="00EA113A" w:rsidRPr="0069157D" w:rsidRDefault="00EA113A" w:rsidP="0069157D">
                      <w:pPr>
                        <w:pStyle w:val="Listenabsatz"/>
                        <w:numPr>
                          <w:ilvl w:val="0"/>
                          <w:numId w:val="3"/>
                        </w:numPr>
                        <w:jc w:val="both"/>
                        <w:rPr>
                          <w:lang w:val="fr-FR"/>
                        </w:rPr>
                      </w:pPr>
                      <w:r w:rsidRPr="0069157D">
                        <w:rPr>
                          <w:lang w:val="fr-FR"/>
                        </w:rPr>
                        <w:t>N</w:t>
                      </w:r>
                      <w:r w:rsidR="004A69B8" w:rsidRPr="0069157D">
                        <w:rPr>
                          <w:lang w:val="fr-FR"/>
                        </w:rPr>
                        <w:t>ationalité congolaise</w:t>
                      </w:r>
                    </w:p>
                    <w:p w:rsidR="004A69B8" w:rsidRPr="0069157D" w:rsidRDefault="00EA113A" w:rsidP="0069157D">
                      <w:pPr>
                        <w:pStyle w:val="Listenabsatz"/>
                        <w:numPr>
                          <w:ilvl w:val="0"/>
                          <w:numId w:val="3"/>
                        </w:numPr>
                        <w:jc w:val="both"/>
                        <w:rPr>
                          <w:lang w:val="fr-FR"/>
                        </w:rPr>
                      </w:pPr>
                      <w:r w:rsidRPr="0069157D">
                        <w:rPr>
                          <w:lang w:val="fr-FR"/>
                        </w:rPr>
                        <w:t>Employé(e) à une entreprise ayant un lien avec le secteur minier en RDC (p.ex. minière, logistique, sous-traitance)</w:t>
                      </w:r>
                      <w:r w:rsidR="004A69B8" w:rsidRPr="0069157D">
                        <w:rPr>
                          <w:lang w:val="fr-FR"/>
                        </w:rPr>
                        <w:t>.</w:t>
                      </w:r>
                    </w:p>
                    <w:p w:rsidR="004A69B8" w:rsidRPr="00B8526D" w:rsidRDefault="004A69B8" w:rsidP="004A69B8">
                      <w:pPr>
                        <w:jc w:val="both"/>
                        <w:rPr>
                          <w:lang w:val="fr-FR"/>
                        </w:rPr>
                      </w:pPr>
                      <w:r w:rsidRPr="0069157D">
                        <w:rPr>
                          <w:b/>
                          <w:lang w:val="fr-FR"/>
                        </w:rPr>
                        <w:t>Formateur</w:t>
                      </w:r>
                      <w:r w:rsidRPr="00B8526D">
                        <w:rPr>
                          <w:lang w:val="fr-FR"/>
                        </w:rPr>
                        <w:t xml:space="preserve"> : </w:t>
                      </w:r>
                      <w:r w:rsidR="00C41A26">
                        <w:rPr>
                          <w:lang w:val="fr-FR"/>
                        </w:rPr>
                        <w:t>LEVIN SOURCES Ltd.</w:t>
                      </w:r>
                      <w:r w:rsidR="00C41A26">
                        <w:rPr>
                          <w:lang w:val="fr-FR"/>
                        </w:rPr>
                        <w:t xml:space="preserve"> (</w:t>
                      </w:r>
                      <w:proofErr w:type="gramStart"/>
                      <w:r w:rsidR="00C41A26">
                        <w:rPr>
                          <w:lang w:val="fr-FR"/>
                        </w:rPr>
                        <w:t>entreprise</w:t>
                      </w:r>
                      <w:proofErr w:type="gramEnd"/>
                      <w:r w:rsidR="00C41A26">
                        <w:rPr>
                          <w:lang w:val="fr-FR"/>
                        </w:rPr>
                        <w:t xml:space="preserve"> britannique)</w:t>
                      </w:r>
                    </w:p>
                    <w:p w:rsidR="002C5D8C" w:rsidRPr="004A69B8" w:rsidRDefault="004A69B8" w:rsidP="004A69B8">
                      <w:pPr>
                        <w:jc w:val="both"/>
                        <w:rPr>
                          <w:lang w:val="fr-FR"/>
                        </w:rPr>
                      </w:pPr>
                      <w:r w:rsidRPr="004A69B8">
                        <w:rPr>
                          <w:b/>
                          <w:lang w:val="fr-FR"/>
                        </w:rPr>
                        <w:t>Date limite</w:t>
                      </w:r>
                      <w:r w:rsidRPr="004A69B8">
                        <w:rPr>
                          <w:lang w:val="fr-FR"/>
                        </w:rPr>
                        <w:t xml:space="preserve"> </w:t>
                      </w:r>
                      <w:r w:rsidRPr="0040543F">
                        <w:rPr>
                          <w:b/>
                          <w:lang w:val="fr-FR"/>
                        </w:rPr>
                        <w:t>de dépôt des candidatures</w:t>
                      </w:r>
                      <w:r w:rsidRPr="004A69B8">
                        <w:rPr>
                          <w:lang w:val="fr-FR"/>
                        </w:rPr>
                        <w:t xml:space="preserve"> : 1</w:t>
                      </w:r>
                      <w:r w:rsidR="00457356">
                        <w:rPr>
                          <w:lang w:val="fr-FR"/>
                        </w:rPr>
                        <w:t>2</w:t>
                      </w:r>
                      <w:r w:rsidR="00C41A26">
                        <w:rPr>
                          <w:lang w:val="fr-FR"/>
                        </w:rPr>
                        <w:t>/10/</w:t>
                      </w:r>
                      <w:r w:rsidRPr="004A69B8">
                        <w:rPr>
                          <w:lang w:val="fr-FR"/>
                        </w:rPr>
                        <w:t>2022</w:t>
                      </w:r>
                    </w:p>
                  </w:txbxContent>
                </v:textbox>
                <w10:wrap type="square" anchorx="margin"/>
              </v:shape>
            </w:pict>
          </mc:Fallback>
        </mc:AlternateContent>
      </w:r>
      <w:r w:rsidR="00030DC5" w:rsidRPr="0040543F">
        <w:rPr>
          <w:rFonts w:ascii="Arial" w:hAnsi="Arial" w:cs="Arial"/>
          <w:lang w:val="fr-FR"/>
        </w:rPr>
        <w:t xml:space="preserve"> </w:t>
      </w:r>
      <w:r w:rsidR="00030DC5" w:rsidRPr="0040543F">
        <w:rPr>
          <w:rFonts w:ascii="Arial" w:hAnsi="Arial" w:cs="Arial"/>
          <w:b/>
          <w:noProof/>
          <w:sz w:val="28"/>
          <w:lang w:val="fr-FR" w:eastAsia="de-DE"/>
        </w:rPr>
        <w:t>Appel à candidatures formation RSE dans le secteur minier</w:t>
      </w:r>
    </w:p>
    <w:p w:rsidR="00030DC5" w:rsidRPr="0040543F" w:rsidRDefault="00030DC5" w:rsidP="002C5D8C">
      <w:pPr>
        <w:jc w:val="both"/>
        <w:rPr>
          <w:rFonts w:ascii="Arial" w:hAnsi="Arial" w:cs="Arial"/>
          <w:lang w:val="fr-FR"/>
        </w:rPr>
      </w:pPr>
      <w:r w:rsidRPr="0040543F">
        <w:rPr>
          <w:rFonts w:ascii="Arial" w:hAnsi="Arial" w:cs="Arial"/>
          <w:lang w:val="fr-FR"/>
        </w:rPr>
        <w:t>La Chambre des Mines, via la FEC, informe les employés de ses membres du secteur minier d'une formation proposée en collaboration avec le BGR</w:t>
      </w:r>
      <w:r w:rsidR="00B8526D" w:rsidRPr="0040543F">
        <w:rPr>
          <w:rFonts w:ascii="Arial" w:hAnsi="Arial" w:cs="Arial"/>
          <w:lang w:val="fr-FR"/>
        </w:rPr>
        <w:t xml:space="preserve"> (Institut Fédéral des Géosciences et ressources naturelles)</w:t>
      </w:r>
      <w:r w:rsidRPr="0040543F">
        <w:rPr>
          <w:rFonts w:ascii="Arial" w:hAnsi="Arial" w:cs="Arial"/>
          <w:lang w:val="fr-FR"/>
        </w:rPr>
        <w:t xml:space="preserve"> dans le cadre de la coopération allemande au développement. La Chambre des Mines lance en même temps un </w:t>
      </w:r>
      <w:r w:rsidRPr="0040543F">
        <w:rPr>
          <w:rFonts w:ascii="Arial" w:hAnsi="Arial" w:cs="Arial"/>
          <w:b/>
          <w:lang w:val="fr-FR"/>
        </w:rPr>
        <w:t>appel à candidatures</w:t>
      </w:r>
      <w:r w:rsidRPr="0040543F">
        <w:rPr>
          <w:rFonts w:ascii="Arial" w:hAnsi="Arial" w:cs="Arial"/>
          <w:lang w:val="fr-FR"/>
        </w:rPr>
        <w:t xml:space="preserve">. </w:t>
      </w:r>
    </w:p>
    <w:p w:rsidR="00030DC5" w:rsidRPr="0040543F" w:rsidRDefault="00030DC5" w:rsidP="00030DC5">
      <w:pPr>
        <w:jc w:val="both"/>
        <w:rPr>
          <w:rFonts w:ascii="Arial" w:hAnsi="Arial" w:cs="Arial"/>
          <w:lang w:val="fr-FR"/>
        </w:rPr>
      </w:pPr>
      <w:r w:rsidRPr="0040543F">
        <w:rPr>
          <w:rFonts w:ascii="Arial" w:hAnsi="Arial" w:cs="Arial"/>
          <w:lang w:val="fr-FR"/>
        </w:rPr>
        <w:t xml:space="preserve">Cette formation enseigne les contenus nationaux et internationaux ainsi que les exigences posées aux entreprises en matière d'exploitation minière durable et de chaînes d'approvisionnement en minerais durables. La structure sommaire des contenus à transmettre est présentée en annexe. </w:t>
      </w:r>
    </w:p>
    <w:p w:rsidR="00030DC5" w:rsidRPr="0040543F" w:rsidRDefault="00030DC5" w:rsidP="00030DC5">
      <w:pPr>
        <w:jc w:val="both"/>
        <w:rPr>
          <w:rFonts w:ascii="Arial" w:hAnsi="Arial" w:cs="Arial"/>
          <w:lang w:val="fr-FR"/>
        </w:rPr>
      </w:pPr>
      <w:r w:rsidRPr="0040543F">
        <w:rPr>
          <w:rFonts w:ascii="Arial" w:hAnsi="Arial" w:cs="Arial"/>
          <w:lang w:val="fr-FR"/>
        </w:rPr>
        <w:t>La formation s'adresse exclusivement aux employés de nationalité congolaise qui travaillent dans des entreprises minières produisant en RDC. Les employés doivent appartenir aux départements RSE / Social / HSE de leurs entreprises et avoir au moins un an d'expérience professionnelle.</w:t>
      </w:r>
    </w:p>
    <w:p w:rsidR="001E450E" w:rsidRPr="0040543F" w:rsidRDefault="00030DC5" w:rsidP="002C5D8C">
      <w:pPr>
        <w:jc w:val="both"/>
        <w:rPr>
          <w:rFonts w:ascii="Arial" w:hAnsi="Arial" w:cs="Arial"/>
          <w:b/>
          <w:lang w:val="fr-FR"/>
        </w:rPr>
      </w:pPr>
      <w:r w:rsidRPr="0040543F">
        <w:rPr>
          <w:rFonts w:ascii="Arial" w:hAnsi="Arial" w:cs="Arial"/>
          <w:b/>
          <w:lang w:val="fr-FR"/>
        </w:rPr>
        <w:t>Déroulement</w:t>
      </w:r>
    </w:p>
    <w:p w:rsidR="00030DC5" w:rsidRPr="0040543F" w:rsidRDefault="00030DC5" w:rsidP="00030DC5">
      <w:pPr>
        <w:jc w:val="both"/>
        <w:rPr>
          <w:rFonts w:ascii="Arial" w:hAnsi="Arial" w:cs="Arial"/>
          <w:lang w:val="fr-FR"/>
        </w:rPr>
      </w:pPr>
      <w:r w:rsidRPr="0040543F">
        <w:rPr>
          <w:rFonts w:ascii="Arial" w:hAnsi="Arial" w:cs="Arial"/>
          <w:lang w:val="fr-FR"/>
        </w:rPr>
        <w:t xml:space="preserve">Une formation certifiant de plusieurs jours en présentiel, combinée à des modules supplémentaires en ligne, y compris des études autonomes, sera organisée pour la formation continue des participants (100 heures au total). La première partie de la formation se déroulera à Likasi en </w:t>
      </w:r>
      <w:r w:rsidR="000F465F" w:rsidRPr="0040543F">
        <w:rPr>
          <w:rFonts w:ascii="Arial" w:hAnsi="Arial" w:cs="Arial"/>
          <w:b/>
          <w:lang w:val="fr-FR"/>
        </w:rPr>
        <w:t>février</w:t>
      </w:r>
      <w:r w:rsidRPr="0040543F">
        <w:rPr>
          <w:rFonts w:ascii="Arial" w:hAnsi="Arial" w:cs="Arial"/>
          <w:b/>
          <w:lang w:val="fr-FR"/>
        </w:rPr>
        <w:t xml:space="preserve"> </w:t>
      </w:r>
      <w:r w:rsidR="000F465F" w:rsidRPr="0040543F">
        <w:rPr>
          <w:rFonts w:ascii="Arial" w:hAnsi="Arial" w:cs="Arial"/>
          <w:b/>
          <w:lang w:val="fr-FR"/>
        </w:rPr>
        <w:t>2023</w:t>
      </w:r>
      <w:r w:rsidRPr="0040543F">
        <w:rPr>
          <w:rFonts w:ascii="Arial" w:hAnsi="Arial" w:cs="Arial"/>
          <w:lang w:val="fr-FR"/>
        </w:rPr>
        <w:t>, probablement dura</w:t>
      </w:r>
      <w:r w:rsidR="000F465F" w:rsidRPr="0040543F">
        <w:rPr>
          <w:rFonts w:ascii="Arial" w:hAnsi="Arial" w:cs="Arial"/>
          <w:lang w:val="fr-FR"/>
        </w:rPr>
        <w:t xml:space="preserve">nt les </w:t>
      </w:r>
      <w:r w:rsidR="000F465F" w:rsidRPr="0040543F">
        <w:rPr>
          <w:rFonts w:ascii="Arial" w:hAnsi="Arial" w:cs="Arial"/>
          <w:b/>
          <w:lang w:val="fr-FR"/>
        </w:rPr>
        <w:t xml:space="preserve">semaines 6 et </w:t>
      </w:r>
      <w:r w:rsidRPr="0040543F">
        <w:rPr>
          <w:rFonts w:ascii="Arial" w:hAnsi="Arial" w:cs="Arial"/>
          <w:b/>
          <w:lang w:val="fr-FR"/>
        </w:rPr>
        <w:t>7</w:t>
      </w:r>
      <w:r w:rsidRPr="0040543F">
        <w:rPr>
          <w:rFonts w:ascii="Arial" w:hAnsi="Arial" w:cs="Arial"/>
          <w:lang w:val="fr-FR"/>
        </w:rPr>
        <w:t xml:space="preserve">. La formation en présentiel à Likasi sera suivie de modules complémentaires en ligne, d'études personnelles, de devoirs et de modules locaux entre </w:t>
      </w:r>
      <w:r w:rsidR="000F465F" w:rsidRPr="0040543F">
        <w:rPr>
          <w:rFonts w:ascii="Arial" w:hAnsi="Arial" w:cs="Arial"/>
          <w:b/>
          <w:lang w:val="fr-FR"/>
        </w:rPr>
        <w:t>février</w:t>
      </w:r>
      <w:r w:rsidRPr="0040543F">
        <w:rPr>
          <w:rFonts w:ascii="Arial" w:hAnsi="Arial" w:cs="Arial"/>
          <w:b/>
          <w:lang w:val="fr-FR"/>
        </w:rPr>
        <w:t xml:space="preserve"> et </w:t>
      </w:r>
      <w:r w:rsidR="000F465F" w:rsidRPr="0040543F">
        <w:rPr>
          <w:rFonts w:ascii="Arial" w:hAnsi="Arial" w:cs="Arial"/>
          <w:b/>
          <w:lang w:val="fr-FR"/>
        </w:rPr>
        <w:t>mars</w:t>
      </w:r>
      <w:r w:rsidRPr="0040543F">
        <w:rPr>
          <w:rFonts w:ascii="Arial" w:hAnsi="Arial" w:cs="Arial"/>
          <w:b/>
          <w:lang w:val="fr-FR"/>
        </w:rPr>
        <w:t xml:space="preserve"> 202</w:t>
      </w:r>
      <w:r w:rsidR="000F465F" w:rsidRPr="0040543F">
        <w:rPr>
          <w:rFonts w:ascii="Arial" w:hAnsi="Arial" w:cs="Arial"/>
          <w:b/>
          <w:lang w:val="fr-FR"/>
        </w:rPr>
        <w:t>3</w:t>
      </w:r>
      <w:r w:rsidRPr="0040543F">
        <w:rPr>
          <w:rFonts w:ascii="Arial" w:hAnsi="Arial" w:cs="Arial"/>
          <w:lang w:val="fr-FR"/>
        </w:rPr>
        <w:t xml:space="preserve">. Les modules locaux doivent être dispensés par le formateur dans le cadre d'un atelier </w:t>
      </w:r>
      <w:r w:rsidR="000F465F" w:rsidRPr="0040543F">
        <w:rPr>
          <w:rFonts w:ascii="Arial" w:hAnsi="Arial" w:cs="Arial"/>
          <w:lang w:val="fr-FR"/>
        </w:rPr>
        <w:t>en ligne</w:t>
      </w:r>
      <w:r w:rsidRPr="0040543F">
        <w:rPr>
          <w:rFonts w:ascii="Arial" w:hAnsi="Arial" w:cs="Arial"/>
          <w:lang w:val="fr-FR"/>
        </w:rPr>
        <w:t xml:space="preserve">. Au total, le volume des modules locaux et en ligne sera de 30 heures (sur un total de 100 heures). Un atelier final de trois jours sera animé par le formateur à Lubumbashi en </w:t>
      </w:r>
      <w:r w:rsidR="000F465F" w:rsidRPr="0040543F">
        <w:rPr>
          <w:rFonts w:ascii="Arial" w:hAnsi="Arial" w:cs="Arial"/>
          <w:b/>
          <w:lang w:val="fr-FR"/>
        </w:rPr>
        <w:t>mars 2023</w:t>
      </w:r>
      <w:r w:rsidRPr="0040543F">
        <w:rPr>
          <w:rFonts w:ascii="Arial" w:hAnsi="Arial" w:cs="Arial"/>
          <w:lang w:val="fr-FR"/>
        </w:rPr>
        <w:t xml:space="preserve"> dans la </w:t>
      </w:r>
      <w:r w:rsidRPr="0040543F">
        <w:rPr>
          <w:rFonts w:ascii="Arial" w:hAnsi="Arial" w:cs="Arial"/>
          <w:b/>
          <w:lang w:val="fr-FR"/>
        </w:rPr>
        <w:t xml:space="preserve">semaine </w:t>
      </w:r>
      <w:r w:rsidR="000F465F" w:rsidRPr="0040543F">
        <w:rPr>
          <w:rFonts w:ascii="Arial" w:hAnsi="Arial" w:cs="Arial"/>
          <w:b/>
          <w:lang w:val="fr-FR"/>
        </w:rPr>
        <w:t>13</w:t>
      </w:r>
      <w:r w:rsidRPr="0040543F">
        <w:rPr>
          <w:rFonts w:ascii="Arial" w:hAnsi="Arial" w:cs="Arial"/>
          <w:lang w:val="fr-FR"/>
        </w:rPr>
        <w:t>. Dans le cadre de l'atelier final, les participants présenteront leur travail de fin d'études comme preuve de performance pour l'obtention du certificat.</w:t>
      </w:r>
    </w:p>
    <w:p w:rsidR="00030DC5" w:rsidRPr="0040543F" w:rsidRDefault="00030DC5" w:rsidP="002C5D8C">
      <w:pPr>
        <w:jc w:val="both"/>
        <w:rPr>
          <w:rFonts w:ascii="Arial" w:hAnsi="Arial" w:cs="Arial"/>
          <w:b/>
          <w:lang w:val="fr-FR"/>
        </w:rPr>
      </w:pPr>
      <w:r w:rsidRPr="0040543F">
        <w:rPr>
          <w:rFonts w:ascii="Arial" w:hAnsi="Arial" w:cs="Arial"/>
          <w:b/>
          <w:lang w:val="fr-FR"/>
        </w:rPr>
        <w:t>Candidature</w:t>
      </w:r>
    </w:p>
    <w:p w:rsidR="00030DC5" w:rsidRPr="0040543F" w:rsidRDefault="00030DC5" w:rsidP="00030DC5">
      <w:pPr>
        <w:jc w:val="both"/>
        <w:rPr>
          <w:rFonts w:ascii="Arial" w:hAnsi="Arial" w:cs="Arial"/>
          <w:lang w:val="fr-FR"/>
        </w:rPr>
      </w:pPr>
      <w:r w:rsidRPr="0040543F">
        <w:rPr>
          <w:rFonts w:ascii="Arial" w:hAnsi="Arial" w:cs="Arial"/>
          <w:lang w:val="fr-FR"/>
        </w:rPr>
        <w:t xml:space="preserve">La candidature doit comprendre un CV, une lettre de motivation, une déclaration d'accord de l'employeur ainsi que </w:t>
      </w:r>
      <w:r w:rsidR="000F465F" w:rsidRPr="0040543F">
        <w:rPr>
          <w:rFonts w:ascii="Arial" w:hAnsi="Arial" w:cs="Arial"/>
          <w:lang w:val="fr-FR"/>
        </w:rPr>
        <w:t xml:space="preserve">l’auto-évaluation </w:t>
      </w:r>
      <w:r w:rsidRPr="0040543F">
        <w:rPr>
          <w:rFonts w:ascii="Arial" w:hAnsi="Arial" w:cs="Arial"/>
          <w:lang w:val="fr-FR"/>
        </w:rPr>
        <w:t>dûment rempli</w:t>
      </w:r>
      <w:r w:rsidR="0040543F" w:rsidRPr="0040543F">
        <w:rPr>
          <w:rFonts w:ascii="Arial" w:hAnsi="Arial" w:cs="Arial"/>
          <w:lang w:val="fr-FR"/>
        </w:rPr>
        <w:t xml:space="preserve"> (voir code QR)</w:t>
      </w:r>
      <w:r w:rsidRPr="0040543F">
        <w:rPr>
          <w:rFonts w:ascii="Arial" w:hAnsi="Arial" w:cs="Arial"/>
          <w:lang w:val="fr-FR"/>
        </w:rPr>
        <w:t xml:space="preserve">. La sélection des candidats incombe à la Chambre des Mines et au BGR. A qualifications égales, la préférence doit être donnée aux femmes jusqu'à ce qu'elles atteignent un pourcentage de 50% (7 </w:t>
      </w:r>
      <w:r w:rsidRPr="0040543F">
        <w:rPr>
          <w:rFonts w:ascii="Arial" w:hAnsi="Arial" w:cs="Arial"/>
          <w:lang w:val="fr-FR"/>
        </w:rPr>
        <w:lastRenderedPageBreak/>
        <w:t xml:space="preserve">participantes) lors de la sélection des participants. Au total, 15 participants peuvent être acceptés. </w:t>
      </w:r>
    </w:p>
    <w:p w:rsidR="0040543F" w:rsidRPr="0040543F" w:rsidRDefault="0040543F" w:rsidP="0040543F">
      <w:pPr>
        <w:jc w:val="both"/>
        <w:rPr>
          <w:rFonts w:ascii="Arial" w:hAnsi="Arial" w:cs="Arial"/>
          <w:lang w:val="fr-FR"/>
        </w:rPr>
      </w:pPr>
      <w:r w:rsidRPr="0040543F">
        <w:rPr>
          <w:rFonts w:ascii="Arial" w:hAnsi="Arial" w:cs="Arial"/>
          <w:lang w:val="fr-FR"/>
        </w:rPr>
        <w:t>Les dossiers de candidature sont à envoyer à l’adresse mail suivant :</w:t>
      </w:r>
    </w:p>
    <w:bookmarkStart w:id="0" w:name="_GoBack"/>
    <w:p w:rsidR="0040543F" w:rsidRPr="0040543F" w:rsidRDefault="00ED12F6" w:rsidP="0040543F">
      <w:pPr>
        <w:jc w:val="both"/>
        <w:rPr>
          <w:rFonts w:ascii="Arial" w:hAnsi="Arial" w:cs="Arial"/>
          <w:color w:val="5F6368"/>
          <w:spacing w:val="3"/>
          <w:sz w:val="21"/>
          <w:szCs w:val="21"/>
          <w:shd w:val="clear" w:color="auto" w:fill="FFFFFF"/>
          <w:lang w:val="fr-FR"/>
        </w:rPr>
      </w:pPr>
      <w:r>
        <w:fldChar w:fldCharType="begin"/>
      </w:r>
      <w:r>
        <w:instrText xml:space="preserve"> HYPERLINK "mailto:formati</w:instrText>
      </w:r>
      <w:r>
        <w:instrText xml:space="preserve">on.rserdc@gmail.com" </w:instrText>
      </w:r>
      <w:r>
        <w:fldChar w:fldCharType="separate"/>
      </w:r>
      <w:r w:rsidR="0040543F" w:rsidRPr="0040543F">
        <w:rPr>
          <w:rStyle w:val="Lienhypertexte"/>
          <w:rFonts w:ascii="Arial" w:hAnsi="Arial" w:cs="Arial"/>
          <w:spacing w:val="3"/>
          <w:sz w:val="21"/>
          <w:szCs w:val="21"/>
          <w:shd w:val="clear" w:color="auto" w:fill="FFFFFF"/>
          <w:lang w:val="fr-FR"/>
        </w:rPr>
        <w:t>formation.rserdc@gmail.com</w:t>
      </w:r>
      <w:r>
        <w:rPr>
          <w:rStyle w:val="Lienhypertexte"/>
          <w:rFonts w:ascii="Arial" w:hAnsi="Arial" w:cs="Arial"/>
          <w:spacing w:val="3"/>
          <w:sz w:val="21"/>
          <w:szCs w:val="21"/>
          <w:shd w:val="clear" w:color="auto" w:fill="FFFFFF"/>
          <w:lang w:val="fr-FR"/>
        </w:rPr>
        <w:fldChar w:fldCharType="end"/>
      </w:r>
    </w:p>
    <w:bookmarkEnd w:id="0"/>
    <w:p w:rsidR="006511CE" w:rsidRPr="0040543F" w:rsidRDefault="00030DC5" w:rsidP="00030DC5">
      <w:pPr>
        <w:jc w:val="both"/>
        <w:rPr>
          <w:rFonts w:ascii="Arial" w:hAnsi="Arial" w:cs="Arial"/>
          <w:b/>
          <w:lang w:val="fr-FR"/>
        </w:rPr>
      </w:pPr>
      <w:r w:rsidRPr="0040543F">
        <w:rPr>
          <w:rFonts w:ascii="Arial" w:hAnsi="Arial" w:cs="Arial"/>
          <w:lang w:val="fr-FR"/>
        </w:rPr>
        <w:t xml:space="preserve">Si leur candidature est retenue, les participants issus des entreprises doivent verser des frais </w:t>
      </w:r>
      <w:proofErr w:type="gramStart"/>
      <w:r w:rsidRPr="0040543F">
        <w:rPr>
          <w:rFonts w:ascii="Arial" w:hAnsi="Arial" w:cs="Arial"/>
          <w:lang w:val="fr-FR"/>
        </w:rPr>
        <w:t>de</w:t>
      </w:r>
      <w:proofErr w:type="gramEnd"/>
      <w:r w:rsidRPr="0040543F">
        <w:rPr>
          <w:rFonts w:ascii="Arial" w:hAnsi="Arial" w:cs="Arial"/>
          <w:lang w:val="fr-FR"/>
        </w:rPr>
        <w:t xml:space="preserve"> participation de </w:t>
      </w:r>
      <w:r w:rsidR="00C41A26" w:rsidRPr="0040543F">
        <w:rPr>
          <w:rFonts w:ascii="Arial" w:hAnsi="Arial" w:cs="Arial"/>
          <w:b/>
          <w:lang w:val="fr-FR"/>
        </w:rPr>
        <w:t>200</w:t>
      </w:r>
      <w:r w:rsidRPr="0040543F">
        <w:rPr>
          <w:rFonts w:ascii="Arial" w:hAnsi="Arial" w:cs="Arial"/>
          <w:b/>
          <w:lang w:val="fr-FR"/>
        </w:rPr>
        <w:t xml:space="preserve"> $</w:t>
      </w:r>
      <w:r w:rsidRPr="0040543F">
        <w:rPr>
          <w:rFonts w:ascii="Arial" w:hAnsi="Arial" w:cs="Arial"/>
          <w:lang w:val="fr-FR"/>
        </w:rPr>
        <w:t xml:space="preserve"> à la FEC. L</w:t>
      </w:r>
      <w:r w:rsidR="00231A07" w:rsidRPr="0040543F">
        <w:rPr>
          <w:rFonts w:ascii="Arial" w:hAnsi="Arial" w:cs="Arial"/>
          <w:lang w:val="fr-FR"/>
        </w:rPr>
        <w:t>e</w:t>
      </w:r>
      <w:r w:rsidRPr="0040543F">
        <w:rPr>
          <w:rFonts w:ascii="Arial" w:hAnsi="Arial" w:cs="Arial"/>
          <w:lang w:val="fr-FR"/>
        </w:rPr>
        <w:t xml:space="preserve"> BGR ne participe en aucune manière à la collecte des frais et ne dispose en aucune manière de ces fonds.</w:t>
      </w:r>
      <w:r w:rsidR="00190710" w:rsidRPr="0040543F">
        <w:rPr>
          <w:rFonts w:ascii="Arial" w:hAnsi="Arial" w:cs="Arial"/>
          <w:lang w:val="fr-FR"/>
        </w:rPr>
        <w:t xml:space="preserve"> </w:t>
      </w:r>
    </w:p>
    <w:p w:rsidR="004314B1" w:rsidRPr="0040543F" w:rsidRDefault="004314B1" w:rsidP="00C67192">
      <w:pPr>
        <w:jc w:val="both"/>
        <w:rPr>
          <w:rFonts w:ascii="Arial" w:hAnsi="Arial" w:cs="Arial"/>
          <w:lang w:val="fr-FR"/>
        </w:rPr>
      </w:pPr>
      <w:r w:rsidRPr="0040543F">
        <w:rPr>
          <w:rFonts w:ascii="Arial" w:hAnsi="Arial" w:cs="Arial"/>
          <w:lang w:val="fr-FR"/>
        </w:rPr>
        <w:t>Les employeurs des participants s'engagent en outre à libérer leurs employés pendant la durée de la formation (environ 20 jours au total) et à prendre en charge tous les frais de déplacement et de transport des participants, ce qu'ils doivent explicitement accepter dans leur déclaration d'accord.</w:t>
      </w:r>
    </w:p>
    <w:p w:rsidR="004314B1" w:rsidRPr="0040543F" w:rsidRDefault="004314B1" w:rsidP="00C67192">
      <w:pPr>
        <w:jc w:val="both"/>
        <w:rPr>
          <w:rFonts w:ascii="Arial" w:hAnsi="Arial" w:cs="Arial"/>
          <w:b/>
          <w:lang w:val="fr-FR"/>
        </w:rPr>
      </w:pPr>
      <w:r w:rsidRPr="0040543F">
        <w:rPr>
          <w:rFonts w:ascii="Arial" w:hAnsi="Arial" w:cs="Arial"/>
          <w:b/>
          <w:lang w:val="fr-FR"/>
        </w:rPr>
        <w:t>Engagement</w:t>
      </w:r>
    </w:p>
    <w:p w:rsidR="002E6ACF" w:rsidRPr="0040543F" w:rsidRDefault="004314B1" w:rsidP="00C67192">
      <w:pPr>
        <w:jc w:val="both"/>
        <w:rPr>
          <w:rFonts w:ascii="Arial" w:hAnsi="Arial" w:cs="Arial"/>
          <w:lang w:val="fr-FR"/>
        </w:rPr>
      </w:pPr>
      <w:r w:rsidRPr="0040543F">
        <w:rPr>
          <w:rFonts w:ascii="Arial" w:hAnsi="Arial" w:cs="Arial"/>
          <w:lang w:val="fr-FR"/>
        </w:rPr>
        <w:t>Les participants, les formateurs et les organisateurs s'engagent à respecter la protection des données personnelles ainsi que la confidentialité de leurs informations respectives internes à l'organisation.</w:t>
      </w:r>
    </w:p>
    <w:p w:rsidR="00C77EC9" w:rsidRPr="0040543F" w:rsidRDefault="00C77EC9" w:rsidP="00C77EC9">
      <w:pPr>
        <w:jc w:val="both"/>
        <w:rPr>
          <w:rFonts w:ascii="Arial" w:hAnsi="Arial" w:cs="Arial"/>
          <w:b/>
          <w:lang w:val="fr-FR"/>
        </w:rPr>
      </w:pPr>
      <w:r w:rsidRPr="0040543F">
        <w:rPr>
          <w:rFonts w:ascii="Arial" w:hAnsi="Arial" w:cs="Arial"/>
          <w:b/>
          <w:lang w:val="fr-FR"/>
        </w:rPr>
        <w:t>Auto-évaluation</w:t>
      </w:r>
    </w:p>
    <w:p w:rsidR="00C77EC9" w:rsidRPr="0040543F" w:rsidRDefault="00C77EC9" w:rsidP="00C77EC9">
      <w:pPr>
        <w:rPr>
          <w:rFonts w:ascii="Arial" w:hAnsi="Arial" w:cs="Arial"/>
          <w:lang w:val="fr-FR"/>
        </w:rPr>
      </w:pPr>
      <w:r w:rsidRPr="0040543F">
        <w:rPr>
          <w:rFonts w:ascii="Arial" w:hAnsi="Arial" w:cs="Arial"/>
          <w:lang w:val="fr-FR"/>
        </w:rPr>
        <w:t>Scannez le code QR avec une application adaptée sur votre téléphone. Ceci vous guidera À un questionnaire. Les questions visent à remplir les fonctions suivantes :</w:t>
      </w:r>
    </w:p>
    <w:p w:rsidR="00C77EC9" w:rsidRPr="0040543F" w:rsidRDefault="00C77EC9" w:rsidP="00C77EC9">
      <w:pPr>
        <w:jc w:val="both"/>
        <w:rPr>
          <w:rFonts w:ascii="Arial" w:hAnsi="Arial" w:cs="Arial"/>
          <w:lang w:val="fr-FR"/>
        </w:rPr>
      </w:pPr>
      <w:r w:rsidRPr="0040543F">
        <w:rPr>
          <w:rFonts w:ascii="Arial" w:hAnsi="Arial" w:cs="Arial"/>
          <w:lang w:val="fr-FR"/>
        </w:rPr>
        <w:t>1. Aider à la sélection des participants à la formation afin de garantir un impact maximal.</w:t>
      </w:r>
    </w:p>
    <w:p w:rsidR="00C77EC9" w:rsidRPr="0040543F" w:rsidRDefault="00C77EC9" w:rsidP="00C77EC9">
      <w:pPr>
        <w:jc w:val="both"/>
        <w:rPr>
          <w:rFonts w:ascii="Arial" w:hAnsi="Arial" w:cs="Arial"/>
          <w:lang w:val="fr-FR"/>
        </w:rPr>
      </w:pPr>
      <w:r w:rsidRPr="0040543F">
        <w:rPr>
          <w:rFonts w:ascii="Arial" w:hAnsi="Arial" w:cs="Arial"/>
          <w:lang w:val="fr-FR"/>
        </w:rPr>
        <w:t>2. Aider à développer le contenu et l'approche les plus pertinents pour la formation.</w:t>
      </w:r>
    </w:p>
    <w:p w:rsidR="002E6ACF" w:rsidRPr="0040543F" w:rsidRDefault="00C77EC9" w:rsidP="00C77EC9">
      <w:pPr>
        <w:jc w:val="both"/>
        <w:rPr>
          <w:rFonts w:ascii="Arial" w:hAnsi="Arial" w:cs="Arial"/>
          <w:lang w:val="fr-FR"/>
        </w:rPr>
      </w:pPr>
      <w:r w:rsidRPr="0040543F">
        <w:rPr>
          <w:rFonts w:ascii="Arial" w:hAnsi="Arial" w:cs="Arial"/>
          <w:lang w:val="fr-FR"/>
        </w:rPr>
        <w:t>En répondant à cette enquête de 10 à 15 minutes, vous nous aidez à adapter au mieux le contenu de la formation à vos besoins.</w:t>
      </w:r>
    </w:p>
    <w:p w:rsidR="002E6ACF" w:rsidRPr="0040543F" w:rsidRDefault="002E6ACF" w:rsidP="002E6ACF">
      <w:pPr>
        <w:jc w:val="center"/>
        <w:rPr>
          <w:rFonts w:ascii="Arial" w:hAnsi="Arial" w:cs="Arial"/>
          <w:lang w:val="fr-FR"/>
        </w:rPr>
      </w:pPr>
      <w:r w:rsidRPr="0040543F">
        <w:rPr>
          <w:rFonts w:ascii="Arial" w:hAnsi="Arial" w:cs="Arial"/>
          <w:noProof/>
          <w:lang w:val="fr-FR" w:eastAsia="fr-FR"/>
        </w:rPr>
        <w:drawing>
          <wp:inline distT="0" distB="0" distL="0" distR="0">
            <wp:extent cx="1946495" cy="1946495"/>
            <wp:effectExtent l="0" t="0" r="0" b="0"/>
            <wp:docPr id="5" name="Grafik 5" descr="C:\vetter.s\Eigene Dateien\BGR_Vetter\01_Projekt 21-24\02_Fachlich\15_Capacity Development\CSR\Durchführung\Teilnehmer\qrco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etter.s\Eigene Dateien\BGR_Vetter\01_Projekt 21-24\02_Fachlich\15_Capacity Development\CSR\Durchführung\Teilnehmer\qrcode.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8469" cy="1958469"/>
                    </a:xfrm>
                    <a:prstGeom prst="rect">
                      <a:avLst/>
                    </a:prstGeom>
                    <a:noFill/>
                    <a:ln>
                      <a:noFill/>
                    </a:ln>
                  </pic:spPr>
                </pic:pic>
              </a:graphicData>
            </a:graphic>
          </wp:inline>
        </w:drawing>
      </w:r>
    </w:p>
    <w:p w:rsidR="002C5D8C" w:rsidRPr="0040543F" w:rsidRDefault="002C5D8C" w:rsidP="00C67192">
      <w:pPr>
        <w:jc w:val="both"/>
        <w:rPr>
          <w:rFonts w:ascii="Arial" w:hAnsi="Arial" w:cs="Arial"/>
          <w:lang w:val="fr-FR"/>
        </w:rPr>
      </w:pPr>
      <w:r w:rsidRPr="0040543F">
        <w:rPr>
          <w:rFonts w:ascii="Arial" w:hAnsi="Arial" w:cs="Arial"/>
          <w:lang w:val="fr-FR"/>
        </w:rPr>
        <w:br w:type="page"/>
      </w:r>
    </w:p>
    <w:p w:rsidR="00A51904" w:rsidRPr="0040543F" w:rsidRDefault="00A51904" w:rsidP="00A51904">
      <w:pPr>
        <w:ind w:left="708"/>
        <w:jc w:val="center"/>
        <w:rPr>
          <w:rFonts w:ascii="Arial" w:hAnsi="Arial" w:cs="Arial"/>
          <w:b/>
          <w:sz w:val="24"/>
          <w:lang w:val="fr-FR"/>
        </w:rPr>
      </w:pPr>
      <w:r w:rsidRPr="0040543F">
        <w:rPr>
          <w:rFonts w:ascii="Arial" w:hAnsi="Arial" w:cs="Arial"/>
          <w:b/>
          <w:sz w:val="24"/>
          <w:lang w:val="fr-FR"/>
        </w:rPr>
        <w:lastRenderedPageBreak/>
        <w:t>Annexe I Contenu sommaire de la formation</w:t>
      </w:r>
    </w:p>
    <w:p w:rsidR="00652F0B" w:rsidRPr="0040543F" w:rsidRDefault="00652F0B" w:rsidP="00A51904">
      <w:pPr>
        <w:ind w:left="708"/>
        <w:jc w:val="center"/>
        <w:rPr>
          <w:rFonts w:ascii="Arial" w:hAnsi="Arial" w:cs="Arial"/>
          <w:b/>
          <w:sz w:val="24"/>
          <w:lang w:val="fr-FR"/>
        </w:rPr>
      </w:pPr>
    </w:p>
    <w:p w:rsidR="00A51904" w:rsidRPr="0040543F" w:rsidRDefault="00A51904" w:rsidP="00A51904">
      <w:pPr>
        <w:jc w:val="both"/>
        <w:rPr>
          <w:rFonts w:ascii="Arial" w:hAnsi="Arial" w:cs="Arial"/>
          <w:lang w:val="fr-FR"/>
        </w:rPr>
      </w:pPr>
      <w:r w:rsidRPr="0040543F">
        <w:rPr>
          <w:rFonts w:ascii="Arial" w:hAnsi="Arial" w:cs="Arial"/>
          <w:lang w:val="fr-FR"/>
        </w:rPr>
        <w:t>Durabilité et RSE</w:t>
      </w:r>
    </w:p>
    <w:p w:rsidR="00A51904" w:rsidRPr="0040543F" w:rsidRDefault="00A51904" w:rsidP="00A51904">
      <w:pPr>
        <w:ind w:left="708"/>
        <w:jc w:val="both"/>
        <w:rPr>
          <w:rFonts w:ascii="Arial" w:hAnsi="Arial" w:cs="Arial"/>
          <w:lang w:val="fr-FR"/>
        </w:rPr>
      </w:pPr>
      <w:proofErr w:type="spellStart"/>
      <w:r w:rsidRPr="0040543F">
        <w:rPr>
          <w:rFonts w:ascii="Arial" w:hAnsi="Arial" w:cs="Arial"/>
          <w:lang w:val="fr-FR"/>
        </w:rPr>
        <w:t>ODDs</w:t>
      </w:r>
      <w:proofErr w:type="spellEnd"/>
    </w:p>
    <w:p w:rsidR="00A51904" w:rsidRPr="0040543F" w:rsidRDefault="00A51904" w:rsidP="00A51904">
      <w:pPr>
        <w:ind w:left="708"/>
        <w:jc w:val="both"/>
        <w:rPr>
          <w:rFonts w:ascii="Arial" w:hAnsi="Arial" w:cs="Arial"/>
          <w:lang w:val="fr-FR"/>
        </w:rPr>
      </w:pPr>
      <w:r w:rsidRPr="0040543F">
        <w:rPr>
          <w:rFonts w:ascii="Arial" w:hAnsi="Arial" w:cs="Arial"/>
          <w:lang w:val="fr-FR"/>
        </w:rPr>
        <w:t xml:space="preserve">L'exploitation minière et les </w:t>
      </w:r>
      <w:proofErr w:type="spellStart"/>
      <w:r w:rsidRPr="0040543F">
        <w:rPr>
          <w:rFonts w:ascii="Arial" w:hAnsi="Arial" w:cs="Arial"/>
          <w:lang w:val="fr-FR"/>
        </w:rPr>
        <w:t>ODDs</w:t>
      </w:r>
      <w:proofErr w:type="spellEnd"/>
    </w:p>
    <w:p w:rsidR="00A51904" w:rsidRPr="0040543F" w:rsidRDefault="00A51904" w:rsidP="00A51904">
      <w:pPr>
        <w:ind w:left="708"/>
        <w:jc w:val="both"/>
        <w:rPr>
          <w:rFonts w:ascii="Arial" w:hAnsi="Arial" w:cs="Arial"/>
          <w:lang w:val="fr-FR"/>
        </w:rPr>
      </w:pPr>
      <w:r w:rsidRPr="0040543F">
        <w:rPr>
          <w:rFonts w:ascii="Arial" w:hAnsi="Arial" w:cs="Arial"/>
          <w:lang w:val="fr-FR"/>
        </w:rPr>
        <w:t>Vision minière africaine</w:t>
      </w:r>
    </w:p>
    <w:p w:rsidR="00A51904" w:rsidRPr="0040543F" w:rsidRDefault="00A51904" w:rsidP="00A51904">
      <w:pPr>
        <w:ind w:left="708"/>
        <w:jc w:val="both"/>
        <w:rPr>
          <w:rFonts w:ascii="Arial" w:hAnsi="Arial" w:cs="Arial"/>
          <w:lang w:val="fr-FR"/>
        </w:rPr>
      </w:pPr>
      <w:r w:rsidRPr="0040543F">
        <w:rPr>
          <w:rFonts w:ascii="Arial" w:hAnsi="Arial" w:cs="Arial"/>
          <w:lang w:val="fr-FR"/>
        </w:rPr>
        <w:t>OCDE - Principes directeurs à l'intention des entreprises multinationales</w:t>
      </w:r>
    </w:p>
    <w:p w:rsidR="00A51904" w:rsidRPr="0040543F" w:rsidRDefault="00A51904" w:rsidP="00A51904">
      <w:pPr>
        <w:ind w:left="708"/>
        <w:jc w:val="both"/>
        <w:rPr>
          <w:rFonts w:ascii="Arial" w:hAnsi="Arial" w:cs="Arial"/>
          <w:lang w:val="fr-FR"/>
        </w:rPr>
      </w:pPr>
      <w:r w:rsidRPr="0040543F">
        <w:rPr>
          <w:rFonts w:ascii="Arial" w:hAnsi="Arial" w:cs="Arial"/>
          <w:lang w:val="fr-FR"/>
        </w:rPr>
        <w:t>Pacte mondial des Nations unies - Principes et conditions de participation</w:t>
      </w:r>
    </w:p>
    <w:p w:rsidR="00A51904" w:rsidRPr="0040543F" w:rsidRDefault="00A51904" w:rsidP="00A51904">
      <w:pPr>
        <w:ind w:left="708"/>
        <w:jc w:val="both"/>
        <w:rPr>
          <w:rFonts w:ascii="Arial" w:hAnsi="Arial" w:cs="Arial"/>
          <w:lang w:val="fr-FR"/>
        </w:rPr>
      </w:pPr>
      <w:proofErr w:type="spellStart"/>
      <w:r w:rsidRPr="0040543F">
        <w:rPr>
          <w:rFonts w:ascii="Arial" w:hAnsi="Arial" w:cs="Arial"/>
          <w:lang w:val="fr-FR"/>
        </w:rPr>
        <w:t>Materialité</w:t>
      </w:r>
      <w:proofErr w:type="spellEnd"/>
    </w:p>
    <w:p w:rsidR="00A51904" w:rsidRPr="0040543F" w:rsidRDefault="00A51904" w:rsidP="00A51904">
      <w:pPr>
        <w:ind w:left="708"/>
        <w:jc w:val="both"/>
        <w:rPr>
          <w:rFonts w:ascii="Arial" w:hAnsi="Arial" w:cs="Arial"/>
          <w:lang w:val="fr-FR"/>
        </w:rPr>
      </w:pPr>
      <w:r w:rsidRPr="0040543F">
        <w:rPr>
          <w:rFonts w:ascii="Arial" w:hAnsi="Arial" w:cs="Arial"/>
          <w:lang w:val="fr-FR"/>
        </w:rPr>
        <w:t>Analyse des parties prenantes</w:t>
      </w:r>
    </w:p>
    <w:p w:rsidR="00A51904" w:rsidRPr="0040543F" w:rsidRDefault="00A51904" w:rsidP="00A51904">
      <w:pPr>
        <w:jc w:val="both"/>
        <w:rPr>
          <w:rFonts w:ascii="Arial" w:hAnsi="Arial" w:cs="Arial"/>
          <w:lang w:val="fr-FR"/>
        </w:rPr>
      </w:pPr>
      <w:r w:rsidRPr="0040543F">
        <w:rPr>
          <w:rFonts w:ascii="Arial" w:hAnsi="Arial" w:cs="Arial"/>
          <w:lang w:val="fr-FR"/>
        </w:rPr>
        <w:t>Rapportage</w:t>
      </w:r>
    </w:p>
    <w:p w:rsidR="00A51904" w:rsidRPr="0040543F" w:rsidRDefault="00A51904" w:rsidP="00A51904">
      <w:pPr>
        <w:ind w:left="708"/>
        <w:jc w:val="both"/>
        <w:rPr>
          <w:rFonts w:ascii="Arial" w:hAnsi="Arial" w:cs="Arial"/>
          <w:lang w:val="fr-FR"/>
        </w:rPr>
      </w:pPr>
      <w:r w:rsidRPr="0040543F">
        <w:rPr>
          <w:rFonts w:ascii="Arial" w:hAnsi="Arial" w:cs="Arial"/>
          <w:lang w:val="fr-FR"/>
        </w:rPr>
        <w:t>Types de rapports (</w:t>
      </w:r>
      <w:proofErr w:type="spellStart"/>
      <w:r w:rsidRPr="0040543F">
        <w:rPr>
          <w:rFonts w:ascii="Arial" w:hAnsi="Arial" w:cs="Arial"/>
          <w:lang w:val="fr-FR"/>
        </w:rPr>
        <w:t>selfreporting</w:t>
      </w:r>
      <w:proofErr w:type="spellEnd"/>
      <w:r w:rsidRPr="0040543F">
        <w:rPr>
          <w:rFonts w:ascii="Arial" w:hAnsi="Arial" w:cs="Arial"/>
          <w:lang w:val="fr-FR"/>
        </w:rPr>
        <w:t>, rapports internes, publics)</w:t>
      </w:r>
    </w:p>
    <w:p w:rsidR="00A51904" w:rsidRPr="0040543F" w:rsidRDefault="00A51904" w:rsidP="00A51904">
      <w:pPr>
        <w:ind w:left="708"/>
        <w:jc w:val="both"/>
        <w:rPr>
          <w:rFonts w:ascii="Arial" w:hAnsi="Arial" w:cs="Arial"/>
          <w:lang w:val="fr-FR"/>
        </w:rPr>
      </w:pPr>
      <w:r w:rsidRPr="0040543F">
        <w:rPr>
          <w:rFonts w:ascii="Arial" w:hAnsi="Arial" w:cs="Arial"/>
          <w:lang w:val="fr-FR"/>
        </w:rPr>
        <w:t>Rapports de durabilité (selon GRI)</w:t>
      </w:r>
    </w:p>
    <w:p w:rsidR="00A51904" w:rsidRPr="0040543F" w:rsidRDefault="00A51904" w:rsidP="00A51904">
      <w:pPr>
        <w:ind w:left="1416"/>
        <w:jc w:val="both"/>
        <w:rPr>
          <w:rFonts w:ascii="Arial" w:hAnsi="Arial" w:cs="Arial"/>
          <w:lang w:val="fr-FR"/>
        </w:rPr>
      </w:pPr>
      <w:r w:rsidRPr="0040543F">
        <w:rPr>
          <w:rFonts w:ascii="Arial" w:hAnsi="Arial" w:cs="Arial"/>
          <w:lang w:val="fr-FR"/>
        </w:rPr>
        <w:t>Exemples tirés de différents secteurs économiques (par ex. industrie électronique, industrie automobile) et de différents niveaux de la chaîne d'approvisionnement, en amont (industrie minière), au niveau des raffineries et en aval (industries de transformation).</w:t>
      </w:r>
    </w:p>
    <w:p w:rsidR="00A51904" w:rsidRPr="0040543F" w:rsidRDefault="00A51904" w:rsidP="00A51904">
      <w:pPr>
        <w:ind w:firstLine="708"/>
        <w:jc w:val="both"/>
        <w:rPr>
          <w:rFonts w:ascii="Arial" w:hAnsi="Arial" w:cs="Arial"/>
          <w:lang w:val="fr-FR"/>
        </w:rPr>
      </w:pPr>
      <w:proofErr w:type="spellStart"/>
      <w:r w:rsidRPr="0040543F">
        <w:rPr>
          <w:rFonts w:ascii="Arial" w:hAnsi="Arial" w:cs="Arial"/>
          <w:lang w:val="fr-FR"/>
        </w:rPr>
        <w:t>KPIs</w:t>
      </w:r>
      <w:proofErr w:type="spellEnd"/>
      <w:r w:rsidRPr="0040543F">
        <w:rPr>
          <w:rFonts w:ascii="Arial" w:hAnsi="Arial" w:cs="Arial"/>
          <w:lang w:val="fr-FR"/>
        </w:rPr>
        <w:t xml:space="preserve"> durables (économiques, écologiques, sociaux) pour mesurer les progrès.</w:t>
      </w:r>
    </w:p>
    <w:p w:rsidR="00A51904" w:rsidRPr="0040543F" w:rsidRDefault="00A51904" w:rsidP="00A51904">
      <w:pPr>
        <w:jc w:val="both"/>
        <w:rPr>
          <w:rFonts w:ascii="Arial" w:hAnsi="Arial" w:cs="Arial"/>
          <w:lang w:val="fr-FR"/>
        </w:rPr>
      </w:pPr>
      <w:r w:rsidRPr="0040543F">
        <w:rPr>
          <w:rFonts w:ascii="Arial" w:hAnsi="Arial" w:cs="Arial"/>
          <w:lang w:val="fr-FR"/>
        </w:rPr>
        <w:t>Assurance</w:t>
      </w:r>
    </w:p>
    <w:p w:rsidR="00A51904" w:rsidRPr="0040543F" w:rsidRDefault="00A51904" w:rsidP="00A51904">
      <w:pPr>
        <w:ind w:left="708"/>
        <w:jc w:val="both"/>
        <w:rPr>
          <w:rFonts w:ascii="Arial" w:hAnsi="Arial" w:cs="Arial"/>
          <w:lang w:val="fr-FR"/>
        </w:rPr>
      </w:pPr>
      <w:r w:rsidRPr="0040543F">
        <w:rPr>
          <w:rFonts w:ascii="Arial" w:hAnsi="Arial" w:cs="Arial"/>
          <w:lang w:val="fr-FR"/>
        </w:rPr>
        <w:t>Déroulement de l'audit</w:t>
      </w:r>
    </w:p>
    <w:p w:rsidR="00A51904" w:rsidRPr="0040543F" w:rsidRDefault="00A51904" w:rsidP="00A51904">
      <w:pPr>
        <w:ind w:left="708"/>
        <w:jc w:val="both"/>
        <w:rPr>
          <w:rFonts w:ascii="Arial" w:hAnsi="Arial" w:cs="Arial"/>
          <w:lang w:val="fr-FR"/>
        </w:rPr>
      </w:pPr>
      <w:r w:rsidRPr="0040543F">
        <w:rPr>
          <w:rFonts w:ascii="Arial" w:hAnsi="Arial" w:cs="Arial"/>
          <w:lang w:val="fr-FR"/>
        </w:rPr>
        <w:t>Expertise/ Inspections/ Evaluations</w:t>
      </w:r>
    </w:p>
    <w:p w:rsidR="00A51904" w:rsidRPr="0040543F" w:rsidRDefault="00A51904" w:rsidP="00A51904">
      <w:pPr>
        <w:jc w:val="both"/>
        <w:rPr>
          <w:rFonts w:ascii="Arial" w:hAnsi="Arial" w:cs="Arial"/>
          <w:lang w:val="fr-FR"/>
        </w:rPr>
      </w:pPr>
      <w:r w:rsidRPr="0040543F">
        <w:rPr>
          <w:rFonts w:ascii="Arial" w:hAnsi="Arial" w:cs="Arial"/>
          <w:lang w:val="fr-FR"/>
        </w:rPr>
        <w:t>Conformité (Compliance) dans le contexte de la durabilité et de la transparence</w:t>
      </w:r>
    </w:p>
    <w:p w:rsidR="00A51904" w:rsidRPr="0040543F" w:rsidRDefault="00A51904" w:rsidP="00A51904">
      <w:pPr>
        <w:ind w:firstLine="708"/>
        <w:jc w:val="both"/>
        <w:rPr>
          <w:rFonts w:ascii="Arial" w:hAnsi="Arial" w:cs="Arial"/>
          <w:lang w:val="fr-FR"/>
        </w:rPr>
      </w:pPr>
      <w:r w:rsidRPr="0040543F">
        <w:rPr>
          <w:rFonts w:ascii="Arial" w:hAnsi="Arial" w:cs="Arial"/>
          <w:lang w:val="fr-FR"/>
        </w:rPr>
        <w:t>Exigences légales sur le terrain, légalisation de la RSE</w:t>
      </w:r>
    </w:p>
    <w:p w:rsidR="00A51904" w:rsidRPr="0040543F" w:rsidRDefault="00A51904" w:rsidP="00A51904">
      <w:pPr>
        <w:jc w:val="both"/>
        <w:rPr>
          <w:rFonts w:ascii="Arial" w:hAnsi="Arial" w:cs="Arial"/>
          <w:lang w:val="fr-FR"/>
        </w:rPr>
      </w:pPr>
      <w:r w:rsidRPr="0040543F">
        <w:rPr>
          <w:rFonts w:ascii="Arial" w:hAnsi="Arial" w:cs="Arial"/>
          <w:lang w:val="fr-FR"/>
        </w:rPr>
        <w:tab/>
      </w:r>
      <w:r w:rsidRPr="0040543F">
        <w:rPr>
          <w:rFonts w:ascii="Arial" w:hAnsi="Arial" w:cs="Arial"/>
          <w:lang w:val="fr-FR"/>
        </w:rPr>
        <w:tab/>
        <w:t>Cahier des charges social (Cahier des Charges)</w:t>
      </w:r>
    </w:p>
    <w:p w:rsidR="00A51904" w:rsidRPr="0040543F" w:rsidRDefault="00A51904" w:rsidP="00A51904">
      <w:pPr>
        <w:jc w:val="both"/>
        <w:rPr>
          <w:rFonts w:ascii="Arial" w:hAnsi="Arial" w:cs="Arial"/>
          <w:lang w:val="fr-FR"/>
        </w:rPr>
      </w:pPr>
      <w:r w:rsidRPr="0040543F">
        <w:rPr>
          <w:rFonts w:ascii="Arial" w:hAnsi="Arial" w:cs="Arial"/>
          <w:lang w:val="fr-FR"/>
        </w:rPr>
        <w:tab/>
      </w:r>
      <w:r w:rsidRPr="0040543F">
        <w:rPr>
          <w:rFonts w:ascii="Arial" w:hAnsi="Arial" w:cs="Arial"/>
          <w:lang w:val="fr-FR"/>
        </w:rPr>
        <w:tab/>
        <w:t xml:space="preserve">Droit du travail vs. </w:t>
      </w:r>
      <w:proofErr w:type="gramStart"/>
      <w:r w:rsidRPr="0040543F">
        <w:rPr>
          <w:rFonts w:ascii="Arial" w:hAnsi="Arial" w:cs="Arial"/>
          <w:lang w:val="fr-FR"/>
        </w:rPr>
        <w:t>normes</w:t>
      </w:r>
      <w:proofErr w:type="gramEnd"/>
      <w:r w:rsidRPr="0040543F">
        <w:rPr>
          <w:rFonts w:ascii="Arial" w:hAnsi="Arial" w:cs="Arial"/>
          <w:lang w:val="fr-FR"/>
        </w:rPr>
        <w:t xml:space="preserve"> internationales</w:t>
      </w:r>
    </w:p>
    <w:p w:rsidR="00A51904" w:rsidRPr="0040543F" w:rsidRDefault="00A51904" w:rsidP="00A51904">
      <w:pPr>
        <w:jc w:val="both"/>
        <w:rPr>
          <w:rFonts w:ascii="Arial" w:hAnsi="Arial" w:cs="Arial"/>
          <w:lang w:val="fr-FR"/>
        </w:rPr>
      </w:pPr>
      <w:r w:rsidRPr="0040543F">
        <w:rPr>
          <w:rFonts w:ascii="Arial" w:hAnsi="Arial" w:cs="Arial"/>
          <w:lang w:val="fr-FR"/>
        </w:rPr>
        <w:tab/>
      </w:r>
      <w:r w:rsidRPr="0040543F">
        <w:rPr>
          <w:rFonts w:ascii="Arial" w:hAnsi="Arial" w:cs="Arial"/>
          <w:lang w:val="fr-FR"/>
        </w:rPr>
        <w:tab/>
        <w:t>Contenu local/ loi de la sous-traitance 2017</w:t>
      </w:r>
    </w:p>
    <w:p w:rsidR="00A51904" w:rsidRPr="0040543F" w:rsidRDefault="00A51904" w:rsidP="00A51904">
      <w:pPr>
        <w:jc w:val="both"/>
        <w:rPr>
          <w:rFonts w:ascii="Arial" w:hAnsi="Arial" w:cs="Arial"/>
          <w:lang w:val="fr-FR"/>
        </w:rPr>
      </w:pPr>
      <w:r w:rsidRPr="0040543F">
        <w:rPr>
          <w:rFonts w:ascii="Arial" w:hAnsi="Arial" w:cs="Arial"/>
          <w:lang w:val="fr-FR"/>
        </w:rPr>
        <w:tab/>
      </w:r>
      <w:r w:rsidRPr="0040543F">
        <w:rPr>
          <w:rFonts w:ascii="Arial" w:hAnsi="Arial" w:cs="Arial"/>
          <w:lang w:val="fr-FR"/>
        </w:rPr>
        <w:tab/>
        <w:t>ITIE</w:t>
      </w:r>
    </w:p>
    <w:p w:rsidR="00A51904" w:rsidRPr="0040543F" w:rsidRDefault="00A51904" w:rsidP="00A51904">
      <w:pPr>
        <w:ind w:firstLine="708"/>
        <w:jc w:val="both"/>
        <w:rPr>
          <w:rFonts w:ascii="Arial" w:hAnsi="Arial" w:cs="Arial"/>
          <w:lang w:val="fr-FR"/>
        </w:rPr>
      </w:pPr>
      <w:r w:rsidRPr="0040543F">
        <w:rPr>
          <w:rFonts w:ascii="Arial" w:hAnsi="Arial" w:cs="Arial"/>
          <w:lang w:val="fr-FR"/>
        </w:rPr>
        <w:t>Devoir de diligence</w:t>
      </w:r>
    </w:p>
    <w:p w:rsidR="00A51904" w:rsidRPr="0040543F" w:rsidRDefault="00A51904" w:rsidP="00A51904">
      <w:pPr>
        <w:ind w:firstLine="708"/>
        <w:jc w:val="both"/>
        <w:rPr>
          <w:rFonts w:ascii="Arial" w:hAnsi="Arial" w:cs="Arial"/>
          <w:lang w:val="fr-FR"/>
        </w:rPr>
      </w:pPr>
      <w:r w:rsidRPr="0040543F">
        <w:rPr>
          <w:rFonts w:ascii="Arial" w:hAnsi="Arial" w:cs="Arial"/>
          <w:lang w:val="fr-FR"/>
        </w:rPr>
        <w:t>Business et droits de l'homme</w:t>
      </w:r>
    </w:p>
    <w:p w:rsidR="00A51904" w:rsidRPr="0040543F" w:rsidRDefault="00A51904" w:rsidP="00A51904">
      <w:pPr>
        <w:jc w:val="both"/>
        <w:rPr>
          <w:rFonts w:ascii="Arial" w:hAnsi="Arial" w:cs="Arial"/>
          <w:lang w:val="fr-FR"/>
        </w:rPr>
      </w:pPr>
      <w:r w:rsidRPr="0040543F">
        <w:rPr>
          <w:rFonts w:ascii="Arial" w:hAnsi="Arial" w:cs="Arial"/>
          <w:lang w:val="fr-FR"/>
        </w:rPr>
        <w:t>Industrie minière et normes, certifications &amp; initiatives relatives à la chaîne d'approvisionnement</w:t>
      </w:r>
    </w:p>
    <w:p w:rsidR="00A51904" w:rsidRPr="0040543F" w:rsidRDefault="00A51904" w:rsidP="00A51904">
      <w:pPr>
        <w:ind w:firstLine="708"/>
        <w:jc w:val="both"/>
        <w:rPr>
          <w:rFonts w:ascii="Arial" w:hAnsi="Arial" w:cs="Arial"/>
          <w:lang w:val="fr-FR"/>
        </w:rPr>
      </w:pPr>
      <w:r w:rsidRPr="0040543F">
        <w:rPr>
          <w:rFonts w:ascii="Arial" w:hAnsi="Arial" w:cs="Arial"/>
          <w:lang w:val="fr-FR"/>
        </w:rPr>
        <w:t>Meilleures pratiques dans l'industrie minière</w:t>
      </w:r>
    </w:p>
    <w:p w:rsidR="00A51904" w:rsidRPr="0040543F" w:rsidRDefault="00A51904" w:rsidP="00A51904">
      <w:pPr>
        <w:ind w:firstLine="708"/>
        <w:jc w:val="both"/>
        <w:rPr>
          <w:rFonts w:ascii="Arial" w:hAnsi="Arial" w:cs="Arial"/>
          <w:lang w:val="fr-FR"/>
        </w:rPr>
      </w:pPr>
      <w:r w:rsidRPr="0040543F">
        <w:rPr>
          <w:rFonts w:ascii="Arial" w:hAnsi="Arial" w:cs="Arial"/>
          <w:lang w:val="fr-FR"/>
        </w:rPr>
        <w:t>Organisation internationale du travail (OIT) - normes du travail</w:t>
      </w:r>
    </w:p>
    <w:p w:rsidR="00A51904" w:rsidRPr="0040543F" w:rsidRDefault="00A51904" w:rsidP="00A51904">
      <w:pPr>
        <w:ind w:firstLine="708"/>
        <w:jc w:val="both"/>
        <w:rPr>
          <w:rFonts w:ascii="Arial" w:hAnsi="Arial" w:cs="Arial"/>
          <w:lang w:val="en-GB"/>
        </w:rPr>
      </w:pPr>
      <w:r w:rsidRPr="0040543F">
        <w:rPr>
          <w:rFonts w:ascii="Arial" w:hAnsi="Arial" w:cs="Arial"/>
          <w:lang w:val="en-GB"/>
        </w:rPr>
        <w:t>DD (OECD), IRMA, LME, CIRAF</w:t>
      </w:r>
    </w:p>
    <w:p w:rsidR="00A51904" w:rsidRPr="0040543F" w:rsidRDefault="00A51904" w:rsidP="00A51904">
      <w:pPr>
        <w:ind w:firstLine="708"/>
        <w:jc w:val="both"/>
        <w:rPr>
          <w:rFonts w:ascii="Arial" w:hAnsi="Arial" w:cs="Arial"/>
          <w:lang w:val="en-GB"/>
        </w:rPr>
      </w:pPr>
      <w:r w:rsidRPr="0040543F">
        <w:rPr>
          <w:rFonts w:ascii="Arial" w:hAnsi="Arial" w:cs="Arial"/>
          <w:lang w:val="en-GB"/>
        </w:rPr>
        <w:lastRenderedPageBreak/>
        <w:t>ISEAL</w:t>
      </w:r>
    </w:p>
    <w:p w:rsidR="00A51904" w:rsidRPr="0040543F" w:rsidRDefault="00A51904" w:rsidP="00A51904">
      <w:pPr>
        <w:ind w:firstLine="708"/>
        <w:jc w:val="both"/>
        <w:rPr>
          <w:rFonts w:ascii="Arial" w:hAnsi="Arial" w:cs="Arial"/>
          <w:lang w:val="en-GB"/>
        </w:rPr>
      </w:pPr>
      <w:r w:rsidRPr="0040543F">
        <w:rPr>
          <w:rFonts w:ascii="Arial" w:hAnsi="Arial" w:cs="Arial"/>
          <w:lang w:val="en-GB"/>
        </w:rPr>
        <w:t>ISO 14001, ISO 26000, ISO 45000, ISO 50001, ISO 9001, SA 8001 SEDEX (SMETA)</w:t>
      </w:r>
    </w:p>
    <w:p w:rsidR="00A51904" w:rsidRPr="00C7790E" w:rsidRDefault="00A51904" w:rsidP="00A51904">
      <w:pPr>
        <w:ind w:firstLine="708"/>
        <w:jc w:val="both"/>
        <w:rPr>
          <w:rFonts w:ascii="Arial" w:hAnsi="Arial" w:cs="Arial"/>
          <w:lang w:val="fr-FR"/>
        </w:rPr>
      </w:pPr>
      <w:r w:rsidRPr="00C7790E">
        <w:rPr>
          <w:rFonts w:ascii="Arial" w:hAnsi="Arial" w:cs="Arial"/>
          <w:lang w:val="fr-FR"/>
        </w:rPr>
        <w:t>RMI, RCI, GBA</w:t>
      </w:r>
    </w:p>
    <w:p w:rsidR="00A51904" w:rsidRPr="0040543F" w:rsidRDefault="00A51904" w:rsidP="00A51904">
      <w:pPr>
        <w:ind w:left="708"/>
        <w:jc w:val="both"/>
        <w:rPr>
          <w:rFonts w:ascii="Arial" w:hAnsi="Arial" w:cs="Arial"/>
          <w:lang w:val="fr-FR"/>
        </w:rPr>
      </w:pPr>
      <w:r w:rsidRPr="0040543F">
        <w:rPr>
          <w:rFonts w:ascii="Arial" w:hAnsi="Arial" w:cs="Arial"/>
          <w:lang w:val="fr-FR"/>
        </w:rPr>
        <w:t xml:space="preserve">Emissions de carbone/ gaz </w:t>
      </w:r>
      <w:proofErr w:type="spellStart"/>
      <w:r w:rsidRPr="0040543F">
        <w:rPr>
          <w:rFonts w:ascii="Arial" w:hAnsi="Arial" w:cs="Arial"/>
          <w:lang w:val="fr-FR"/>
        </w:rPr>
        <w:t>a</w:t>
      </w:r>
      <w:proofErr w:type="spellEnd"/>
      <w:r w:rsidRPr="0040543F">
        <w:rPr>
          <w:rFonts w:ascii="Arial" w:hAnsi="Arial" w:cs="Arial"/>
          <w:lang w:val="fr-FR"/>
        </w:rPr>
        <w:t xml:space="preserve"> effet de sire, concept et méthode du bilan de "scope" dans le contexte minier</w:t>
      </w:r>
    </w:p>
    <w:p w:rsidR="00A51904" w:rsidRPr="0040543F" w:rsidRDefault="00A51904" w:rsidP="00A51904">
      <w:pPr>
        <w:ind w:firstLine="708"/>
        <w:jc w:val="both"/>
        <w:rPr>
          <w:rFonts w:ascii="Arial" w:hAnsi="Arial" w:cs="Arial"/>
          <w:lang w:val="fr-FR"/>
        </w:rPr>
      </w:pPr>
      <w:r w:rsidRPr="0040543F">
        <w:rPr>
          <w:rFonts w:ascii="Arial" w:hAnsi="Arial" w:cs="Arial"/>
          <w:lang w:val="fr-FR"/>
        </w:rPr>
        <w:t>Règlement de l'UE sur les batteries</w:t>
      </w:r>
    </w:p>
    <w:p w:rsidR="00A51904" w:rsidRPr="0040543F" w:rsidRDefault="00A51904" w:rsidP="00A51904">
      <w:pPr>
        <w:ind w:firstLine="708"/>
        <w:jc w:val="both"/>
        <w:rPr>
          <w:rFonts w:ascii="Arial" w:hAnsi="Arial" w:cs="Arial"/>
          <w:lang w:val="fr-FR"/>
        </w:rPr>
      </w:pPr>
      <w:r w:rsidRPr="0040543F">
        <w:rPr>
          <w:rFonts w:ascii="Arial" w:hAnsi="Arial" w:cs="Arial"/>
          <w:lang w:val="fr-FR"/>
        </w:rPr>
        <w:t>Règlement de l'UE sur les minerais de conflit</w:t>
      </w:r>
    </w:p>
    <w:p w:rsidR="00A51904" w:rsidRPr="0040543F" w:rsidRDefault="00A51904" w:rsidP="00A51904">
      <w:pPr>
        <w:jc w:val="both"/>
        <w:rPr>
          <w:rFonts w:ascii="Arial" w:hAnsi="Arial" w:cs="Arial"/>
          <w:lang w:val="fr-FR"/>
        </w:rPr>
      </w:pPr>
      <w:r w:rsidRPr="0040543F">
        <w:rPr>
          <w:rFonts w:ascii="Arial" w:hAnsi="Arial" w:cs="Arial"/>
          <w:lang w:val="fr-FR"/>
        </w:rPr>
        <w:tab/>
        <w:t>Taxonomie de l'UE</w:t>
      </w:r>
    </w:p>
    <w:p w:rsidR="00A51904" w:rsidRPr="0040543F" w:rsidRDefault="00A51904" w:rsidP="00A51904">
      <w:pPr>
        <w:jc w:val="both"/>
        <w:rPr>
          <w:rFonts w:ascii="Arial" w:hAnsi="Arial" w:cs="Arial"/>
          <w:lang w:val="fr-FR"/>
        </w:rPr>
      </w:pPr>
      <w:r w:rsidRPr="0040543F">
        <w:rPr>
          <w:rFonts w:ascii="Arial" w:hAnsi="Arial" w:cs="Arial"/>
          <w:lang w:val="fr-FR"/>
        </w:rPr>
        <w:t>Durabilité et économie</w:t>
      </w:r>
    </w:p>
    <w:p w:rsidR="00A51904" w:rsidRPr="0040543F" w:rsidRDefault="00A51904" w:rsidP="00A51904">
      <w:pPr>
        <w:jc w:val="both"/>
        <w:rPr>
          <w:rFonts w:ascii="Arial" w:hAnsi="Arial" w:cs="Arial"/>
          <w:lang w:val="fr-FR"/>
        </w:rPr>
      </w:pPr>
      <w:r w:rsidRPr="0040543F">
        <w:rPr>
          <w:rFonts w:ascii="Arial" w:hAnsi="Arial" w:cs="Arial"/>
          <w:lang w:val="fr-FR"/>
        </w:rPr>
        <w:tab/>
        <w:t>Budgétisation</w:t>
      </w:r>
    </w:p>
    <w:p w:rsidR="00A51904" w:rsidRPr="0040543F" w:rsidRDefault="00A51904" w:rsidP="00A51904">
      <w:pPr>
        <w:jc w:val="both"/>
        <w:rPr>
          <w:rFonts w:ascii="Arial" w:hAnsi="Arial" w:cs="Arial"/>
          <w:lang w:val="fr-FR"/>
        </w:rPr>
      </w:pPr>
      <w:r w:rsidRPr="0040543F">
        <w:rPr>
          <w:rFonts w:ascii="Arial" w:hAnsi="Arial" w:cs="Arial"/>
          <w:lang w:val="fr-FR"/>
        </w:rPr>
        <w:tab/>
        <w:t xml:space="preserve">Coûts minimum légal vs. </w:t>
      </w:r>
      <w:proofErr w:type="gramStart"/>
      <w:r w:rsidRPr="0040543F">
        <w:rPr>
          <w:rFonts w:ascii="Arial" w:hAnsi="Arial" w:cs="Arial"/>
          <w:lang w:val="fr-FR"/>
        </w:rPr>
        <w:t>approche</w:t>
      </w:r>
      <w:proofErr w:type="gramEnd"/>
      <w:r w:rsidRPr="0040543F">
        <w:rPr>
          <w:rFonts w:ascii="Arial" w:hAnsi="Arial" w:cs="Arial"/>
          <w:lang w:val="fr-FR"/>
        </w:rPr>
        <w:t xml:space="preserve"> durable de l'entreprise</w:t>
      </w:r>
    </w:p>
    <w:p w:rsidR="00A51904" w:rsidRPr="0040543F" w:rsidRDefault="00A51904" w:rsidP="00A51904">
      <w:pPr>
        <w:jc w:val="both"/>
        <w:rPr>
          <w:rFonts w:ascii="Arial" w:hAnsi="Arial" w:cs="Arial"/>
          <w:lang w:val="fr-FR"/>
        </w:rPr>
      </w:pPr>
      <w:r w:rsidRPr="0040543F">
        <w:rPr>
          <w:rFonts w:ascii="Arial" w:hAnsi="Arial" w:cs="Arial"/>
          <w:lang w:val="fr-FR"/>
        </w:rPr>
        <w:tab/>
        <w:t>Innovations dans l'industrie minière ayant un impact durable</w:t>
      </w:r>
    </w:p>
    <w:p w:rsidR="00A51904" w:rsidRPr="0040543F" w:rsidRDefault="00A51904" w:rsidP="00A51904">
      <w:pPr>
        <w:ind w:left="708"/>
        <w:jc w:val="both"/>
        <w:rPr>
          <w:rFonts w:ascii="Arial" w:hAnsi="Arial" w:cs="Arial"/>
          <w:lang w:val="fr-FR"/>
        </w:rPr>
      </w:pPr>
      <w:r w:rsidRPr="0040543F">
        <w:rPr>
          <w:rFonts w:ascii="Arial" w:hAnsi="Arial" w:cs="Arial"/>
          <w:lang w:val="fr-FR"/>
        </w:rPr>
        <w:t>Méthodologie pour la définition d'une stratégie &amp; d'une politique RSE dans l'entreprise, en particulier dans l'industrie minière</w:t>
      </w:r>
    </w:p>
    <w:p w:rsidR="00A51904" w:rsidRPr="0040543F" w:rsidRDefault="00A51904" w:rsidP="00A51904">
      <w:pPr>
        <w:ind w:left="705"/>
        <w:jc w:val="both"/>
        <w:rPr>
          <w:rFonts w:ascii="Arial" w:hAnsi="Arial" w:cs="Arial"/>
          <w:lang w:val="fr-FR"/>
        </w:rPr>
      </w:pPr>
      <w:r w:rsidRPr="0040543F">
        <w:rPr>
          <w:rFonts w:ascii="Arial" w:hAnsi="Arial" w:cs="Arial"/>
          <w:lang w:val="fr-FR"/>
        </w:rPr>
        <w:t>Durabilité en B2B, SSCM, code de conduite des fournisseurs, approvisionnement durable &amp; due diligence des fournisseurs</w:t>
      </w:r>
    </w:p>
    <w:p w:rsidR="00A51904" w:rsidRPr="0040543F" w:rsidRDefault="00A51904" w:rsidP="00A51904">
      <w:pPr>
        <w:jc w:val="both"/>
        <w:rPr>
          <w:rFonts w:ascii="Arial" w:hAnsi="Arial" w:cs="Arial"/>
          <w:lang w:val="fr-FR"/>
        </w:rPr>
      </w:pPr>
      <w:r w:rsidRPr="0040543F">
        <w:rPr>
          <w:rFonts w:ascii="Arial" w:hAnsi="Arial" w:cs="Arial"/>
          <w:lang w:val="fr-FR"/>
        </w:rPr>
        <w:tab/>
        <w:t>Licence sociale d'exploitation</w:t>
      </w:r>
    </w:p>
    <w:p w:rsidR="00A51904" w:rsidRPr="0040543F" w:rsidRDefault="00A51904" w:rsidP="00A51904">
      <w:pPr>
        <w:jc w:val="both"/>
        <w:rPr>
          <w:rFonts w:ascii="Arial" w:hAnsi="Arial" w:cs="Arial"/>
          <w:lang w:val="fr-FR"/>
        </w:rPr>
      </w:pPr>
      <w:r w:rsidRPr="0040543F">
        <w:rPr>
          <w:rFonts w:ascii="Arial" w:hAnsi="Arial" w:cs="Arial"/>
          <w:lang w:val="fr-FR"/>
        </w:rPr>
        <w:tab/>
        <w:t>Engagement des parties prenantes et dialogue avec les parties prenantes</w:t>
      </w:r>
    </w:p>
    <w:p w:rsidR="00A51904" w:rsidRPr="0040543F" w:rsidRDefault="00A51904" w:rsidP="00A51904">
      <w:pPr>
        <w:jc w:val="both"/>
        <w:rPr>
          <w:rFonts w:ascii="Arial" w:hAnsi="Arial" w:cs="Arial"/>
          <w:lang w:val="fr-FR"/>
        </w:rPr>
      </w:pPr>
      <w:r w:rsidRPr="0040543F">
        <w:rPr>
          <w:rFonts w:ascii="Arial" w:hAnsi="Arial" w:cs="Arial"/>
          <w:lang w:val="fr-FR"/>
        </w:rPr>
        <w:t>D'autres contenus pertinents liés à l'industrie minière doivent être intégrés par l'AN dans le programme de formation continue à partir des publications des organismes suivants :</w:t>
      </w:r>
    </w:p>
    <w:p w:rsidR="00A51904" w:rsidRPr="0040543F" w:rsidRDefault="00A51904" w:rsidP="00A51904">
      <w:pPr>
        <w:ind w:left="708"/>
        <w:jc w:val="both"/>
        <w:rPr>
          <w:rFonts w:ascii="Arial" w:hAnsi="Arial" w:cs="Arial"/>
          <w:lang w:val="fr-FR"/>
        </w:rPr>
      </w:pPr>
      <w:r w:rsidRPr="0040543F">
        <w:rPr>
          <w:rFonts w:ascii="Arial" w:hAnsi="Arial" w:cs="Arial"/>
          <w:lang w:val="fr-FR"/>
        </w:rPr>
        <w:t>- ICMM</w:t>
      </w:r>
    </w:p>
    <w:p w:rsidR="00A51904" w:rsidRPr="0040543F" w:rsidRDefault="00A51904" w:rsidP="00A51904">
      <w:pPr>
        <w:ind w:left="708"/>
        <w:jc w:val="both"/>
        <w:rPr>
          <w:rFonts w:ascii="Arial" w:hAnsi="Arial" w:cs="Arial"/>
          <w:lang w:val="fr-FR"/>
        </w:rPr>
      </w:pPr>
      <w:r w:rsidRPr="0040543F">
        <w:rPr>
          <w:rFonts w:ascii="Arial" w:hAnsi="Arial" w:cs="Arial"/>
          <w:lang w:val="fr-FR"/>
        </w:rPr>
        <w:t>- IGF</w:t>
      </w:r>
    </w:p>
    <w:p w:rsidR="00A51904" w:rsidRPr="0040543F" w:rsidRDefault="00A51904" w:rsidP="00A51904">
      <w:pPr>
        <w:ind w:left="708"/>
        <w:jc w:val="both"/>
        <w:rPr>
          <w:rFonts w:ascii="Arial" w:hAnsi="Arial" w:cs="Arial"/>
          <w:lang w:val="fr-FR"/>
        </w:rPr>
      </w:pPr>
      <w:r w:rsidRPr="0040543F">
        <w:rPr>
          <w:rFonts w:ascii="Arial" w:hAnsi="Arial" w:cs="Arial"/>
          <w:lang w:val="fr-FR"/>
        </w:rPr>
        <w:t>- Normes de performance de la IFC</w:t>
      </w:r>
    </w:p>
    <w:p w:rsidR="00BB3885" w:rsidRPr="0040543F" w:rsidRDefault="00BB3885">
      <w:pPr>
        <w:rPr>
          <w:rFonts w:ascii="Arial" w:hAnsi="Arial" w:cs="Arial"/>
          <w:lang w:val="fr-FR"/>
        </w:rPr>
      </w:pPr>
    </w:p>
    <w:sectPr w:rsidR="00BB3885" w:rsidRPr="0040543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2F6" w:rsidRDefault="00ED12F6" w:rsidP="002C5D8C">
      <w:pPr>
        <w:spacing w:after="0" w:line="240" w:lineRule="auto"/>
      </w:pPr>
      <w:r>
        <w:separator/>
      </w:r>
    </w:p>
  </w:endnote>
  <w:endnote w:type="continuationSeparator" w:id="0">
    <w:p w:rsidR="00ED12F6" w:rsidRDefault="00ED12F6" w:rsidP="002C5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2F6" w:rsidRDefault="00ED12F6" w:rsidP="002C5D8C">
      <w:pPr>
        <w:spacing w:after="0" w:line="240" w:lineRule="auto"/>
      </w:pPr>
      <w:r>
        <w:separator/>
      </w:r>
    </w:p>
  </w:footnote>
  <w:footnote w:type="continuationSeparator" w:id="0">
    <w:p w:rsidR="00ED12F6" w:rsidRDefault="00ED12F6" w:rsidP="002C5D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8C" w:rsidRDefault="002E6ACF">
    <w:pPr>
      <w:pStyle w:val="En-tte"/>
    </w:pPr>
    <w:r>
      <w:rPr>
        <w:noProof/>
        <w:lang w:val="fr-FR" w:eastAsia="fr-FR"/>
      </w:rPr>
      <w:drawing>
        <wp:inline distT="0" distB="0" distL="0" distR="0" wp14:anchorId="0908F27F" wp14:editId="374BAFA7">
          <wp:extent cx="615636" cy="641354"/>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90875E.tmp"/>
                  <pic:cNvPicPr/>
                </pic:nvPicPr>
                <pic:blipFill>
                  <a:blip r:embed="rId1">
                    <a:extLst>
                      <a:ext uri="{28A0092B-C50C-407E-A947-70E740481C1C}">
                        <a14:useLocalDpi xmlns:a14="http://schemas.microsoft.com/office/drawing/2010/main" val="0"/>
                      </a:ext>
                    </a:extLst>
                  </a:blip>
                  <a:stretch>
                    <a:fillRect/>
                  </a:stretch>
                </pic:blipFill>
                <pic:spPr>
                  <a:xfrm>
                    <a:off x="0" y="0"/>
                    <a:ext cx="635791" cy="662350"/>
                  </a:xfrm>
                  <a:prstGeom prst="rect">
                    <a:avLst/>
                  </a:prstGeom>
                </pic:spPr>
              </pic:pic>
            </a:graphicData>
          </a:graphic>
        </wp:inline>
      </w:drawing>
    </w:r>
    <w:r w:rsidR="00FF6531">
      <w:rPr>
        <w:noProof/>
        <w:lang w:eastAsia="de-DE"/>
      </w:rPr>
      <w:t xml:space="preserve"> </w:t>
    </w:r>
    <w:r w:rsidR="00FF6531" w:rsidRPr="00E67C3C">
      <w:rPr>
        <w:noProof/>
        <w:lang w:val="fr-FR" w:eastAsia="fr-FR"/>
      </w:rPr>
      <w:drawing>
        <wp:inline distT="0" distB="0" distL="0" distR="0" wp14:anchorId="6D9E7860" wp14:editId="737CEB7D">
          <wp:extent cx="813976" cy="377825"/>
          <wp:effectExtent l="0" t="0" r="5715" b="3175"/>
          <wp:docPr id="2" name="Grafik 2" descr="C:\vetter.s\Eigene Dateien\BGR_Vetter\01_Projekt 21-24\06_ÖffA\Logos\BGR\für Offsetdruck 300 dpi\cmyk\BGR_nur_Logo_300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etter.s\Eigene Dateien\BGR_Vetter\01_Projekt 21-24\06_ÖffA\Logos\BGR\für Offsetdruck 300 dpi\cmyk\BGR_nur_Logo_300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3976" cy="377825"/>
                  </a:xfrm>
                  <a:prstGeom prst="rect">
                    <a:avLst/>
                  </a:prstGeom>
                  <a:noFill/>
                  <a:ln>
                    <a:noFill/>
                  </a:ln>
                </pic:spPr>
              </pic:pic>
            </a:graphicData>
          </a:graphic>
        </wp:inline>
      </w:drawing>
    </w:r>
    <w:r w:rsidR="00E67C3C">
      <w:tab/>
    </w:r>
    <w:r w:rsidR="00E67C3C">
      <w:rPr>
        <w:noProof/>
        <w:lang w:eastAsia="de-DE"/>
      </w:rPr>
      <w:t xml:space="preserve">  </w:t>
    </w:r>
    <w:r w:rsidR="00E67C3C">
      <w:rPr>
        <w:noProof/>
        <w:lang w:eastAsia="de-DE"/>
      </w:rPr>
      <w:tab/>
    </w:r>
    <w:r w:rsidR="00E67C3C" w:rsidRPr="00E67C3C">
      <w:rPr>
        <w:noProof/>
        <w:lang w:val="fr-FR" w:eastAsia="fr-FR"/>
      </w:rPr>
      <w:drawing>
        <wp:inline distT="0" distB="0" distL="0" distR="0" wp14:anchorId="1A631AEA" wp14:editId="670C4A43">
          <wp:extent cx="844899" cy="616447"/>
          <wp:effectExtent l="0" t="0" r="0" b="0"/>
          <wp:docPr id="3" name="Grafik 3" descr="C:\vetter.s\Eigene Dateien\BGR_Vetter\01_Projekt 21-24\06_ÖffA\Logos\BMZ\BMZ+AA---dt-Zusammenarbeit\EZ mit DR Kongo_franz\ELdZ_KongoDR_fra\JPEG_CMYK_600dpi\ELdZ_KongoDR_cmyk_f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etter.s\Eigene Dateien\BGR_Vetter\01_Projekt 21-24\06_ÖffA\Logos\BMZ\BMZ+AA---dt-Zusammenarbeit\EZ mit DR Kongo_franz\ELdZ_KongoDR_fra\JPEG_CMYK_600dpi\ELdZ_KongoDR_cmyk_fr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4899" cy="61644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4328"/>
    <w:multiLevelType w:val="hybridMultilevel"/>
    <w:tmpl w:val="3F448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46215D"/>
    <w:multiLevelType w:val="hybridMultilevel"/>
    <w:tmpl w:val="6C543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988317C"/>
    <w:multiLevelType w:val="hybridMultilevel"/>
    <w:tmpl w:val="A51A5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F31"/>
    <w:rsid w:val="000265C0"/>
    <w:rsid w:val="00030DC5"/>
    <w:rsid w:val="000C209A"/>
    <w:rsid w:val="000F465F"/>
    <w:rsid w:val="001216D1"/>
    <w:rsid w:val="001530B8"/>
    <w:rsid w:val="00190710"/>
    <w:rsid w:val="001E450E"/>
    <w:rsid w:val="00231A07"/>
    <w:rsid w:val="002C5D8C"/>
    <w:rsid w:val="002E6ACF"/>
    <w:rsid w:val="00346D49"/>
    <w:rsid w:val="003A63A5"/>
    <w:rsid w:val="0040543F"/>
    <w:rsid w:val="004200CC"/>
    <w:rsid w:val="0042599E"/>
    <w:rsid w:val="004314B1"/>
    <w:rsid w:val="0044195E"/>
    <w:rsid w:val="00457356"/>
    <w:rsid w:val="00464A09"/>
    <w:rsid w:val="004A69B8"/>
    <w:rsid w:val="004E0AE4"/>
    <w:rsid w:val="00540CD4"/>
    <w:rsid w:val="006511CE"/>
    <w:rsid w:val="00652F0B"/>
    <w:rsid w:val="00662340"/>
    <w:rsid w:val="00664F31"/>
    <w:rsid w:val="0069157D"/>
    <w:rsid w:val="00707EB1"/>
    <w:rsid w:val="0082540E"/>
    <w:rsid w:val="00825EFF"/>
    <w:rsid w:val="00883218"/>
    <w:rsid w:val="00A1270C"/>
    <w:rsid w:val="00A50ADC"/>
    <w:rsid w:val="00A51904"/>
    <w:rsid w:val="00AF23B0"/>
    <w:rsid w:val="00B51545"/>
    <w:rsid w:val="00B8526D"/>
    <w:rsid w:val="00BB3885"/>
    <w:rsid w:val="00C13773"/>
    <w:rsid w:val="00C41A26"/>
    <w:rsid w:val="00C67192"/>
    <w:rsid w:val="00C7790E"/>
    <w:rsid w:val="00C77EC9"/>
    <w:rsid w:val="00D20EA2"/>
    <w:rsid w:val="00D72C9E"/>
    <w:rsid w:val="00DF2F8B"/>
    <w:rsid w:val="00E370EB"/>
    <w:rsid w:val="00E67C3C"/>
    <w:rsid w:val="00EA113A"/>
    <w:rsid w:val="00EC374F"/>
    <w:rsid w:val="00ED12F6"/>
    <w:rsid w:val="00EE21A9"/>
    <w:rsid w:val="00FF6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0203A4-D503-42A1-B4BA-18E58108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5D8C"/>
    <w:pPr>
      <w:ind w:left="720"/>
      <w:contextualSpacing/>
    </w:pPr>
  </w:style>
  <w:style w:type="paragraph" w:styleId="En-tte">
    <w:name w:val="header"/>
    <w:basedOn w:val="Normal"/>
    <w:link w:val="En-tteCar"/>
    <w:uiPriority w:val="99"/>
    <w:unhideWhenUsed/>
    <w:rsid w:val="002C5D8C"/>
    <w:pPr>
      <w:tabs>
        <w:tab w:val="center" w:pos="4536"/>
        <w:tab w:val="right" w:pos="9072"/>
      </w:tabs>
      <w:spacing w:after="0" w:line="240" w:lineRule="auto"/>
    </w:pPr>
  </w:style>
  <w:style w:type="character" w:customStyle="1" w:styleId="En-tteCar">
    <w:name w:val="En-tête Car"/>
    <w:basedOn w:val="Policepardfaut"/>
    <w:link w:val="En-tte"/>
    <w:uiPriority w:val="99"/>
    <w:rsid w:val="002C5D8C"/>
  </w:style>
  <w:style w:type="paragraph" w:styleId="Pieddepage">
    <w:name w:val="footer"/>
    <w:basedOn w:val="Normal"/>
    <w:link w:val="PieddepageCar"/>
    <w:uiPriority w:val="99"/>
    <w:unhideWhenUsed/>
    <w:rsid w:val="002C5D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D8C"/>
  </w:style>
  <w:style w:type="paragraph" w:styleId="Textedebulles">
    <w:name w:val="Balloon Text"/>
    <w:basedOn w:val="Normal"/>
    <w:link w:val="TextedebullesCar"/>
    <w:uiPriority w:val="99"/>
    <w:semiHidden/>
    <w:unhideWhenUsed/>
    <w:rsid w:val="00EC37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374F"/>
    <w:rPr>
      <w:rFonts w:ascii="Segoe UI" w:hAnsi="Segoe UI" w:cs="Segoe UI"/>
      <w:sz w:val="18"/>
      <w:szCs w:val="18"/>
    </w:rPr>
  </w:style>
  <w:style w:type="character" w:styleId="Lienhypertexte">
    <w:name w:val="Hyperlink"/>
    <w:basedOn w:val="Policepardfaut"/>
    <w:uiPriority w:val="99"/>
    <w:unhideWhenUsed/>
    <w:rsid w:val="00405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77300">
      <w:bodyDiv w:val="1"/>
      <w:marLeft w:val="0"/>
      <w:marRight w:val="0"/>
      <w:marTop w:val="0"/>
      <w:marBottom w:val="0"/>
      <w:divBdr>
        <w:top w:val="none" w:sz="0" w:space="0" w:color="auto"/>
        <w:left w:val="none" w:sz="0" w:space="0" w:color="auto"/>
        <w:bottom w:val="none" w:sz="0" w:space="0" w:color="auto"/>
        <w:right w:val="none" w:sz="0" w:space="0" w:color="auto"/>
      </w:divBdr>
    </w:div>
    <w:div w:id="188424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tm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5281</Characters>
  <Application>Microsoft Office Word</Application>
  <DocSecurity>0</DocSecurity>
  <Lines>44</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GZH</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Vetter, Sebastian</dc:creator>
  <cp:keywords/>
  <dc:description/>
  <cp:lastModifiedBy>MCP_Journal</cp:lastModifiedBy>
  <cp:revision>2</cp:revision>
  <dcterms:created xsi:type="dcterms:W3CDTF">2022-09-27T08:27:00Z</dcterms:created>
  <dcterms:modified xsi:type="dcterms:W3CDTF">2022-09-27T08:27:00Z</dcterms:modified>
</cp:coreProperties>
</file>