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091" w:rsidRDefault="00800EB2">
      <w:pPr>
        <w:pStyle w:val="Grillemoyenne21"/>
        <w:jc w:val="center"/>
        <w:rPr>
          <w:rStyle w:val="Hyperlink0"/>
        </w:rPr>
      </w:pPr>
      <w:r>
        <w:rPr>
          <w:rStyle w:val="Aucun"/>
          <w:rFonts w:ascii="Arial" w:hAnsi="Arial"/>
          <w:b/>
          <w:bCs/>
          <w:noProof/>
          <w:lang w:val="fr-BE"/>
        </w:rPr>
        <w:drawing>
          <wp:anchor distT="0" distB="0" distL="0" distR="0" simplePos="0" relativeHeight="251660288" behindDoc="0" locked="0" layoutInCell="1" allowOverlap="1">
            <wp:simplePos x="0" y="0"/>
            <wp:positionH relativeFrom="page">
              <wp:posOffset>6476999</wp:posOffset>
            </wp:positionH>
            <wp:positionV relativeFrom="line">
              <wp:posOffset>-46355</wp:posOffset>
            </wp:positionV>
            <wp:extent cx="791845" cy="792481"/>
            <wp:effectExtent l="0" t="0" r="0" b="0"/>
            <wp:wrapNone/>
            <wp:docPr id="1073741831" name="officeArt object" descr="Logo banque mondiale"/>
            <wp:cNvGraphicFramePr/>
            <a:graphic xmlns:a="http://schemas.openxmlformats.org/drawingml/2006/main">
              <a:graphicData uri="http://schemas.openxmlformats.org/drawingml/2006/picture">
                <pic:pic xmlns:pic="http://schemas.openxmlformats.org/drawingml/2006/picture">
                  <pic:nvPicPr>
                    <pic:cNvPr id="1073741831" name="Logo banque mondiale" descr="Logo banque mondiale"/>
                    <pic:cNvPicPr>
                      <a:picLocks noChangeAspect="1"/>
                    </pic:cNvPicPr>
                  </pic:nvPicPr>
                  <pic:blipFill>
                    <a:blip r:embed="rId7">
                      <a:extLst/>
                    </a:blip>
                    <a:stretch>
                      <a:fillRect/>
                    </a:stretch>
                  </pic:blipFill>
                  <pic:spPr>
                    <a:xfrm>
                      <a:off x="0" y="0"/>
                      <a:ext cx="791845" cy="792481"/>
                    </a:xfrm>
                    <a:prstGeom prst="rect">
                      <a:avLst/>
                    </a:prstGeom>
                    <a:ln w="12700" cap="flat">
                      <a:noFill/>
                      <a:miter lim="400000"/>
                    </a:ln>
                    <a:effectLst/>
                  </pic:spPr>
                </pic:pic>
              </a:graphicData>
            </a:graphic>
          </wp:anchor>
        </w:drawing>
      </w:r>
      <w:r>
        <w:rPr>
          <w:rStyle w:val="Aucun"/>
          <w:rFonts w:ascii="Arial" w:hAnsi="Arial"/>
          <w:b/>
          <w:bCs/>
          <w:noProof/>
          <w:lang w:val="fr-BE"/>
        </w:rPr>
        <w:drawing>
          <wp:anchor distT="0" distB="0" distL="0" distR="0" simplePos="0" relativeHeight="251659264" behindDoc="0" locked="0" layoutInCell="1" allowOverlap="1">
            <wp:simplePos x="0" y="0"/>
            <wp:positionH relativeFrom="column">
              <wp:posOffset>-742950</wp:posOffset>
            </wp:positionH>
            <wp:positionV relativeFrom="line">
              <wp:posOffset>-130174</wp:posOffset>
            </wp:positionV>
            <wp:extent cx="1046481" cy="1024890"/>
            <wp:effectExtent l="0" t="0" r="0" b="0"/>
            <wp:wrapNone/>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png"/>
                    <pic:cNvPicPr>
                      <a:picLocks noChangeAspect="1"/>
                    </pic:cNvPicPr>
                  </pic:nvPicPr>
                  <pic:blipFill>
                    <a:blip r:embed="rId8">
                      <a:extLst/>
                    </a:blip>
                    <a:stretch>
                      <a:fillRect/>
                    </a:stretch>
                  </pic:blipFill>
                  <pic:spPr>
                    <a:xfrm>
                      <a:off x="0" y="0"/>
                      <a:ext cx="1046481" cy="1024890"/>
                    </a:xfrm>
                    <a:prstGeom prst="rect">
                      <a:avLst/>
                    </a:prstGeom>
                    <a:ln w="12700" cap="flat">
                      <a:noFill/>
                      <a:miter lim="400000"/>
                    </a:ln>
                    <a:effectLst/>
                  </pic:spPr>
                </pic:pic>
              </a:graphicData>
            </a:graphic>
          </wp:anchor>
        </w:drawing>
      </w:r>
      <w:r>
        <w:rPr>
          <w:rStyle w:val="Hyperlink0"/>
        </w:rPr>
        <w:fldChar w:fldCharType="begin"/>
      </w:r>
      <w:r>
        <w:rPr>
          <w:rStyle w:val="Hyperlink0"/>
        </w:rPr>
        <w:instrText xml:space="preserve"> HYPERLINK "http://fr.wikipedia.org/w/index.php?title=Fichier:Flag_of_the_Democratic_Republic_of_the_Congo.svg&amp;page=1"</w:instrText>
      </w:r>
      <w:r>
        <w:rPr>
          <w:rStyle w:val="Hyperlink0"/>
        </w:rPr>
        <w:fldChar w:fldCharType="separate"/>
      </w:r>
      <w:r>
        <w:rPr>
          <w:rStyle w:val="Hyperlink0"/>
        </w:rPr>
        <w:t>REPUBLIQUE DEMOCRATIQUE DU CONGO</w:t>
      </w:r>
    </w:p>
    <w:p w:rsidR="00A90091" w:rsidRDefault="00800EB2">
      <w:pPr>
        <w:pStyle w:val="Grillemoyenne21"/>
        <w:tabs>
          <w:tab w:val="center" w:pos="4830"/>
          <w:tab w:val="right" w:pos="9046"/>
        </w:tabs>
        <w:rPr>
          <w:rStyle w:val="Hyperlink0"/>
          <w:rFonts w:eastAsia="Arial" w:cs="Arial"/>
        </w:rPr>
      </w:pPr>
      <w:r>
        <w:rPr>
          <w:rStyle w:val="Hyperlink0"/>
          <w:rFonts w:eastAsia="Arial" w:cs="Arial"/>
        </w:rPr>
        <w:tab/>
        <w:t>Minist</w:t>
      </w:r>
      <w:r>
        <w:rPr>
          <w:rStyle w:val="Hyperlink0"/>
        </w:rPr>
        <w:t>è</w:t>
      </w:r>
      <w:r>
        <w:rPr>
          <w:rStyle w:val="Hyperlink0"/>
        </w:rPr>
        <w:t>re de l</w:t>
      </w:r>
      <w:r>
        <w:rPr>
          <w:rStyle w:val="Hyperlink0"/>
        </w:rPr>
        <w:t>’</w:t>
      </w:r>
      <w:r>
        <w:rPr>
          <w:rStyle w:val="Hyperlink0"/>
        </w:rPr>
        <w:t>Urbanisme et Habitat</w:t>
      </w:r>
      <w:r>
        <w:rPr>
          <w:rStyle w:val="Hyperlink0"/>
        </w:rPr>
        <w:tab/>
      </w:r>
    </w:p>
    <w:p w:rsidR="00A90091" w:rsidRDefault="00800EB2">
      <w:pPr>
        <w:pStyle w:val="Grillemoyenne21"/>
        <w:jc w:val="center"/>
        <w:rPr>
          <w:rStyle w:val="Hyperlink0"/>
          <w:rFonts w:eastAsia="Arial" w:cs="Arial"/>
        </w:rPr>
      </w:pPr>
      <w:r>
        <w:rPr>
          <w:rStyle w:val="Hyperlink0"/>
        </w:rPr>
        <w:t>Secr</w:t>
      </w:r>
      <w:r>
        <w:rPr>
          <w:rStyle w:val="Hyperlink0"/>
        </w:rPr>
        <w:t>é</w:t>
      </w:r>
      <w:r>
        <w:rPr>
          <w:rStyle w:val="Hyperlink0"/>
        </w:rPr>
        <w:t>tariat G</w:t>
      </w:r>
      <w:r>
        <w:rPr>
          <w:rStyle w:val="Hyperlink0"/>
        </w:rPr>
        <w:t>é</w:t>
      </w:r>
      <w:r>
        <w:rPr>
          <w:rStyle w:val="Hyperlink0"/>
        </w:rPr>
        <w:t>n</w:t>
      </w:r>
      <w:r>
        <w:rPr>
          <w:rStyle w:val="Hyperlink0"/>
        </w:rPr>
        <w:t>é</w:t>
      </w:r>
      <w:r>
        <w:rPr>
          <w:rStyle w:val="Hyperlink0"/>
        </w:rPr>
        <w:t xml:space="preserve">ral </w:t>
      </w:r>
      <w:r>
        <w:rPr>
          <w:rStyle w:val="Hyperlink0"/>
        </w:rPr>
        <w:t xml:space="preserve">à </w:t>
      </w:r>
      <w:r>
        <w:rPr>
          <w:rStyle w:val="Hyperlink0"/>
        </w:rPr>
        <w:t>l</w:t>
      </w:r>
      <w:r>
        <w:rPr>
          <w:rStyle w:val="Hyperlink0"/>
        </w:rPr>
        <w:t>’</w:t>
      </w:r>
      <w:r>
        <w:rPr>
          <w:rStyle w:val="Hyperlink0"/>
        </w:rPr>
        <w:t>Urbanisme et Habitat</w:t>
      </w:r>
    </w:p>
    <w:p w:rsidR="00A90091" w:rsidRDefault="00800EB2">
      <w:pPr>
        <w:pStyle w:val="Grillemoyenne21"/>
        <w:jc w:val="both"/>
        <w:rPr>
          <w:rStyle w:val="Aucun"/>
          <w:rFonts w:ascii="Arial" w:eastAsia="Arial" w:hAnsi="Arial" w:cs="Arial"/>
          <w:b/>
          <w:bCs/>
          <w:sz w:val="32"/>
          <w:szCs w:val="32"/>
          <w:lang w:val="fr-FR"/>
        </w:rPr>
      </w:pPr>
      <w:r>
        <w:rPr>
          <w:rFonts w:ascii="Arial" w:eastAsia="Arial" w:hAnsi="Arial" w:cs="Arial"/>
          <w:b/>
          <w:bCs/>
          <w:sz w:val="32"/>
          <w:szCs w:val="32"/>
          <w:lang w:val="fr-FR"/>
        </w:rPr>
        <w:fldChar w:fldCharType="end"/>
      </w:r>
    </w:p>
    <w:p w:rsidR="00A90091" w:rsidRDefault="00A90091">
      <w:pPr>
        <w:jc w:val="both"/>
        <w:rPr>
          <w:rStyle w:val="Aucun"/>
          <w:rFonts w:ascii="Arial" w:eastAsia="Arial" w:hAnsi="Arial" w:cs="Arial"/>
          <w:b/>
          <w:bCs/>
        </w:rPr>
      </w:pPr>
    </w:p>
    <w:p w:rsidR="00A90091" w:rsidRDefault="00800EB2">
      <w:pPr>
        <w:jc w:val="both"/>
        <w:rPr>
          <w:rStyle w:val="Aucun"/>
          <w:rFonts w:ascii="Arial" w:eastAsia="Arial" w:hAnsi="Arial" w:cs="Arial"/>
          <w:b/>
          <w:bCs/>
        </w:rPr>
      </w:pPr>
      <w:r>
        <w:rPr>
          <w:rStyle w:val="Aucun"/>
          <w:rFonts w:ascii="Arial" w:hAnsi="Arial"/>
          <w:b/>
          <w:bCs/>
        </w:rPr>
        <w:t xml:space="preserve">                                DIRECTION DES ETUDES ET DE LA PLANIFICATION</w:t>
      </w:r>
    </w:p>
    <w:p w:rsidR="00A90091" w:rsidRDefault="00A90091">
      <w:pPr>
        <w:jc w:val="both"/>
        <w:rPr>
          <w:rStyle w:val="Aucun"/>
          <w:rFonts w:ascii="Arial" w:eastAsia="Arial" w:hAnsi="Arial" w:cs="Arial"/>
          <w:b/>
          <w:bCs/>
        </w:rPr>
      </w:pPr>
    </w:p>
    <w:p w:rsidR="00A90091" w:rsidRDefault="00A90091">
      <w:pPr>
        <w:jc w:val="both"/>
        <w:rPr>
          <w:rStyle w:val="Aucun"/>
          <w:rFonts w:ascii="Arial" w:eastAsia="Arial" w:hAnsi="Arial" w:cs="Arial"/>
          <w:b/>
          <w:bCs/>
        </w:rPr>
      </w:pPr>
    </w:p>
    <w:p w:rsidR="00A90091" w:rsidRDefault="00800EB2">
      <w:pPr>
        <w:pStyle w:val="Grillemoyenne21"/>
        <w:jc w:val="center"/>
        <w:rPr>
          <w:rStyle w:val="Aucun"/>
          <w:rFonts w:ascii="Arial" w:eastAsia="Arial" w:hAnsi="Arial" w:cs="Arial"/>
          <w:b/>
          <w:bCs/>
          <w:sz w:val="28"/>
          <w:szCs w:val="28"/>
          <w:lang w:val="fr-FR"/>
        </w:rPr>
      </w:pPr>
      <w:r>
        <w:rPr>
          <w:rStyle w:val="Aucun"/>
          <w:rFonts w:ascii="Arial" w:hAnsi="Arial"/>
          <w:b/>
          <w:bCs/>
          <w:sz w:val="28"/>
          <w:szCs w:val="28"/>
          <w:lang w:val="fr-FR"/>
        </w:rPr>
        <w:t>Projet d'urgence et de r</w:t>
      </w:r>
      <w:r>
        <w:rPr>
          <w:rStyle w:val="Aucun"/>
          <w:rFonts w:ascii="Arial" w:hAnsi="Arial"/>
          <w:b/>
          <w:bCs/>
          <w:sz w:val="28"/>
          <w:szCs w:val="28"/>
          <w:lang w:val="fr-FR"/>
        </w:rPr>
        <w:t>é</w:t>
      </w:r>
      <w:r>
        <w:rPr>
          <w:rStyle w:val="Aucun"/>
          <w:rFonts w:ascii="Arial" w:hAnsi="Arial"/>
          <w:b/>
          <w:bCs/>
          <w:sz w:val="28"/>
          <w:szCs w:val="28"/>
          <w:lang w:val="fr-FR"/>
        </w:rPr>
        <w:t xml:space="preserve">silience urbaine de Kananga </w:t>
      </w:r>
    </w:p>
    <w:p w:rsidR="00A90091" w:rsidRDefault="00800EB2">
      <w:pPr>
        <w:pStyle w:val="Grillemoyenne21"/>
        <w:jc w:val="center"/>
        <w:rPr>
          <w:rStyle w:val="Aucun"/>
          <w:rFonts w:ascii="Arial" w:eastAsia="Arial" w:hAnsi="Arial" w:cs="Arial"/>
          <w:b/>
          <w:bCs/>
          <w:sz w:val="28"/>
          <w:szCs w:val="28"/>
          <w:lang w:val="fr-FR"/>
        </w:rPr>
      </w:pPr>
      <w:r>
        <w:rPr>
          <w:rStyle w:val="Aucun"/>
          <w:rFonts w:ascii="Arial" w:hAnsi="Arial"/>
          <w:b/>
          <w:bCs/>
          <w:sz w:val="28"/>
          <w:szCs w:val="28"/>
          <w:lang w:val="fr-FR"/>
        </w:rPr>
        <w:t>(P179292 - PURUK)</w:t>
      </w:r>
    </w:p>
    <w:p w:rsidR="00A90091" w:rsidRDefault="00A90091">
      <w:pPr>
        <w:jc w:val="both"/>
        <w:rPr>
          <w:rStyle w:val="Aucun"/>
          <w:rFonts w:ascii="Arial" w:eastAsia="Arial" w:hAnsi="Arial" w:cs="Arial"/>
          <w:b/>
          <w:bCs/>
        </w:rPr>
      </w:pPr>
    </w:p>
    <w:p w:rsidR="00A90091" w:rsidRDefault="00800EB2">
      <w:pPr>
        <w:jc w:val="both"/>
        <w:rPr>
          <w:rStyle w:val="Aucun"/>
          <w:rFonts w:ascii="Arial" w:eastAsia="Arial" w:hAnsi="Arial" w:cs="Arial"/>
          <w:b/>
          <w:bCs/>
        </w:rPr>
      </w:pPr>
      <w:r>
        <w:rPr>
          <w:rStyle w:val="Aucun"/>
          <w:rFonts w:ascii="Arial" w:eastAsia="Arial" w:hAnsi="Arial" w:cs="Arial"/>
          <w:b/>
          <w:bCs/>
          <w:noProof/>
          <w:lang w:val="fr-BE"/>
        </w:rPr>
        <mc:AlternateContent>
          <mc:Choice Requires="wpg">
            <w:drawing>
              <wp:anchor distT="0" distB="0" distL="0" distR="0" simplePos="0" relativeHeight="251661312" behindDoc="0" locked="0" layoutInCell="1" allowOverlap="1">
                <wp:simplePos x="0" y="0"/>
                <wp:positionH relativeFrom="column">
                  <wp:posOffset>189864</wp:posOffset>
                </wp:positionH>
                <wp:positionV relativeFrom="line">
                  <wp:posOffset>205105</wp:posOffset>
                </wp:positionV>
                <wp:extent cx="5722621" cy="3111500"/>
                <wp:effectExtent l="0" t="0" r="0" b="0"/>
                <wp:wrapNone/>
                <wp:docPr id="1073741839" name="officeArt object"/>
                <wp:cNvGraphicFramePr/>
                <a:graphic xmlns:a="http://schemas.openxmlformats.org/drawingml/2006/main">
                  <a:graphicData uri="http://schemas.microsoft.com/office/word/2010/wordprocessingGroup">
                    <wpg:wgp>
                      <wpg:cNvGrpSpPr/>
                      <wpg:grpSpPr>
                        <a:xfrm>
                          <a:off x="0" y="0"/>
                          <a:ext cx="5722621" cy="3111500"/>
                          <a:chOff x="0" y="0"/>
                          <a:chExt cx="5722620" cy="3111500"/>
                        </a:xfrm>
                      </wpg:grpSpPr>
                      <wpg:grpSp>
                        <wpg:cNvPr id="1073741837" name="Group 1073741837"/>
                        <wpg:cNvGrpSpPr/>
                        <wpg:grpSpPr>
                          <a:xfrm>
                            <a:off x="0" y="-1"/>
                            <a:ext cx="5722621" cy="3111501"/>
                            <a:chOff x="0" y="0"/>
                            <a:chExt cx="5722620" cy="3111500"/>
                          </a:xfrm>
                        </wpg:grpSpPr>
                        <wps:wsp>
                          <wps:cNvPr id="1073741833" name="Shape 1073741833"/>
                          <wps:cNvSpPr/>
                          <wps:spPr>
                            <a:xfrm>
                              <a:off x="0" y="0"/>
                              <a:ext cx="5722621" cy="3111500"/>
                            </a:xfrm>
                            <a:custGeom>
                              <a:avLst/>
                              <a:gdLst/>
                              <a:ahLst/>
                              <a:cxnLst>
                                <a:cxn ang="0">
                                  <a:pos x="wd2" y="hd2"/>
                                </a:cxn>
                                <a:cxn ang="5400000">
                                  <a:pos x="wd2" y="hd2"/>
                                </a:cxn>
                                <a:cxn ang="10800000">
                                  <a:pos x="wd2" y="hd2"/>
                                </a:cxn>
                                <a:cxn ang="16200000">
                                  <a:pos x="wd2" y="hd2"/>
                                </a:cxn>
                              </a:cxnLst>
                              <a:rect l="0" t="0" r="r" b="b"/>
                              <a:pathLst>
                                <a:path w="21600" h="21600" extrusionOk="0">
                                  <a:moveTo>
                                    <a:pt x="0" y="4050"/>
                                  </a:moveTo>
                                  <a:cubicBezTo>
                                    <a:pt x="0" y="3304"/>
                                    <a:pt x="329" y="2700"/>
                                    <a:pt x="734" y="2700"/>
                                  </a:cubicBezTo>
                                  <a:lnTo>
                                    <a:pt x="20132" y="2700"/>
                                  </a:lnTo>
                                  <a:lnTo>
                                    <a:pt x="20132" y="1350"/>
                                  </a:lnTo>
                                  <a:cubicBezTo>
                                    <a:pt x="20132" y="604"/>
                                    <a:pt x="20461" y="0"/>
                                    <a:pt x="20866" y="0"/>
                                  </a:cubicBezTo>
                                  <a:cubicBezTo>
                                    <a:pt x="21271" y="0"/>
                                    <a:pt x="21600" y="604"/>
                                    <a:pt x="21600" y="1350"/>
                                  </a:cubicBezTo>
                                  <a:lnTo>
                                    <a:pt x="21600" y="17550"/>
                                  </a:lnTo>
                                  <a:cubicBezTo>
                                    <a:pt x="21600" y="18296"/>
                                    <a:pt x="21271" y="18900"/>
                                    <a:pt x="20866" y="18900"/>
                                  </a:cubicBezTo>
                                  <a:lnTo>
                                    <a:pt x="1468" y="18900"/>
                                  </a:lnTo>
                                  <a:lnTo>
                                    <a:pt x="1468" y="20250"/>
                                  </a:lnTo>
                                  <a:cubicBezTo>
                                    <a:pt x="1468" y="20996"/>
                                    <a:pt x="1139" y="21600"/>
                                    <a:pt x="734" y="21600"/>
                                  </a:cubicBezTo>
                                  <a:cubicBezTo>
                                    <a:pt x="329" y="21600"/>
                                    <a:pt x="0" y="20996"/>
                                    <a:pt x="0" y="20250"/>
                                  </a:cubicBezTo>
                                  <a:close/>
                                </a:path>
                              </a:pathLst>
                            </a:custGeom>
                            <a:solidFill>
                              <a:srgbClr val="FFFFFF"/>
                            </a:solidFill>
                            <a:ln w="9525" cap="flat">
                              <a:solidFill>
                                <a:srgbClr val="000000"/>
                              </a:solidFill>
                              <a:prstDash val="solid"/>
                              <a:round/>
                            </a:ln>
                            <a:effectLst/>
                          </wps:spPr>
                          <wps:bodyPr/>
                        </wps:wsp>
                        <wps:wsp>
                          <wps:cNvPr id="1073741834" name="Shape 1073741834"/>
                          <wps:cNvSpPr/>
                          <wps:spPr>
                            <a:xfrm>
                              <a:off x="194470" y="486171"/>
                              <a:ext cx="194472" cy="291705"/>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cubicBezTo>
                                    <a:pt x="11929" y="21600"/>
                                    <a:pt x="21600" y="15153"/>
                                    <a:pt x="21600" y="7200"/>
                                  </a:cubicBezTo>
                                  <a:cubicBezTo>
                                    <a:pt x="21600" y="3224"/>
                                    <a:pt x="16765" y="0"/>
                                    <a:pt x="10800" y="0"/>
                                  </a:cubicBezTo>
                                  <a:cubicBezTo>
                                    <a:pt x="4835" y="0"/>
                                    <a:pt x="0" y="3224"/>
                                    <a:pt x="0" y="7200"/>
                                  </a:cubicBezTo>
                                  <a:lnTo>
                                    <a:pt x="0" y="21600"/>
                                  </a:lnTo>
                                  <a:close/>
                                </a:path>
                              </a:pathLst>
                            </a:custGeom>
                            <a:solidFill>
                              <a:srgbClr val="CCCCCC"/>
                            </a:solidFill>
                            <a:ln w="12700" cap="flat">
                              <a:noFill/>
                              <a:miter lim="400000"/>
                            </a:ln>
                            <a:effectLst/>
                          </wps:spPr>
                          <wps:bodyPr/>
                        </wps:wsp>
                        <wps:wsp>
                          <wps:cNvPr id="1073741835" name="Shape 1073741835"/>
                          <wps:cNvSpPr/>
                          <wps:spPr>
                            <a:xfrm>
                              <a:off x="5333679" y="0"/>
                              <a:ext cx="388942" cy="388938"/>
                            </a:xfrm>
                            <a:custGeom>
                              <a:avLst/>
                              <a:gdLst/>
                              <a:ahLst/>
                              <a:cxnLst>
                                <a:cxn ang="0">
                                  <a:pos x="wd2" y="hd2"/>
                                </a:cxn>
                                <a:cxn ang="5400000">
                                  <a:pos x="wd2" y="hd2"/>
                                </a:cxn>
                                <a:cxn ang="10800000">
                                  <a:pos x="wd2" y="hd2"/>
                                </a:cxn>
                                <a:cxn ang="16200000">
                                  <a:pos x="wd2" y="hd2"/>
                                </a:cxn>
                              </a:cxnLst>
                              <a:rect l="0" t="0" r="r" b="b"/>
                              <a:pathLst>
                                <a:path w="21600" h="21600" extrusionOk="0">
                                  <a:moveTo>
                                    <a:pt x="21600" y="10800"/>
                                  </a:moveTo>
                                  <a:cubicBezTo>
                                    <a:pt x="21600" y="16765"/>
                                    <a:pt x="16765" y="21600"/>
                                    <a:pt x="10800" y="21600"/>
                                  </a:cubicBezTo>
                                  <a:lnTo>
                                    <a:pt x="10800" y="10800"/>
                                  </a:lnTo>
                                  <a:cubicBezTo>
                                    <a:pt x="10800" y="13782"/>
                                    <a:pt x="8382" y="16200"/>
                                    <a:pt x="5400" y="16200"/>
                                  </a:cubicBezTo>
                                  <a:cubicBezTo>
                                    <a:pt x="2418" y="16200"/>
                                    <a:pt x="0" y="13782"/>
                                    <a:pt x="0" y="10800"/>
                                  </a:cubicBezTo>
                                  <a:cubicBezTo>
                                    <a:pt x="0" y="4835"/>
                                    <a:pt x="4835" y="0"/>
                                    <a:pt x="10800" y="0"/>
                                  </a:cubicBezTo>
                                  <a:cubicBezTo>
                                    <a:pt x="16765" y="0"/>
                                    <a:pt x="21600" y="4835"/>
                                    <a:pt x="21600" y="10800"/>
                                  </a:cubicBezTo>
                                  <a:close/>
                                </a:path>
                              </a:pathLst>
                            </a:custGeom>
                            <a:solidFill>
                              <a:srgbClr val="CCCCCC"/>
                            </a:solidFill>
                            <a:ln w="12700" cap="flat">
                              <a:noFill/>
                              <a:miter lim="400000"/>
                            </a:ln>
                            <a:effectLst/>
                          </wps:spPr>
                          <wps:bodyPr/>
                        </wps:wsp>
                        <wps:wsp>
                          <wps:cNvPr id="1073741836" name="Shape 1073741836"/>
                          <wps:cNvSpPr/>
                          <wps:spPr>
                            <a:xfrm>
                              <a:off x="0" y="194468"/>
                              <a:ext cx="5722621" cy="2528095"/>
                            </a:xfrm>
                            <a:custGeom>
                              <a:avLst/>
                              <a:gdLst/>
                              <a:ahLst/>
                              <a:cxnLst>
                                <a:cxn ang="0">
                                  <a:pos x="wd2" y="hd2"/>
                                </a:cxn>
                                <a:cxn ang="5400000">
                                  <a:pos x="wd2" y="hd2"/>
                                </a:cxn>
                                <a:cxn ang="10800000">
                                  <a:pos x="wd2" y="hd2"/>
                                </a:cxn>
                                <a:cxn ang="16200000">
                                  <a:pos x="wd2" y="hd2"/>
                                </a:cxn>
                              </a:cxnLst>
                              <a:rect l="0" t="0" r="r" b="b"/>
                              <a:pathLst>
                                <a:path w="21600" h="21600" extrusionOk="0">
                                  <a:moveTo>
                                    <a:pt x="0" y="3323"/>
                                  </a:moveTo>
                                  <a:cubicBezTo>
                                    <a:pt x="0" y="4241"/>
                                    <a:pt x="329" y="4985"/>
                                    <a:pt x="734" y="4985"/>
                                  </a:cubicBezTo>
                                  <a:cubicBezTo>
                                    <a:pt x="1139" y="4985"/>
                                    <a:pt x="1468" y="4241"/>
                                    <a:pt x="1468" y="3323"/>
                                  </a:cubicBezTo>
                                  <a:cubicBezTo>
                                    <a:pt x="1468" y="2864"/>
                                    <a:pt x="1304" y="2492"/>
                                    <a:pt x="1101" y="2492"/>
                                  </a:cubicBezTo>
                                  <a:cubicBezTo>
                                    <a:pt x="898" y="2492"/>
                                    <a:pt x="734" y="2864"/>
                                    <a:pt x="734" y="3323"/>
                                  </a:cubicBezTo>
                                  <a:lnTo>
                                    <a:pt x="734" y="4985"/>
                                  </a:lnTo>
                                  <a:moveTo>
                                    <a:pt x="1468" y="3323"/>
                                  </a:moveTo>
                                  <a:lnTo>
                                    <a:pt x="1468" y="21600"/>
                                  </a:lnTo>
                                  <a:moveTo>
                                    <a:pt x="21600" y="0"/>
                                  </a:moveTo>
                                  <a:cubicBezTo>
                                    <a:pt x="21600" y="918"/>
                                    <a:pt x="21271" y="1662"/>
                                    <a:pt x="20866" y="1662"/>
                                  </a:cubicBezTo>
                                  <a:lnTo>
                                    <a:pt x="20132" y="1662"/>
                                  </a:lnTo>
                                  <a:moveTo>
                                    <a:pt x="20132" y="0"/>
                                  </a:moveTo>
                                  <a:cubicBezTo>
                                    <a:pt x="20132" y="459"/>
                                    <a:pt x="20296" y="831"/>
                                    <a:pt x="20499" y="831"/>
                                  </a:cubicBezTo>
                                  <a:cubicBezTo>
                                    <a:pt x="20702" y="831"/>
                                    <a:pt x="20866" y="459"/>
                                    <a:pt x="20866" y="0"/>
                                  </a:cubicBezTo>
                                  <a:lnTo>
                                    <a:pt x="20866" y="1662"/>
                                  </a:lnTo>
                                </a:path>
                              </a:pathLst>
                            </a:custGeom>
                            <a:noFill/>
                            <a:ln w="9525" cap="flat">
                              <a:solidFill>
                                <a:srgbClr val="000000"/>
                              </a:solidFill>
                              <a:prstDash val="solid"/>
                              <a:round/>
                            </a:ln>
                            <a:effectLst/>
                          </wps:spPr>
                          <wps:bodyPr/>
                        </wps:wsp>
                      </wpg:grpSp>
                      <wps:wsp>
                        <wps:cNvPr id="1073741838" name="Shape 1073741838"/>
                        <wps:cNvSpPr txBox="1"/>
                        <wps:spPr>
                          <a:xfrm>
                            <a:off x="439423" y="393700"/>
                            <a:ext cx="5038245" cy="2324100"/>
                          </a:xfrm>
                          <a:prstGeom prst="rect">
                            <a:avLst/>
                          </a:prstGeom>
                          <a:noFill/>
                          <a:ln w="12700" cap="flat">
                            <a:noFill/>
                            <a:miter lim="400000"/>
                          </a:ln>
                          <a:effectLst/>
                        </wps:spPr>
                        <wps:txbx>
                          <w:txbxContent>
                            <w:p w:rsidR="00A90091" w:rsidRDefault="00800EB2">
                              <w:pPr>
                                <w:jc w:val="center"/>
                                <w:rPr>
                                  <w:rStyle w:val="Aucun"/>
                                  <w:rFonts w:ascii="Arial" w:eastAsia="Arial" w:hAnsi="Arial" w:cs="Arial"/>
                                  <w:b/>
                                  <w:bCs/>
                                  <w:sz w:val="32"/>
                                  <w:szCs w:val="32"/>
                                </w:rPr>
                              </w:pPr>
                              <w:r>
                                <w:rPr>
                                  <w:rStyle w:val="Aucun"/>
                                  <w:rFonts w:ascii="Arial" w:hAnsi="Arial"/>
                                  <w:b/>
                                  <w:bCs/>
                                  <w:sz w:val="32"/>
                                  <w:szCs w:val="32"/>
                                </w:rPr>
                                <w:t>TERMES DE REFERENCE POUR L</w:t>
                              </w:r>
                              <w:r>
                                <w:rPr>
                                  <w:rStyle w:val="Aucun"/>
                                  <w:rFonts w:ascii="Arial" w:hAnsi="Arial"/>
                                  <w:b/>
                                  <w:bCs/>
                                  <w:sz w:val="32"/>
                                  <w:szCs w:val="32"/>
                                </w:rPr>
                                <w:t>’</w:t>
                              </w:r>
                              <w:r>
                                <w:rPr>
                                  <w:rStyle w:val="Aucun"/>
                                  <w:rFonts w:ascii="Arial" w:hAnsi="Arial"/>
                                  <w:b/>
                                  <w:bCs/>
                                  <w:sz w:val="32"/>
                                  <w:szCs w:val="32"/>
                                </w:rPr>
                                <w:t>ELABORATION DU PLAN D</w:t>
                              </w:r>
                              <w:r>
                                <w:rPr>
                                  <w:rStyle w:val="Aucun"/>
                                  <w:rFonts w:ascii="Arial" w:hAnsi="Arial"/>
                                  <w:b/>
                                  <w:bCs/>
                                  <w:sz w:val="32"/>
                                  <w:szCs w:val="32"/>
                                </w:rPr>
                                <w:t>’</w:t>
                              </w:r>
                              <w:r>
                                <w:rPr>
                                  <w:rStyle w:val="Aucun"/>
                                  <w:rFonts w:ascii="Arial" w:hAnsi="Arial"/>
                                  <w:b/>
                                  <w:bCs/>
                                  <w:sz w:val="32"/>
                                  <w:szCs w:val="32"/>
                                </w:rPr>
                                <w:t xml:space="preserve">ACTION DE REINSTALLATION </w:t>
                              </w:r>
                            </w:p>
                            <w:p w:rsidR="00A90091" w:rsidRDefault="00800EB2">
                              <w:pPr>
                                <w:jc w:val="center"/>
                                <w:rPr>
                                  <w:rStyle w:val="Aucun"/>
                                  <w:rFonts w:ascii="Arial" w:eastAsia="Arial" w:hAnsi="Arial" w:cs="Arial"/>
                                  <w:b/>
                                  <w:bCs/>
                                  <w:sz w:val="32"/>
                                  <w:szCs w:val="32"/>
                                </w:rPr>
                              </w:pPr>
                              <w:r>
                                <w:rPr>
                                  <w:rStyle w:val="Aucun"/>
                                  <w:rFonts w:ascii="Arial" w:hAnsi="Arial"/>
                                  <w:b/>
                                  <w:bCs/>
                                  <w:sz w:val="32"/>
                                  <w:szCs w:val="32"/>
                                </w:rPr>
                                <w:t>TRAVAUX DE LUTTE ANTI</w:t>
                              </w:r>
                              <w:r>
                                <w:rPr>
                                  <w:rStyle w:val="Aucun"/>
                                  <w:rFonts w:ascii="Arial" w:hAnsi="Arial"/>
                                  <w:b/>
                                  <w:bCs/>
                                  <w:sz w:val="32"/>
                                  <w:szCs w:val="32"/>
                                </w:rPr>
                                <w:t>É</w:t>
                              </w:r>
                              <w:r>
                                <w:rPr>
                                  <w:rStyle w:val="Aucun"/>
                                  <w:rFonts w:ascii="Arial" w:hAnsi="Arial"/>
                                  <w:b/>
                                  <w:bCs/>
                                  <w:sz w:val="32"/>
                                  <w:szCs w:val="32"/>
                                </w:rPr>
                                <w:t xml:space="preserve">ROSIVE SUR TROIS (03) SITES PRIORITAIRES : </w:t>
                              </w:r>
                            </w:p>
                            <w:p w:rsidR="00A90091" w:rsidRDefault="00800EB2">
                              <w:pPr>
                                <w:jc w:val="center"/>
                              </w:pPr>
                              <w:r>
                                <w:rPr>
                                  <w:rStyle w:val="Aucun"/>
                                  <w:rFonts w:ascii="Arial" w:hAnsi="Arial"/>
                                  <w:b/>
                                  <w:bCs/>
                                  <w:sz w:val="32"/>
                                  <w:szCs w:val="32"/>
                                </w:rPr>
                                <w:t>A</w:t>
                              </w:r>
                              <w:r>
                                <w:rPr>
                                  <w:rStyle w:val="Aucun"/>
                                  <w:rFonts w:ascii="Arial" w:hAnsi="Arial"/>
                                  <w:b/>
                                  <w:bCs/>
                                  <w:sz w:val="32"/>
                                  <w:szCs w:val="32"/>
                                </w:rPr>
                                <w:t>É</w:t>
                              </w:r>
                              <w:r>
                                <w:rPr>
                                  <w:rStyle w:val="Aucun"/>
                                  <w:rFonts w:ascii="Arial" w:hAnsi="Arial"/>
                                  <w:b/>
                                  <w:bCs/>
                                  <w:sz w:val="32"/>
                                  <w:szCs w:val="32"/>
                                </w:rPr>
                                <w:t>ROPORT, SNCC ET PK706.</w:t>
                              </w:r>
                            </w:p>
                          </w:txbxContent>
                        </wps:txbx>
                        <wps:bodyPr wrap="square" lIns="45719" tIns="45719" rIns="45719" bIns="45719" numCol="1" anchor="t">
                          <a:noAutofit/>
                        </wps:bodyPr>
                      </wps:wsp>
                    </wpg:wgp>
                  </a:graphicData>
                </a:graphic>
              </wp:anchor>
            </w:drawing>
          </mc:Choice>
          <mc:Fallback>
            <w:pict>
              <v:group id="_x0000_s1026" style="visibility:visible;position:absolute;margin-left:14.9pt;margin-top:16.1pt;width:450.6pt;height:245.0pt;z-index:251661312;mso-position-horizontal:absolute;mso-position-horizontal-relative:text;mso-position-vertical:absolute;mso-position-vertical-relative:line;mso-wrap-distance-left:0.0pt;mso-wrap-distance-top:0.0pt;mso-wrap-distance-right:0.0pt;mso-wrap-distance-bottom:0.0pt;" coordorigin="0,0" coordsize="5722620,3111500">
                <w10:wrap type="none" side="bothSides" anchorx="text"/>
                <v:group id="_x0000_s1027" style="position:absolute;left:0;top:0;width:5722620;height:3111500;" coordorigin="0,0" coordsize="5722620,3111500">
                  <v:shape id="_x0000_s1028" style="position:absolute;left:0;top:0;width:5722620;height:3111500;" coordorigin="0,0" coordsize="21600,21600" path="M 0,4050 C 0,3304 329,2700 734,2700 L 20132,2700 L 20132,1350 C 20132,604 20461,0 20866,0 C 21271,0 21600,604 21600,1350 L 21600,17550 C 21600,18296 21271,18900 20866,18900 L 1468,18900 L 1468,20250 C 1468,20996 1139,21600 734,21600 C 329,21600 0,20996 0,20250 X E">
                    <v:fill color="#FFFFFF" opacity="100.0%" type="solid"/>
                    <v:stroke filltype="solid" color="#000000" opacity="100.0%" weight="0.8pt" dashstyle="solid" endcap="flat" joinstyle="round" linestyle="single" startarrow="none" startarrowwidth="medium" startarrowlength="medium" endarrow="none" endarrowwidth="medium" endarrowlength="medium"/>
                  </v:shape>
                  <v:shape id="_x0000_s1029" style="position:absolute;left:194471;top:486172;width:194471;height:291703;" coordorigin="0,0" coordsize="21600,21600" path="M 0,21600 C 11929,21600 21600,15153 21600,7200 C 21600,3224 16765,0 10800,0 C 4835,0 0,3224 0,7200 L 0,21600 X E">
                    <v:fill color="#CCCCCC" opacity="100.0%" type="solid"/>
                    <v:stroke on="f" weight="1.0pt" dashstyle="solid" endcap="flat" miterlimit="400.0%" joinstyle="miter" linestyle="single" startarrow="none" startarrowwidth="medium" startarrowlength="medium" endarrow="none" endarrowwidth="medium" endarrowlength="medium"/>
                  </v:shape>
                  <v:shape id="_x0000_s1030" style="position:absolute;left:5333679;top:0;width:388941;height:388937;" coordorigin="0,0" coordsize="21600,21600" path="M 21600,10800 C 21600,16765 16765,21600 10800,21600 L 10800,10800 C 10800,13782 8382,16200 5400,16200 C 2418,16200 0,13782 0,10800 C 0,4835 4835,0 10800,0 C 16765,0 21600,4835 21600,10800 X E">
                    <v:fill color="#CCCCCC" opacity="100.0%" type="solid"/>
                    <v:stroke on="f" weight="1.0pt" dashstyle="solid" endcap="flat" miterlimit="400.0%" joinstyle="miter" linestyle="single" startarrow="none" startarrowwidth="medium" startarrowlength="medium" endarrow="none" endarrowwidth="medium" endarrowlength="medium"/>
                  </v:shape>
                  <v:shape id="_x0000_s1031" style="position:absolute;left:0;top:194469;width:5722620;height:2528094;" coordorigin="0,0" coordsize="21600,21600" path="M 0,3323 C 0,4241 329,4985 734,4985 C 1139,4985 1468,4241 1468,3323 C 1468,2864 1304,2492 1101,2492 C 898,2492 734,2864 734,3323 L 734,4985 M 1468,3323 L 1468,21600 M 21600,0 C 21600,918 21271,1662 20866,1662 L 20132,1662 M 20132,0 C 20132,459 20296,831 20499,831 C 20702,831 20866,459 20866,0 L 20866,1662 E">
                    <v:fill on="f"/>
                    <v:stroke filltype="solid" color="#000000" opacity="100.0%" weight="0.8pt" dashstyle="solid" endcap="flat" joinstyle="round" linestyle="single" startarrow="none" startarrowwidth="medium" startarrowlength="medium" endarrow="none" endarrowwidth="medium" endarrowlength="medium"/>
                  </v:shape>
                </v:group>
                <v:shape id="_x0000_s1032" type="#_x0000_t202" style="position:absolute;left:439424;top:393700;width:5038243;height:2324100;">
                  <v:fill on="f"/>
                  <v:stroke on="f" weight="1.0pt" dashstyle="solid" endcap="flat" miterlimit="400.0%" joinstyle="miter" linestyle="single" startarrow="none" startarrowwidth="medium" startarrowlength="medium" endarrow="none" endarrowwidth="medium" endarrowlength="medium"/>
                  <v:textbox>
                    <w:txbxContent>
                      <w:p>
                        <w:pPr>
                          <w:pStyle w:val="Normal.0"/>
                          <w:jc w:val="center"/>
                          <w:rPr>
                            <w:rStyle w:val="Aucun"/>
                            <w:rFonts w:ascii="Arial" w:cs="Arial" w:hAnsi="Arial" w:eastAsia="Arial"/>
                            <w:b w:val="1"/>
                            <w:bCs w:val="1"/>
                            <w:sz w:val="32"/>
                            <w:szCs w:val="32"/>
                          </w:rPr>
                        </w:pPr>
                        <w:r>
                          <w:rPr>
                            <w:rStyle w:val="Aucun"/>
                            <w:rFonts w:ascii="Arial" w:hAnsi="Arial"/>
                            <w:b w:val="1"/>
                            <w:bCs w:val="1"/>
                            <w:sz w:val="32"/>
                            <w:szCs w:val="32"/>
                            <w:rtl w:val="0"/>
                            <w:lang w:val="fr-FR"/>
                          </w:rPr>
                          <w:t>TERMES DE REFERENCE POUR L</w:t>
                        </w:r>
                        <w:r>
                          <w:rPr>
                            <w:rStyle w:val="Aucun"/>
                            <w:rFonts w:ascii="Arial" w:hAnsi="Arial" w:hint="default"/>
                            <w:b w:val="1"/>
                            <w:bCs w:val="1"/>
                            <w:sz w:val="32"/>
                            <w:szCs w:val="32"/>
                            <w:rtl w:val="0"/>
                            <w:lang w:val="fr-FR"/>
                          </w:rPr>
                          <w:t>’</w:t>
                        </w:r>
                        <w:r>
                          <w:rPr>
                            <w:rStyle w:val="Aucun"/>
                            <w:rFonts w:ascii="Arial" w:hAnsi="Arial"/>
                            <w:b w:val="1"/>
                            <w:bCs w:val="1"/>
                            <w:sz w:val="32"/>
                            <w:szCs w:val="32"/>
                            <w:rtl w:val="0"/>
                            <w:lang w:val="fr-FR"/>
                          </w:rPr>
                          <w:t>ELABORATION DU PLAN D</w:t>
                        </w:r>
                        <w:r>
                          <w:rPr>
                            <w:rStyle w:val="Aucun"/>
                            <w:rFonts w:ascii="Arial" w:hAnsi="Arial" w:hint="default"/>
                            <w:b w:val="1"/>
                            <w:bCs w:val="1"/>
                            <w:sz w:val="32"/>
                            <w:szCs w:val="32"/>
                            <w:rtl w:val="0"/>
                            <w:lang w:val="fr-FR"/>
                          </w:rPr>
                          <w:t>’</w:t>
                        </w:r>
                        <w:r>
                          <w:rPr>
                            <w:rStyle w:val="Aucun"/>
                            <w:rFonts w:ascii="Arial" w:hAnsi="Arial"/>
                            <w:b w:val="1"/>
                            <w:bCs w:val="1"/>
                            <w:sz w:val="32"/>
                            <w:szCs w:val="32"/>
                            <w:rtl w:val="0"/>
                            <w:lang w:val="fr-FR"/>
                          </w:rPr>
                          <w:t xml:space="preserve">ACTION DE REINSTALLATION </w:t>
                        </w:r>
                      </w:p>
                      <w:p>
                        <w:pPr>
                          <w:pStyle w:val="Normal.0"/>
                          <w:jc w:val="center"/>
                          <w:rPr>
                            <w:rStyle w:val="Aucun"/>
                            <w:rFonts w:ascii="Arial" w:cs="Arial" w:hAnsi="Arial" w:eastAsia="Arial"/>
                            <w:b w:val="1"/>
                            <w:bCs w:val="1"/>
                            <w:sz w:val="32"/>
                            <w:szCs w:val="32"/>
                          </w:rPr>
                        </w:pPr>
                        <w:r>
                          <w:rPr>
                            <w:rStyle w:val="Aucun"/>
                            <w:rFonts w:ascii="Arial" w:hAnsi="Arial"/>
                            <w:b w:val="1"/>
                            <w:bCs w:val="1"/>
                            <w:sz w:val="32"/>
                            <w:szCs w:val="32"/>
                            <w:rtl w:val="0"/>
                            <w:lang w:val="fr-FR"/>
                          </w:rPr>
                          <w:t>TRAVAUX DE LUTTE ANTI</w:t>
                        </w:r>
                        <w:r>
                          <w:rPr>
                            <w:rStyle w:val="Aucun"/>
                            <w:rFonts w:ascii="Arial" w:hAnsi="Arial" w:hint="default"/>
                            <w:b w:val="1"/>
                            <w:bCs w:val="1"/>
                            <w:sz w:val="32"/>
                            <w:szCs w:val="32"/>
                            <w:rtl w:val="0"/>
                            <w:lang w:val="fr-FR"/>
                          </w:rPr>
                          <w:t>É</w:t>
                        </w:r>
                        <w:r>
                          <w:rPr>
                            <w:rStyle w:val="Aucun"/>
                            <w:rFonts w:ascii="Arial" w:hAnsi="Arial"/>
                            <w:b w:val="1"/>
                            <w:bCs w:val="1"/>
                            <w:sz w:val="32"/>
                            <w:szCs w:val="32"/>
                            <w:rtl w:val="0"/>
                            <w:lang w:val="fr-FR"/>
                          </w:rPr>
                          <w:t xml:space="preserve">ROSIVE SUR TROIS (03) SITES PRIORITAIRES : </w:t>
                        </w:r>
                      </w:p>
                      <w:p>
                        <w:pPr>
                          <w:pStyle w:val="Normal.0"/>
                          <w:jc w:val="center"/>
                        </w:pPr>
                        <w:r>
                          <w:rPr>
                            <w:rStyle w:val="Aucun"/>
                            <w:rFonts w:ascii="Arial" w:hAnsi="Arial"/>
                            <w:b w:val="1"/>
                            <w:bCs w:val="1"/>
                            <w:sz w:val="32"/>
                            <w:szCs w:val="32"/>
                            <w:rtl w:val="0"/>
                            <w:lang w:val="fr-FR"/>
                          </w:rPr>
                          <w:t>A</w:t>
                        </w:r>
                        <w:r>
                          <w:rPr>
                            <w:rStyle w:val="Aucun"/>
                            <w:rFonts w:ascii="Arial" w:hAnsi="Arial" w:hint="default"/>
                            <w:b w:val="1"/>
                            <w:bCs w:val="1"/>
                            <w:sz w:val="32"/>
                            <w:szCs w:val="32"/>
                            <w:rtl w:val="0"/>
                            <w:lang w:val="fr-FR"/>
                          </w:rPr>
                          <w:t>É</w:t>
                        </w:r>
                        <w:r>
                          <w:rPr>
                            <w:rStyle w:val="Aucun"/>
                            <w:rFonts w:ascii="Arial" w:hAnsi="Arial"/>
                            <w:b w:val="1"/>
                            <w:bCs w:val="1"/>
                            <w:sz w:val="32"/>
                            <w:szCs w:val="32"/>
                            <w:rtl w:val="0"/>
                            <w:lang w:val="fr-FR"/>
                          </w:rPr>
                          <w:t>ROPORT, SNCC ET PK706.</w:t>
                        </w:r>
                      </w:p>
                    </w:txbxContent>
                  </v:textbox>
                </v:shape>
              </v:group>
            </w:pict>
          </mc:Fallback>
        </mc:AlternateContent>
      </w:r>
    </w:p>
    <w:p w:rsidR="00A90091" w:rsidRDefault="00A90091">
      <w:pPr>
        <w:jc w:val="both"/>
        <w:rPr>
          <w:rStyle w:val="Aucun"/>
          <w:rFonts w:ascii="Arial" w:eastAsia="Arial" w:hAnsi="Arial" w:cs="Arial"/>
          <w:b/>
          <w:bCs/>
        </w:rPr>
      </w:pPr>
    </w:p>
    <w:p w:rsidR="00A90091" w:rsidRDefault="00A90091">
      <w:pPr>
        <w:jc w:val="both"/>
        <w:rPr>
          <w:rStyle w:val="Aucun"/>
          <w:rFonts w:ascii="Arial" w:eastAsia="Arial" w:hAnsi="Arial" w:cs="Arial"/>
          <w:b/>
          <w:bCs/>
        </w:rPr>
      </w:pPr>
    </w:p>
    <w:p w:rsidR="00A90091" w:rsidRDefault="00A90091">
      <w:pPr>
        <w:jc w:val="both"/>
        <w:rPr>
          <w:rStyle w:val="Aucun"/>
          <w:rFonts w:ascii="Arial" w:eastAsia="Arial" w:hAnsi="Arial" w:cs="Arial"/>
          <w:b/>
          <w:bCs/>
        </w:rPr>
      </w:pPr>
    </w:p>
    <w:p w:rsidR="00A90091" w:rsidRDefault="00A90091">
      <w:pPr>
        <w:jc w:val="both"/>
        <w:rPr>
          <w:rStyle w:val="Aucun"/>
          <w:rFonts w:ascii="Arial" w:eastAsia="Arial" w:hAnsi="Arial" w:cs="Arial"/>
          <w:b/>
          <w:bCs/>
        </w:rPr>
      </w:pPr>
    </w:p>
    <w:p w:rsidR="00A90091" w:rsidRDefault="00A90091">
      <w:pPr>
        <w:jc w:val="both"/>
        <w:rPr>
          <w:rStyle w:val="Aucun"/>
          <w:rFonts w:ascii="Arial" w:eastAsia="Arial" w:hAnsi="Arial" w:cs="Arial"/>
          <w:b/>
          <w:bCs/>
        </w:rPr>
      </w:pPr>
    </w:p>
    <w:p w:rsidR="00A90091" w:rsidRDefault="00A90091">
      <w:pPr>
        <w:jc w:val="both"/>
        <w:rPr>
          <w:rStyle w:val="Aucun"/>
          <w:rFonts w:ascii="Arial" w:eastAsia="Arial" w:hAnsi="Arial" w:cs="Arial"/>
          <w:b/>
          <w:bCs/>
        </w:rPr>
      </w:pPr>
    </w:p>
    <w:p w:rsidR="00A90091" w:rsidRDefault="00A90091">
      <w:pPr>
        <w:jc w:val="both"/>
        <w:rPr>
          <w:rStyle w:val="Aucun"/>
          <w:rFonts w:ascii="Arial" w:eastAsia="Arial" w:hAnsi="Arial" w:cs="Arial"/>
          <w:b/>
          <w:bCs/>
        </w:rPr>
      </w:pPr>
    </w:p>
    <w:p w:rsidR="00A90091" w:rsidRDefault="00A90091">
      <w:pPr>
        <w:jc w:val="both"/>
        <w:rPr>
          <w:rStyle w:val="Aucun"/>
          <w:rFonts w:ascii="Arial" w:eastAsia="Arial" w:hAnsi="Arial" w:cs="Arial"/>
          <w:b/>
          <w:bCs/>
        </w:rPr>
      </w:pPr>
    </w:p>
    <w:p w:rsidR="00A90091" w:rsidRDefault="00A90091">
      <w:pPr>
        <w:jc w:val="both"/>
        <w:rPr>
          <w:rStyle w:val="Aucun"/>
          <w:rFonts w:ascii="Arial" w:eastAsia="Arial" w:hAnsi="Arial" w:cs="Arial"/>
          <w:b/>
          <w:bCs/>
        </w:rPr>
      </w:pPr>
    </w:p>
    <w:p w:rsidR="00A90091" w:rsidRDefault="00A90091">
      <w:pPr>
        <w:jc w:val="both"/>
        <w:rPr>
          <w:rStyle w:val="Aucun"/>
          <w:rFonts w:ascii="Arial" w:eastAsia="Arial" w:hAnsi="Arial" w:cs="Arial"/>
          <w:b/>
          <w:bCs/>
        </w:rPr>
      </w:pPr>
    </w:p>
    <w:p w:rsidR="00A90091" w:rsidRDefault="00A90091">
      <w:pPr>
        <w:jc w:val="both"/>
        <w:rPr>
          <w:rStyle w:val="Aucun"/>
          <w:rFonts w:ascii="Arial" w:eastAsia="Arial" w:hAnsi="Arial" w:cs="Arial"/>
          <w:b/>
          <w:bCs/>
        </w:rPr>
      </w:pPr>
    </w:p>
    <w:p w:rsidR="00A90091" w:rsidRDefault="00800EB2">
      <w:pPr>
        <w:jc w:val="center"/>
        <w:rPr>
          <w:rStyle w:val="Aucun"/>
          <w:rFonts w:ascii="Arial" w:eastAsia="Arial" w:hAnsi="Arial" w:cs="Arial"/>
          <w:b/>
          <w:bCs/>
        </w:rPr>
      </w:pPr>
      <w:r>
        <w:rPr>
          <w:rStyle w:val="Aucun"/>
          <w:rFonts w:ascii="Arial" w:hAnsi="Arial"/>
          <w:b/>
          <w:bCs/>
        </w:rPr>
        <w:t>Version finale - Juin 2023</w:t>
      </w:r>
    </w:p>
    <w:p w:rsidR="00A90091" w:rsidRDefault="00A90091">
      <w:pPr>
        <w:jc w:val="both"/>
        <w:rPr>
          <w:rStyle w:val="Aucun"/>
          <w:rFonts w:ascii="Arial" w:eastAsia="Arial" w:hAnsi="Arial" w:cs="Arial"/>
          <w:b/>
          <w:bCs/>
        </w:rPr>
      </w:pPr>
    </w:p>
    <w:p w:rsidR="00A90091" w:rsidRDefault="00800EB2">
      <w:pPr>
        <w:pStyle w:val="Paragraphedeliste"/>
        <w:ind w:left="372" w:hanging="372"/>
        <w:jc w:val="both"/>
      </w:pPr>
      <w:r>
        <w:rPr>
          <w:rStyle w:val="Aucun"/>
          <w:rFonts w:ascii="Arial Unicode MS" w:eastAsia="Arial Unicode MS" w:hAnsi="Arial Unicode MS" w:cs="Arial Unicode MS"/>
        </w:rPr>
        <w:br w:type="page"/>
      </w:r>
    </w:p>
    <w:p w:rsidR="00A90091" w:rsidRDefault="00800EB2">
      <w:pPr>
        <w:pStyle w:val="Paragraphedeliste"/>
        <w:numPr>
          <w:ilvl w:val="0"/>
          <w:numId w:val="2"/>
        </w:numPr>
        <w:jc w:val="both"/>
        <w:rPr>
          <w:sz w:val="24"/>
          <w:szCs w:val="24"/>
        </w:rPr>
      </w:pPr>
      <w:r>
        <w:rPr>
          <w:rStyle w:val="Aucun"/>
          <w:rFonts w:ascii="Segoe Condensed" w:eastAsia="Segoe Condensed" w:hAnsi="Segoe Condensed" w:cs="Segoe Condensed"/>
          <w:b/>
          <w:bCs/>
          <w:sz w:val="24"/>
          <w:szCs w:val="24"/>
        </w:rPr>
        <w:lastRenderedPageBreak/>
        <w:t>CONTEXTE ET JUSTIFICATION DE L’ETUDE</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Le gouvernement de la République Démocratique du Congo (RDC) met en œuvre le Projet </w:t>
      </w:r>
      <w:r>
        <w:rPr>
          <w:rStyle w:val="Aucun"/>
          <w:rFonts w:ascii="Segoe Condensed" w:eastAsia="Segoe Condensed" w:hAnsi="Segoe Condensed" w:cs="Segoe Condensed"/>
          <w:sz w:val="24"/>
          <w:szCs w:val="24"/>
        </w:rPr>
        <w:t xml:space="preserve">d'urgence de résilience urbaine de Kananga (P179292 – PURUK) sous la tutelle du ministère de l’Urbanisme et Habitat, afin de la sauvegarde des infrastructures essentielles contre les effets du ravinement. </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Ce projet d'urgence a été conçu pour déployer des </w:t>
      </w:r>
      <w:r>
        <w:rPr>
          <w:rStyle w:val="Aucun"/>
          <w:rFonts w:ascii="Segoe Condensed" w:eastAsia="Segoe Condensed" w:hAnsi="Segoe Condensed" w:cs="Segoe Condensed"/>
          <w:sz w:val="24"/>
          <w:szCs w:val="24"/>
        </w:rPr>
        <w:t>interventions (a) à court terme : les activités du projet soutiendront l'atténuation des impacts des érosions de ravines existantes qui menacent les vies humaines et les infrastructures stratégiques à Kananga ; et (b) à moyen et long terme, où le projet fo</w:t>
      </w:r>
      <w:r>
        <w:rPr>
          <w:rStyle w:val="Aucun"/>
          <w:rFonts w:ascii="Segoe Condensed" w:eastAsia="Segoe Condensed" w:hAnsi="Segoe Condensed" w:cs="Segoe Condensed"/>
          <w:sz w:val="24"/>
          <w:szCs w:val="24"/>
        </w:rPr>
        <w:t>urnira les capacités, les outils et les ressources aux gouvernements locaux/provinciaux pour un développement urbain plus résilient qui s'attaque aux causes profondes de l'érosion et prévient plus durablement l'incidence de nouvelles têtes d'érosion.</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Les a</w:t>
      </w:r>
      <w:r>
        <w:rPr>
          <w:rStyle w:val="Aucun"/>
          <w:rFonts w:ascii="Segoe Condensed" w:eastAsia="Segoe Condensed" w:hAnsi="Segoe Condensed" w:cs="Segoe Condensed"/>
          <w:sz w:val="24"/>
          <w:szCs w:val="24"/>
        </w:rPr>
        <w:t>ctivités du projet seront conçues pour garantir un impact minimal sur le débit naturel et la qualité de l'eau en ce qui concerne les bassins versants présents dans Kananga. Elles jetteront également les bases d'un drainage des eaux de pluie à moyen et long</w:t>
      </w:r>
      <w:r>
        <w:rPr>
          <w:rStyle w:val="Aucun"/>
          <w:rFonts w:ascii="Segoe Condensed" w:eastAsia="Segoe Condensed" w:hAnsi="Segoe Condensed" w:cs="Segoe Condensed"/>
          <w:sz w:val="24"/>
          <w:szCs w:val="24"/>
        </w:rPr>
        <w:t xml:space="preserve"> terme à Kananga et dans les autres communautés concernées, ce qui réduira les risques futurs d'érosion, en particulier compte tenu de l'augmentation possible des précipitations dans les années à venir, prévue dans le cadre du changement climatique induit </w:t>
      </w:r>
      <w:r>
        <w:rPr>
          <w:rStyle w:val="Aucun"/>
          <w:rFonts w:ascii="Segoe Condensed" w:eastAsia="Segoe Condensed" w:hAnsi="Segoe Condensed" w:cs="Segoe Condensed"/>
          <w:sz w:val="24"/>
          <w:szCs w:val="24"/>
        </w:rPr>
        <w:t>par le réchauffement de la planète.</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Les inondations et l'érosion des sols est l'une des caractéristiques les plus frappantes sur la surface des terres à Kananga. Les risques de glissement de terrain et d'érosion ont causé la perte de propriétés aux résiden</w:t>
      </w:r>
      <w:r>
        <w:rPr>
          <w:rStyle w:val="Aucun"/>
          <w:rFonts w:ascii="Segoe Condensed" w:eastAsia="Segoe Condensed" w:hAnsi="Segoe Condensed" w:cs="Segoe Condensed"/>
          <w:sz w:val="24"/>
          <w:szCs w:val="24"/>
        </w:rPr>
        <w:t xml:space="preserve">ts des communautés environnantes et continuent de menacer gravement la vie des populations. De nombreux membres de la communauté ont également perdu leurs maisons, les terres agricoles à la suite des érosions souvent pendant la saison de pluie. </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Dans le ca</w:t>
      </w:r>
      <w:r>
        <w:rPr>
          <w:rStyle w:val="Aucun"/>
          <w:rFonts w:ascii="Segoe Condensed" w:eastAsia="Segoe Condensed" w:hAnsi="Segoe Condensed" w:cs="Segoe Condensed"/>
          <w:sz w:val="24"/>
          <w:szCs w:val="24"/>
        </w:rPr>
        <w:t>dre des mesures d’urgences, la réalisation des travaux anti-érosion est proposée sur trois (03) sites prioritaires d'érosion dans la ville de Kananga, notamment les sites : Aéroport de Kananga (AÉROPORT-MONUSCO), Gare de la Société Nationale de Chemin de f</w:t>
      </w:r>
      <w:r>
        <w:rPr>
          <w:rStyle w:val="Aucun"/>
          <w:rFonts w:ascii="Segoe Condensed" w:eastAsia="Segoe Condensed" w:hAnsi="Segoe Condensed" w:cs="Segoe Condensed"/>
          <w:sz w:val="24"/>
          <w:szCs w:val="24"/>
        </w:rPr>
        <w:t xml:space="preserve">er du Congo (SNCC) et Point Kilométrique 706 de la SNCC (PK706). AÉROPORT (MONUSCO), SNCC et PK706 sont les noms donnés aux sites érosives pour leur identification, en rapport avec les structures ou les points de référence auprès desquels ils sont situés. </w:t>
      </w:r>
      <w:r>
        <w:rPr>
          <w:rStyle w:val="Aucun"/>
          <w:rFonts w:ascii="Segoe Condensed" w:eastAsia="Segoe Condensed" w:hAnsi="Segoe Condensed" w:cs="Segoe Condensed"/>
          <w:sz w:val="24"/>
          <w:szCs w:val="24"/>
        </w:rPr>
        <w:t>Ces travaux d’urgence seront exécutés par la Direction Provinciale de l'Office des Voiries et Drainage (OVD). L'OVD est une agence nationale qui dépend du  ministère des Infrastructures, Travaux Publics et Reconstruction (MITPR).</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La réalisation des travaux</w:t>
      </w:r>
      <w:r>
        <w:rPr>
          <w:rStyle w:val="Aucun"/>
          <w:rFonts w:ascii="Segoe Condensed" w:eastAsia="Segoe Condensed" w:hAnsi="Segoe Condensed" w:cs="Segoe Condensed"/>
          <w:sz w:val="24"/>
          <w:szCs w:val="24"/>
        </w:rPr>
        <w:t xml:space="preserve"> susdits n’est pas sans risques et effets environnementaux et sociaux, particulièrement la réinstallation involontaire ainsi que l’exploitation, abus sexuel et harcèlement sexuel (EAS/HS)</w:t>
      </w:r>
      <w:r>
        <w:rPr>
          <w:rStyle w:val="Aucun"/>
          <w:rFonts w:ascii="Segoe Condensed" w:eastAsia="Segoe Condensed" w:hAnsi="Segoe Condensed" w:cs="Segoe Condensed"/>
          <w:sz w:val="24"/>
          <w:szCs w:val="24"/>
          <w:vertAlign w:val="superscript"/>
        </w:rPr>
        <w:footnoteReference w:id="2"/>
      </w:r>
      <w:r>
        <w:rPr>
          <w:rStyle w:val="Aucun"/>
          <w:rFonts w:ascii="Segoe Condensed" w:eastAsia="Segoe Condensed" w:hAnsi="Segoe Condensed" w:cs="Segoe Condensed"/>
          <w:sz w:val="24"/>
          <w:szCs w:val="24"/>
        </w:rPr>
        <w:t>. . A cet effet, la gestion de ces risques liés à la mise en œuvre d</w:t>
      </w:r>
      <w:r>
        <w:rPr>
          <w:rStyle w:val="Aucun"/>
          <w:rFonts w:ascii="Segoe Condensed" w:eastAsia="Segoe Condensed" w:hAnsi="Segoe Condensed" w:cs="Segoe Condensed"/>
          <w:sz w:val="24"/>
          <w:szCs w:val="24"/>
        </w:rPr>
        <w:t xml:space="preserve">e ce </w:t>
      </w:r>
      <w:bookmarkStart w:id="0" w:name="_GoBack"/>
      <w:r>
        <w:rPr>
          <w:rStyle w:val="Aucun"/>
          <w:rFonts w:ascii="Segoe Condensed" w:eastAsia="Segoe Condensed" w:hAnsi="Segoe Condensed" w:cs="Segoe Condensed"/>
          <w:sz w:val="24"/>
          <w:szCs w:val="24"/>
        </w:rPr>
        <w:t xml:space="preserve">sous-projet </w:t>
      </w:r>
      <w:bookmarkEnd w:id="0"/>
      <w:r>
        <w:rPr>
          <w:rStyle w:val="Aucun"/>
          <w:rFonts w:ascii="Segoe Condensed" w:eastAsia="Segoe Condensed" w:hAnsi="Segoe Condensed" w:cs="Segoe Condensed"/>
          <w:sz w:val="24"/>
          <w:szCs w:val="24"/>
        </w:rPr>
        <w:t xml:space="preserve">se fera en conformité avec le Cadre Environnemental et Social (CES) de la </w:t>
      </w:r>
      <w:r>
        <w:rPr>
          <w:rStyle w:val="Aucun"/>
          <w:rFonts w:ascii="Segoe Condensed" w:eastAsia="Segoe Condensed" w:hAnsi="Segoe Condensed" w:cs="Segoe Condensed"/>
          <w:sz w:val="24"/>
          <w:szCs w:val="24"/>
        </w:rPr>
        <w:lastRenderedPageBreak/>
        <w:t>Banque mondiale, notamment la Norme Environnementale et Social No. 5 (NES 5), les directives de la Note de bonnes pratiques pour lutter contre l’EAS/HS</w:t>
      </w:r>
      <w:r>
        <w:rPr>
          <w:rStyle w:val="Aucun"/>
          <w:rFonts w:ascii="Segoe Condensed" w:eastAsia="Segoe Condensed" w:hAnsi="Segoe Condensed" w:cs="Segoe Condensed"/>
          <w:sz w:val="24"/>
          <w:szCs w:val="24"/>
          <w:vertAlign w:val="superscript"/>
        </w:rPr>
        <w:footnoteReference w:id="3"/>
      </w:r>
      <w:r>
        <w:rPr>
          <w:rStyle w:val="Aucun"/>
          <w:rFonts w:ascii="Segoe Condensed" w:eastAsia="Segoe Condensed" w:hAnsi="Segoe Condensed" w:cs="Segoe Condensed"/>
          <w:sz w:val="24"/>
          <w:szCs w:val="24"/>
        </w:rPr>
        <w:t xml:space="preserve"> dans le cadr</w:t>
      </w:r>
      <w:r>
        <w:rPr>
          <w:rStyle w:val="Aucun"/>
          <w:rFonts w:ascii="Segoe Condensed" w:eastAsia="Segoe Condensed" w:hAnsi="Segoe Condensed" w:cs="Segoe Condensed"/>
          <w:sz w:val="24"/>
          <w:szCs w:val="24"/>
        </w:rPr>
        <w:t xml:space="preserve">e du financement de projets d´investissement comportant de grands travaux de génie civil, ainsi que les lois nationales de la RDC relatives à la protection de l’environnement. </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À la suite de l’évaluation environnementale et sociale conduite par la Banque m</w:t>
      </w:r>
      <w:r>
        <w:rPr>
          <w:rStyle w:val="Aucun"/>
          <w:rFonts w:ascii="Segoe Condensed" w:eastAsia="Segoe Condensed" w:hAnsi="Segoe Condensed" w:cs="Segoe Condensed"/>
          <w:sz w:val="24"/>
          <w:szCs w:val="24"/>
        </w:rPr>
        <w:t>ondiale, le niveau du risque de la mise en œuvre du PURUK a été jugé Substantiel pour le risque Environnemental et Elevé pour le risque Social. Huit sur les dix Normes environnementales et Sociales (NES) ont été jugées pertinentes pour ce projet. Il s’agit</w:t>
      </w:r>
      <w:r>
        <w:rPr>
          <w:rStyle w:val="Aucun"/>
          <w:rFonts w:ascii="Segoe Condensed" w:eastAsia="Segoe Condensed" w:hAnsi="Segoe Condensed" w:cs="Segoe Condensed"/>
          <w:sz w:val="24"/>
          <w:szCs w:val="24"/>
        </w:rPr>
        <w:t xml:space="preserve"> des NES : 1, 2, 3, 4, 5, 6 ,8 et 10 : </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Par conséquent, le processus de réinstallation involontaire exige au préalable l’élaboration d’un plan d’action de réinstallation (PAR) et ce, conformément à la norme environnementale et sociale NES n°5 liée à l’acqu</w:t>
      </w:r>
      <w:r>
        <w:rPr>
          <w:rStyle w:val="Aucun"/>
          <w:rFonts w:ascii="Segoe Condensed" w:eastAsia="Segoe Condensed" w:hAnsi="Segoe Condensed" w:cs="Segoe Condensed"/>
          <w:sz w:val="24"/>
          <w:szCs w:val="24"/>
        </w:rPr>
        <w:t xml:space="preserve">isition des terres, restrictions à l’utilisation des terres et réinstallation forcée. </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La NES5 se résume en ces termes : NES n° 5 (Acquisition de terres, restrictions à l’utilisation de terres et réinstallation involontaire) : elle reconnaît que l’acquisit</w:t>
      </w:r>
      <w:r>
        <w:rPr>
          <w:rStyle w:val="Aucun"/>
          <w:rFonts w:ascii="Segoe Condensed" w:eastAsia="Segoe Condensed" w:hAnsi="Segoe Condensed" w:cs="Segoe Condensed"/>
          <w:sz w:val="24"/>
          <w:szCs w:val="24"/>
        </w:rPr>
        <w:t>ion de terres en rapport avec le projet et  la restriction à leur utilisation peuvent avoir des effets néfastes sur les communautés et les populations. L’acquisition de terres ou la restriction à l’utilisation peuvent entraîner le déplacement physique (dém</w:t>
      </w:r>
      <w:r>
        <w:rPr>
          <w:rStyle w:val="Aucun"/>
          <w:rFonts w:ascii="Segoe Condensed" w:eastAsia="Segoe Condensed" w:hAnsi="Segoe Condensed" w:cs="Segoe Condensed"/>
          <w:sz w:val="24"/>
          <w:szCs w:val="24"/>
        </w:rPr>
        <w:t>énagement, perte de terrain résidentiel ou de logement), le déplacement économique (perte de terres, d’actifs ou d’accès à ces actifs, qui donne notamment lieu à une perte de source de revenus ou d’autres moyens de subsistance), ou les deux. La « réinstall</w:t>
      </w:r>
      <w:r>
        <w:rPr>
          <w:rStyle w:val="Aucun"/>
          <w:rFonts w:ascii="Segoe Condensed" w:eastAsia="Segoe Condensed" w:hAnsi="Segoe Condensed" w:cs="Segoe Condensed"/>
          <w:sz w:val="24"/>
          <w:szCs w:val="24"/>
        </w:rPr>
        <w:t>ation involontaire » se rapporte à ces effets. La réinstallation est considérée comme involontaire lorsque les personnes ou les communautés touchées n’ont pas le droit de refuser l’acquisition de terres ou les restrictions à leur utilisation qui est à l’or</w:t>
      </w:r>
      <w:r>
        <w:rPr>
          <w:rStyle w:val="Aucun"/>
          <w:rFonts w:ascii="Segoe Condensed" w:eastAsia="Segoe Condensed" w:hAnsi="Segoe Condensed" w:cs="Segoe Condensed"/>
          <w:sz w:val="24"/>
          <w:szCs w:val="24"/>
        </w:rPr>
        <w:t>igine du déplacement.</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Ainsi, les présents termes de référence sont rédigés en vue du recrutement d'un Consultant Individuel pour l’élaboration du Plan d’Action de Réinstallation (PAR) pour les trois (03) sites prioritaires du PURUK, notamment les sites de </w:t>
      </w:r>
      <w:r>
        <w:rPr>
          <w:rStyle w:val="Aucun"/>
          <w:rFonts w:ascii="Segoe Condensed" w:eastAsia="Segoe Condensed" w:hAnsi="Segoe Condensed" w:cs="Segoe Condensed"/>
          <w:sz w:val="24"/>
          <w:szCs w:val="24"/>
        </w:rPr>
        <w:t>: AEROPORT, SNCC et PK706.</w:t>
      </w:r>
    </w:p>
    <w:p w:rsidR="00A90091" w:rsidRDefault="00800EB2">
      <w:pPr>
        <w:pStyle w:val="Paragraphedeliste"/>
        <w:numPr>
          <w:ilvl w:val="0"/>
          <w:numId w:val="3"/>
        </w:numPr>
        <w:jc w:val="both"/>
        <w:rPr>
          <w:rFonts w:ascii="Segoe Condensed" w:eastAsia="Segoe Condensed" w:hAnsi="Segoe Condensed" w:cs="Segoe Condensed"/>
          <w:b/>
          <w:bCs/>
          <w:sz w:val="24"/>
          <w:szCs w:val="24"/>
        </w:rPr>
      </w:pPr>
      <w:r>
        <w:rPr>
          <w:rStyle w:val="Aucun"/>
          <w:rFonts w:ascii="Segoe Condensed" w:eastAsia="Segoe Condensed" w:hAnsi="Segoe Condensed" w:cs="Segoe Condensed"/>
          <w:b/>
          <w:bCs/>
          <w:sz w:val="24"/>
          <w:szCs w:val="24"/>
        </w:rPr>
        <w:t>DESCRIPTION DU SOUS PROJET OBJET DES PRESENTS TDR</w:t>
      </w:r>
    </w:p>
    <w:p w:rsidR="00A90091" w:rsidRDefault="00800EB2">
      <w:pPr>
        <w:tabs>
          <w:tab w:val="left" w:pos="426"/>
        </w:tabs>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 projet PURUK est structuré autour des quatre</w:t>
      </w:r>
      <w:r>
        <w:rPr>
          <w:rStyle w:val="Aucun"/>
          <w:rFonts w:ascii="Segoe Condensed" w:eastAsia="Segoe Condensed" w:hAnsi="Segoe Condensed" w:cs="Segoe Condensed"/>
          <w:spacing w:val="-1"/>
          <w:sz w:val="24"/>
          <w:szCs w:val="24"/>
        </w:rPr>
        <w:t xml:space="preserve"> (4) </w:t>
      </w:r>
      <w:r>
        <w:rPr>
          <w:rStyle w:val="Aucun"/>
          <w:rFonts w:ascii="Segoe Condensed" w:eastAsia="Segoe Condensed" w:hAnsi="Segoe Condensed" w:cs="Segoe Condensed"/>
          <w:sz w:val="24"/>
          <w:szCs w:val="24"/>
        </w:rPr>
        <w:t>composantes ci-après</w:t>
      </w:r>
      <w:r>
        <w:rPr>
          <w:rStyle w:val="Aucun"/>
          <w:rFonts w:ascii="Segoe Condensed" w:eastAsia="Segoe Condensed" w:hAnsi="Segoe Condensed" w:cs="Segoe Condensed"/>
          <w:spacing w:val="2"/>
          <w:sz w:val="24"/>
          <w:szCs w:val="24"/>
        </w:rPr>
        <w:t xml:space="preserve"> </w:t>
      </w:r>
      <w:r>
        <w:rPr>
          <w:rStyle w:val="Aucun"/>
          <w:rFonts w:ascii="Segoe Condensed" w:eastAsia="Segoe Condensed" w:hAnsi="Segoe Condensed" w:cs="Segoe Condensed"/>
          <w:sz w:val="24"/>
          <w:szCs w:val="24"/>
        </w:rPr>
        <w:t>: (i) la composante 1 : Interventions d'urgence ; (ii) la Composante 2 : Développement urbain intégré et r</w:t>
      </w:r>
      <w:r>
        <w:rPr>
          <w:rStyle w:val="Aucun"/>
          <w:rFonts w:ascii="Segoe Condensed" w:eastAsia="Segoe Condensed" w:hAnsi="Segoe Condensed" w:cs="Segoe Condensed"/>
          <w:sz w:val="24"/>
          <w:szCs w:val="24"/>
        </w:rPr>
        <w:t xml:space="preserve">ésilient ; (iii) la composante 3 : Gestion du projet et soutien à la mise en œuvre ; et (iv) la composante 4 : Composante d’intervention d’urgence contingente (CERC). </w:t>
      </w:r>
    </w:p>
    <w:p w:rsidR="00A90091" w:rsidRDefault="00800EB2">
      <w:pPr>
        <w:tabs>
          <w:tab w:val="left" w:pos="426"/>
        </w:tabs>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Les activités à financer par le Project comprennent entre autres : l’assistance techniqu</w:t>
      </w:r>
      <w:r>
        <w:rPr>
          <w:rStyle w:val="Aucun"/>
          <w:rFonts w:ascii="Segoe Condensed" w:eastAsia="Segoe Condensed" w:hAnsi="Segoe Condensed" w:cs="Segoe Condensed"/>
          <w:sz w:val="24"/>
          <w:szCs w:val="24"/>
        </w:rPr>
        <w:t>e, actions et mesures d’endiguement d’urgence à Kananga sur trois sites prioritaires, réhabilitation, reconstruction et modernisation des infrastructures critiques, et la construction et/ou reconstruction d’installations de drainage et d’infrastructures. L</w:t>
      </w:r>
      <w:r>
        <w:rPr>
          <w:rStyle w:val="Aucun"/>
          <w:rFonts w:ascii="Segoe Condensed" w:eastAsia="Segoe Condensed" w:hAnsi="Segoe Condensed" w:cs="Segoe Condensed"/>
          <w:sz w:val="24"/>
          <w:szCs w:val="24"/>
        </w:rPr>
        <w:t xml:space="preserve">es activités d’assistance technique au titre de la composante 2 (plans directeurs de développement urbain et plans de </w:t>
      </w:r>
      <w:r>
        <w:rPr>
          <w:rStyle w:val="Aucun"/>
          <w:rFonts w:ascii="Segoe Condensed" w:eastAsia="Segoe Condensed" w:hAnsi="Segoe Condensed" w:cs="Segoe Condensed"/>
          <w:sz w:val="24"/>
          <w:szCs w:val="24"/>
        </w:rPr>
        <w:lastRenderedPageBreak/>
        <w:t>zonage, plans directeurs d’assainissement et de drainage des eaux pluviales au niveau de la ville, études de faisabilité, etc.) pourront d</w:t>
      </w:r>
      <w:r>
        <w:rPr>
          <w:rStyle w:val="Aucun"/>
          <w:rFonts w:ascii="Segoe Condensed" w:eastAsia="Segoe Condensed" w:hAnsi="Segoe Condensed" w:cs="Segoe Condensed"/>
          <w:sz w:val="24"/>
          <w:szCs w:val="24"/>
        </w:rPr>
        <w:t>éboucher sur des investissements futurs.</w:t>
      </w:r>
    </w:p>
    <w:p w:rsidR="00A90091" w:rsidRDefault="00800EB2">
      <w:pPr>
        <w:tabs>
          <w:tab w:val="left" w:pos="426"/>
        </w:tabs>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En effet, la composante 1 du Projet soutiendra des mesures de confinement immédiates et d'urgence sur trois sites prioritaires sélectionnés afin de limiter les dommages et de faire face aux menaces immédiates sur le</w:t>
      </w:r>
      <w:r>
        <w:rPr>
          <w:rStyle w:val="Aucun"/>
          <w:rFonts w:ascii="Segoe Condensed" w:eastAsia="Segoe Condensed" w:hAnsi="Segoe Condensed" w:cs="Segoe Condensed"/>
          <w:sz w:val="24"/>
          <w:szCs w:val="24"/>
        </w:rPr>
        <w:t>s habitations et les infrastructures essentielles, notamment l'aéroport, la route nationale n°1 (RN1) et la voie ferrée. Les activités comprendront, entre autres, des travaux visant à restreindre l'accès aux zones fortement érodées, la stabilisation des pa</w:t>
      </w:r>
      <w:r>
        <w:rPr>
          <w:rStyle w:val="Aucun"/>
          <w:rFonts w:ascii="Segoe Condensed" w:eastAsia="Segoe Condensed" w:hAnsi="Segoe Condensed" w:cs="Segoe Condensed"/>
          <w:sz w:val="24"/>
          <w:szCs w:val="24"/>
        </w:rPr>
        <w:t>rois des ravins à l'aide de différents matériaux (gabions, géotextiles, enherbement à l'intérieur des ravins, etc. Cela se fera par une combinaison de travaux de génie civil et de solutions naturelles pour stabiliser et réhabiliter les principaux ravins d'</w:t>
      </w:r>
      <w:r>
        <w:rPr>
          <w:rStyle w:val="Aucun"/>
          <w:rFonts w:ascii="Segoe Condensed" w:eastAsia="Segoe Condensed" w:hAnsi="Segoe Condensed" w:cs="Segoe Condensed"/>
          <w:sz w:val="24"/>
          <w:szCs w:val="24"/>
        </w:rPr>
        <w:t>érosion.</w:t>
      </w:r>
    </w:p>
    <w:p w:rsidR="00A90091" w:rsidRDefault="00800EB2">
      <w:pPr>
        <w:tabs>
          <w:tab w:val="left" w:pos="426"/>
        </w:tabs>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En effet, les impacts attendus de la réinstallation pour les trois sites prioritaires devraient être limités (c'était l'un des critères d'éligibilité pour les trois premiers sites prioritaires). Malgré l’absence d’</w:t>
      </w:r>
      <w:r>
        <w:rPr>
          <w:rStyle w:val="Aucun"/>
          <w:rFonts w:ascii="Segoe Condensed" w:eastAsia="Segoe Condensed" w:hAnsi="Segoe Condensed" w:cs="Segoe Condensed"/>
          <w:sz w:val="24"/>
          <w:szCs w:val="24"/>
        </w:rPr>
        <w:t>un screening environnemental et social pour les trois sites, à la suite des visites de terrain effectuées du 6 au 9 juin 2023 par l’équipe du projet, il a été constaté que sur les trois sites, en réalité seuls deux (SNCC et PK706) ont des problèmes de réin</w:t>
      </w:r>
      <w:r>
        <w:rPr>
          <w:rStyle w:val="Aucun"/>
          <w:rFonts w:ascii="Segoe Condensed" w:eastAsia="Segoe Condensed" w:hAnsi="Segoe Condensed" w:cs="Segoe Condensed"/>
          <w:sz w:val="24"/>
          <w:szCs w:val="24"/>
        </w:rPr>
        <w:t xml:space="preserve">stallation (Déplacement physique ou économique). En revanche, le site de la MONUSCO ne présente pas de réinstallation involontaire et aussi, les trois sites sont géographiquement séparés. </w:t>
      </w:r>
    </w:p>
    <w:p w:rsidR="00A90091" w:rsidRDefault="00800EB2">
      <w:pPr>
        <w:pStyle w:val="Paragraphedeliste"/>
        <w:numPr>
          <w:ilvl w:val="0"/>
          <w:numId w:val="3"/>
        </w:numPr>
        <w:jc w:val="both"/>
        <w:rPr>
          <w:rFonts w:ascii="Segoe Condensed" w:eastAsia="Segoe Condensed" w:hAnsi="Segoe Condensed" w:cs="Segoe Condensed"/>
          <w:b/>
          <w:bCs/>
          <w:sz w:val="24"/>
          <w:szCs w:val="24"/>
        </w:rPr>
      </w:pPr>
      <w:r>
        <w:rPr>
          <w:rStyle w:val="Aucun"/>
          <w:rFonts w:ascii="Segoe Condensed" w:eastAsia="Segoe Condensed" w:hAnsi="Segoe Condensed" w:cs="Segoe Condensed"/>
          <w:b/>
          <w:bCs/>
          <w:sz w:val="24"/>
          <w:szCs w:val="24"/>
        </w:rPr>
        <w:t>OBJECTIF ET PORTEE DU PAR</w:t>
      </w:r>
    </w:p>
    <w:p w:rsidR="00A90091" w:rsidRDefault="00800EB2">
      <w:pPr>
        <w:spacing w:before="120" w:after="120"/>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 PAR devra être préparé en conformité a</w:t>
      </w:r>
      <w:r>
        <w:rPr>
          <w:rStyle w:val="Aucun"/>
          <w:rFonts w:ascii="Segoe Condensed" w:eastAsia="Segoe Condensed" w:hAnsi="Segoe Condensed" w:cs="Segoe Condensed"/>
          <w:sz w:val="24"/>
          <w:szCs w:val="24"/>
        </w:rPr>
        <w:t>vec la législation nationale de la RDC et la NES n°5 de la Banque mondiale, relative à l’acquisition de terres, restrictions à l’utilisation de terres et réinstallation involontaire du CES. En accordance avec le Cadre de Politique de Réinstallation (CPR) d</w:t>
      </w:r>
      <w:r>
        <w:rPr>
          <w:rStyle w:val="Aucun"/>
          <w:rFonts w:ascii="Segoe Condensed" w:eastAsia="Segoe Condensed" w:hAnsi="Segoe Condensed" w:cs="Segoe Condensed"/>
          <w:sz w:val="24"/>
          <w:szCs w:val="24"/>
        </w:rPr>
        <w:t xml:space="preserve">u projet PURUK qui a été validé et publié le 08 septembre 2022, le PAR définira les principes et les modalités de mise en place des actions d’indemnisation et de réinstallation des personnes affectées par le projet. </w:t>
      </w:r>
    </w:p>
    <w:p w:rsidR="00A90091" w:rsidRDefault="00800EB2">
      <w:pPr>
        <w:spacing w:before="120" w:after="120"/>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Ainsi, les objectifs du Plan d’Action </w:t>
      </w:r>
      <w:r>
        <w:rPr>
          <w:rStyle w:val="Aucun"/>
          <w:rFonts w:ascii="Segoe Condensed" w:eastAsia="Segoe Condensed" w:hAnsi="Segoe Condensed" w:cs="Segoe Condensed"/>
          <w:sz w:val="24"/>
          <w:szCs w:val="24"/>
        </w:rPr>
        <w:t>de Réinstallation (PAR) consistent en la mise en place des mécanismes de minimisation des impacts sociaux afin de prendre en compte les impacts du déplacement involontaire des populations affectées par le Projet, en leur permettant de reconstituer leurs mo</w:t>
      </w:r>
      <w:r>
        <w:rPr>
          <w:rStyle w:val="Aucun"/>
          <w:rFonts w:ascii="Segoe Condensed" w:eastAsia="Segoe Condensed" w:hAnsi="Segoe Condensed" w:cs="Segoe Condensed"/>
          <w:sz w:val="24"/>
          <w:szCs w:val="24"/>
        </w:rPr>
        <w:t>yens de subsistance et leur niveau de vie. Il s’agit également de restaurer les moyens de production et les revenus au niveau individuel et collectif supérieur ou égal à la condition initiale.</w:t>
      </w:r>
    </w:p>
    <w:p w:rsidR="00A90091" w:rsidRDefault="00800EB2">
      <w:pPr>
        <w:spacing w:before="120" w:after="120"/>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En outre, l’objectif de la NES n°5 est de :</w:t>
      </w:r>
    </w:p>
    <w:p w:rsidR="00A90091" w:rsidRDefault="00800EB2">
      <w:pPr>
        <w:numPr>
          <w:ilvl w:val="0"/>
          <w:numId w:val="5"/>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Eviter la réinstall</w:t>
      </w:r>
      <w:r>
        <w:rPr>
          <w:rStyle w:val="Aucun"/>
          <w:rFonts w:ascii="Segoe Condensed" w:eastAsia="Segoe Condensed" w:hAnsi="Segoe Condensed" w:cs="Segoe Condensed"/>
          <w:sz w:val="24"/>
          <w:szCs w:val="24"/>
        </w:rPr>
        <w:t>ation forcée ou, lorsqu’elle est inévitable, la minimiser en envisageant des solutions de rechange lors de la conception du projet ;</w:t>
      </w:r>
    </w:p>
    <w:p w:rsidR="00A90091" w:rsidRDefault="00800EB2">
      <w:pPr>
        <w:numPr>
          <w:ilvl w:val="0"/>
          <w:numId w:val="5"/>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Eviter l’expulsion forcée</w:t>
      </w:r>
      <w:r>
        <w:rPr>
          <w:rStyle w:val="FootnoteReferenceFNRefeCharCharCarBVICar16PointBVIfnrFootnoteFootnoteReferenceNumberFootnoteReference1FootnoteReferenceLVL6FootnoteReferenceLVL61FootnoteReferenceLVL62FootnoteReferenceLVL63FootnoteReferenceLVL64fr"/>
          <w:rFonts w:ascii="Segoe Condensed" w:eastAsia="Segoe Condensed" w:hAnsi="Segoe Condensed" w:cs="Segoe Condensed"/>
          <w:sz w:val="24"/>
          <w:szCs w:val="24"/>
        </w:rPr>
        <w:footnoteReference w:id="4"/>
      </w:r>
      <w:r>
        <w:rPr>
          <w:rStyle w:val="Aucun"/>
          <w:rFonts w:ascii="Segoe Condensed" w:eastAsia="Segoe Condensed" w:hAnsi="Segoe Condensed" w:cs="Segoe Condensed"/>
          <w:sz w:val="24"/>
          <w:szCs w:val="24"/>
        </w:rPr>
        <w:t> ;</w:t>
      </w:r>
    </w:p>
    <w:p w:rsidR="00A90091" w:rsidRDefault="00800EB2">
      <w:pPr>
        <w:numPr>
          <w:ilvl w:val="0"/>
          <w:numId w:val="5"/>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lastRenderedPageBreak/>
        <w:t xml:space="preserve">Atténuer les effets sociaux, économiques et EAS/HS néfastes de l’acquisition de terres ou des </w:t>
      </w:r>
      <w:r>
        <w:rPr>
          <w:rStyle w:val="Aucun"/>
          <w:rFonts w:ascii="Segoe Condensed" w:eastAsia="Segoe Condensed" w:hAnsi="Segoe Condensed" w:cs="Segoe Condensed"/>
          <w:sz w:val="24"/>
          <w:szCs w:val="24"/>
        </w:rPr>
        <w:t>restrictions à l’utilisation qui en est faite, spécialement comment ces impacts se réaffectent dans la population plus vulnérables; grâce aux mesures ci-après : a) assurer une indemnisation rapide au coût de remplacement actuel des personnes spoliées de le</w:t>
      </w:r>
      <w:r>
        <w:rPr>
          <w:rStyle w:val="Aucun"/>
          <w:rFonts w:ascii="Segoe Condensed" w:eastAsia="Segoe Condensed" w:hAnsi="Segoe Condensed" w:cs="Segoe Condensed"/>
          <w:sz w:val="24"/>
          <w:szCs w:val="24"/>
        </w:rPr>
        <w:t>urs biens et b) aider les personnes déplacées à améliorer, ou au moins rétablir en termes réels, leurs moyens de subsistance et leur niveau de vie d’avant leur déplacement ou celui d’avant le démarrage de la mise en œuvre du projet, l’option la plus avanta</w:t>
      </w:r>
      <w:r>
        <w:rPr>
          <w:rStyle w:val="Aucun"/>
          <w:rFonts w:ascii="Segoe Condensed" w:eastAsia="Segoe Condensed" w:hAnsi="Segoe Condensed" w:cs="Segoe Condensed"/>
          <w:sz w:val="24"/>
          <w:szCs w:val="24"/>
        </w:rPr>
        <w:t>geuse étant à retenir.</w:t>
      </w:r>
    </w:p>
    <w:p w:rsidR="00A90091" w:rsidRDefault="00800EB2">
      <w:pPr>
        <w:numPr>
          <w:ilvl w:val="0"/>
          <w:numId w:val="5"/>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Améliorer les conditions de vie des personnes pauvres ou vulnérables qui sont déplacées physiquement en leur garantissant un logement adéquat, l’accès aux services et aux équipements, ainsi que des mesures de sécurité de jouissance</w:t>
      </w:r>
      <w:r>
        <w:rPr>
          <w:rStyle w:val="FootnoteReferenceFNRefeCharCharCarBVICar16PointBVIfnrFootnoteFootnoteReferenceNumberFootnoteReference1FootnoteReferenceLVL6FootnoteReferenceLVL61FootnoteReferenceLVL62FootnoteReferenceLVL63FootnoteReferenceLVL64fr"/>
          <w:rFonts w:ascii="Segoe Condensed" w:eastAsia="Segoe Condensed" w:hAnsi="Segoe Condensed" w:cs="Segoe Condensed"/>
          <w:sz w:val="24"/>
          <w:szCs w:val="24"/>
        </w:rPr>
        <w:footnoteReference w:id="5"/>
      </w:r>
      <w:r>
        <w:rPr>
          <w:rStyle w:val="Aucun"/>
          <w:rFonts w:ascii="Segoe Condensed" w:eastAsia="Segoe Condensed" w:hAnsi="Segoe Condensed" w:cs="Segoe Condensed"/>
          <w:sz w:val="24"/>
          <w:szCs w:val="24"/>
        </w:rPr>
        <w:t>.</w:t>
      </w:r>
    </w:p>
    <w:p w:rsidR="00A90091" w:rsidRDefault="00800EB2">
      <w:pPr>
        <w:numPr>
          <w:ilvl w:val="0"/>
          <w:numId w:val="5"/>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Concevoir et mettre en œuvre les activités de la réinstallation involontaire comme un programme de développement durable, en fournissant suffisamment de ressources d’investissement pour permettre aux personnes déplacées de tirer directement parti du proje</w:t>
      </w:r>
      <w:r>
        <w:rPr>
          <w:rStyle w:val="Aucun"/>
          <w:rFonts w:ascii="Segoe Condensed" w:eastAsia="Segoe Condensed" w:hAnsi="Segoe Condensed" w:cs="Segoe Condensed"/>
          <w:sz w:val="24"/>
          <w:szCs w:val="24"/>
        </w:rPr>
        <w:t>t, selon la nature de celui-ci et ’l’appui aux populations vulnérables (y inclus les personnes vivant avec un handicap, les personnes âgées, les enfants de la rue et orphelins, etc.)</w:t>
      </w:r>
    </w:p>
    <w:p w:rsidR="00A90091" w:rsidRDefault="00800EB2">
      <w:pPr>
        <w:numPr>
          <w:ilvl w:val="0"/>
          <w:numId w:val="5"/>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Veiller à ce que l’information soit bien disséminée, que de réelles consu</w:t>
      </w:r>
      <w:r>
        <w:rPr>
          <w:rStyle w:val="Aucun"/>
          <w:rFonts w:ascii="Segoe Condensed" w:eastAsia="Segoe Condensed" w:hAnsi="Segoe Condensed" w:cs="Segoe Condensed"/>
          <w:sz w:val="24"/>
          <w:szCs w:val="24"/>
        </w:rPr>
        <w:t>ltations aient lieu, et que les personnes affectées participent de manière éclairée à la planification et la mise en œuvre des activités de réinstallation.</w:t>
      </w:r>
    </w:p>
    <w:p w:rsidR="00A90091" w:rsidRDefault="00800EB2">
      <w:pPr>
        <w:spacing w:before="120" w:after="120"/>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Un accent particulier sera mis sur les femmes, les enfants et d’autres groupes à risque, chaque grou</w:t>
      </w:r>
      <w:r>
        <w:rPr>
          <w:rStyle w:val="Aucun"/>
          <w:rFonts w:ascii="Segoe Condensed" w:eastAsia="Segoe Condensed" w:hAnsi="Segoe Condensed" w:cs="Segoe Condensed"/>
          <w:sz w:val="24"/>
          <w:szCs w:val="24"/>
        </w:rPr>
        <w:t xml:space="preserve">pe pourra nécessiter des approches différentes de façon à créer un espace de discussion sûr et accessible, ainsi que les consultations seront amenées par de personne du même sexe  Le consultant doit inclure des perspectives et préoccupations des femmes et </w:t>
      </w:r>
      <w:r>
        <w:rPr>
          <w:rStyle w:val="Aucun"/>
          <w:rFonts w:ascii="Segoe Condensed" w:eastAsia="Segoe Condensed" w:hAnsi="Segoe Condensed" w:cs="Segoe Condensed"/>
          <w:sz w:val="24"/>
          <w:szCs w:val="24"/>
        </w:rPr>
        <w:t>autres groupes vulnérables (personnes avec handicap, personnes âgées, etc.) dans les consultations et les recommandations du PAR conformément au plan d'action EAS/HS et  au PMPP du projet PURUK. Conscient du rapport de force entre les sexes et de la dynami</w:t>
      </w:r>
      <w:r>
        <w:rPr>
          <w:rStyle w:val="Aucun"/>
          <w:rFonts w:ascii="Segoe Condensed" w:eastAsia="Segoe Condensed" w:hAnsi="Segoe Condensed" w:cs="Segoe Condensed"/>
          <w:sz w:val="24"/>
          <w:szCs w:val="24"/>
        </w:rPr>
        <w:t>que sociale au sein d’une communauté ainsi que de la manière dont ceux-ci peuvent inhiber la participation, il est essentiel de s’assurer que les femmes, les hommes et les enfants qui seront touchés par l’activité disposent des espaces nécessaires pour pre</w:t>
      </w:r>
      <w:r>
        <w:rPr>
          <w:rStyle w:val="Aucun"/>
          <w:rFonts w:ascii="Segoe Condensed" w:eastAsia="Segoe Condensed" w:hAnsi="Segoe Condensed" w:cs="Segoe Condensed"/>
          <w:sz w:val="24"/>
          <w:szCs w:val="24"/>
        </w:rPr>
        <w:t>ndre part aux consultations</w:t>
      </w:r>
      <w:r>
        <w:rPr>
          <w:rStyle w:val="Aucun"/>
          <w:rFonts w:ascii="Segoe Condensed" w:eastAsia="Segoe Condensed" w:hAnsi="Segoe Condensed" w:cs="Segoe Condensed"/>
          <w:sz w:val="24"/>
          <w:szCs w:val="24"/>
          <w:vertAlign w:val="superscript"/>
        </w:rPr>
        <w:footnoteReference w:id="6"/>
      </w:r>
      <w:r>
        <w:rPr>
          <w:rStyle w:val="Aucun"/>
          <w:rFonts w:ascii="Segoe Condensed" w:eastAsia="Segoe Condensed" w:hAnsi="Segoe Condensed" w:cs="Segoe Condensed"/>
          <w:sz w:val="24"/>
          <w:szCs w:val="24"/>
        </w:rPr>
        <w:t>.</w:t>
      </w:r>
    </w:p>
    <w:p w:rsidR="00A90091" w:rsidRDefault="00800EB2">
      <w:pPr>
        <w:spacing w:before="120" w:after="120"/>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Aussi, sera-t-il proposé, sur base du PMPP et du MGP Global du projet PURUK, un ensemble de procédures, de processus et de structures par lesquels les plaintes ainsi que les problèmes qui surgiraient dans sa mise en œuvre du P</w:t>
      </w:r>
      <w:r>
        <w:rPr>
          <w:rStyle w:val="Aucun"/>
          <w:rFonts w:ascii="Segoe Condensed" w:eastAsia="Segoe Condensed" w:hAnsi="Segoe Condensed" w:cs="Segoe Condensed"/>
          <w:sz w:val="24"/>
          <w:szCs w:val="24"/>
        </w:rPr>
        <w:t xml:space="preserve">AR, seront résolues. Ce mécanisme visera à fournir aux personnes et communautés qui se sentent lésées par les activités de mise en œuvre du PAR </w:t>
      </w:r>
      <w:r>
        <w:rPr>
          <w:rStyle w:val="Aucun"/>
          <w:rFonts w:ascii="Segoe Condensed" w:eastAsia="Segoe Condensed" w:hAnsi="Segoe Condensed" w:cs="Segoe Condensed"/>
          <w:sz w:val="24"/>
          <w:szCs w:val="24"/>
        </w:rPr>
        <w:lastRenderedPageBreak/>
        <w:t xml:space="preserve">sur les trois sites concernés, des possibilités accessibles, rapides, efficaces et culturellement adaptées pour </w:t>
      </w:r>
      <w:r>
        <w:rPr>
          <w:rStyle w:val="Aucun"/>
          <w:rFonts w:ascii="Segoe Condensed" w:eastAsia="Segoe Condensed" w:hAnsi="Segoe Condensed" w:cs="Segoe Condensed"/>
          <w:sz w:val="24"/>
          <w:szCs w:val="24"/>
        </w:rPr>
        <w:t xml:space="preserve">soumettre leurs plaintes et préoccupations. Les procédures garantiront que les plaintes EAS/HS soient traitées de manière éthique et confidentielles avec une approche centrée sur la survivante. </w:t>
      </w:r>
    </w:p>
    <w:p w:rsidR="00A90091" w:rsidRDefault="00800EB2">
      <w:pPr>
        <w:pStyle w:val="Paragraphedeliste"/>
        <w:numPr>
          <w:ilvl w:val="0"/>
          <w:numId w:val="6"/>
        </w:numPr>
        <w:jc w:val="both"/>
        <w:rPr>
          <w:rFonts w:ascii="Segoe Condensed" w:eastAsia="Segoe Condensed" w:hAnsi="Segoe Condensed" w:cs="Segoe Condensed"/>
          <w:b/>
          <w:bCs/>
          <w:sz w:val="24"/>
          <w:szCs w:val="24"/>
        </w:rPr>
      </w:pPr>
      <w:r>
        <w:rPr>
          <w:rStyle w:val="Aucun"/>
          <w:rFonts w:ascii="Segoe Condensed" w:eastAsia="Segoe Condensed" w:hAnsi="Segoe Condensed" w:cs="Segoe Condensed"/>
          <w:b/>
          <w:bCs/>
          <w:sz w:val="24"/>
          <w:szCs w:val="24"/>
        </w:rPr>
        <w:t>CONSISTANCE DE LA MISSION DU CONSULTANT</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Sans être exhaustives</w:t>
      </w:r>
      <w:r>
        <w:rPr>
          <w:rStyle w:val="Aucun"/>
          <w:rFonts w:ascii="Segoe Condensed" w:eastAsia="Segoe Condensed" w:hAnsi="Segoe Condensed" w:cs="Segoe Condensed"/>
          <w:sz w:val="24"/>
          <w:szCs w:val="24"/>
        </w:rPr>
        <w:t xml:space="preserve">, les tâches assignées au consultant sont les suivantes :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Préparer un PAR en conformité avec les lois de la RDC et les NES n°1, 5 et 10 du CES de la Banque Mondiale, en se basant sur les orientations du CPR du projet PURUK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Définir les critères et les ac</w:t>
      </w:r>
      <w:r>
        <w:rPr>
          <w:rStyle w:val="Aucun"/>
          <w:rFonts w:ascii="Segoe Condensed" w:eastAsia="Segoe Condensed" w:hAnsi="Segoe Condensed" w:cs="Segoe Condensed"/>
          <w:sz w:val="24"/>
          <w:szCs w:val="24"/>
        </w:rPr>
        <w:t>tivités de suivi et évaluation de la mise en œuvre du PAR ainsi que les dispositifs institutionnels (rôles et responsabilités)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Visiter les zones d’impact en matière de réinstallation involontaire, particulièrement les trois (03) sites prioritaires du Pro</w:t>
      </w:r>
      <w:r>
        <w:rPr>
          <w:rStyle w:val="Aucun"/>
          <w:rFonts w:ascii="Segoe Condensed" w:eastAsia="Segoe Condensed" w:hAnsi="Segoe Condensed" w:cs="Segoe Condensed"/>
          <w:sz w:val="24"/>
          <w:szCs w:val="24"/>
        </w:rPr>
        <w:t>jet d’Urgence et Résilience Urbaine de Kananga (PURUK), notamment les sites de : AEROPORT (Vérifier les impacts en matière de réinstallation involontaire sur base du screening), SNCC et PK706 (Réaliser l'enquête et les consultations publiques ) ;</w:t>
      </w:r>
    </w:p>
    <w:p w:rsidR="00A90091" w:rsidRDefault="00A90091">
      <w:pPr>
        <w:ind w:left="426"/>
        <w:jc w:val="both"/>
        <w:rPr>
          <w:rStyle w:val="Aucun"/>
          <w:rFonts w:ascii="Segoe Condensed" w:eastAsia="Segoe Condensed" w:hAnsi="Segoe Condensed" w:cs="Segoe Condensed"/>
          <w:sz w:val="24"/>
          <w:szCs w:val="24"/>
        </w:rPr>
      </w:pP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Organise</w:t>
      </w:r>
      <w:r>
        <w:rPr>
          <w:rStyle w:val="Aucun"/>
          <w:rFonts w:ascii="Segoe Condensed" w:eastAsia="Segoe Condensed" w:hAnsi="Segoe Condensed" w:cs="Segoe Condensed"/>
          <w:sz w:val="24"/>
          <w:szCs w:val="24"/>
        </w:rPr>
        <w:t>r des consultations du public (Conduire les consultations du public conformément au Plan de Mobilisation des Parties Prenantes (PMPP) du PURUK assortie de sa stratégie et aux lignes directrices de la Banque mondiale pour le processus de participation étant</w:t>
      </w:r>
      <w:r>
        <w:rPr>
          <w:rStyle w:val="Aucun"/>
          <w:rFonts w:ascii="Segoe Condensed" w:eastAsia="Segoe Condensed" w:hAnsi="Segoe Condensed" w:cs="Segoe Condensed"/>
          <w:sz w:val="24"/>
          <w:szCs w:val="24"/>
        </w:rPr>
        <w:t xml:space="preserve"> donné la situation due à la COVID-19 selon le guide technique de la Banque mondiale</w:t>
      </w:r>
      <w:r>
        <w:rPr>
          <w:rStyle w:val="FootnoteReferenceFNRefeCharCharCarBVICar16PointBVIfnrFootnoteFootnoteReferenceNumberFootnoteReference1FootnoteReferenceLVL6FootnoteReferenceLVL61FootnoteReferenceLVL62FootnoteReferenceLVL63FootnoteReferenceLVL64fr"/>
          <w:rFonts w:ascii="Segoe Condensed" w:eastAsia="Segoe Condensed" w:hAnsi="Segoe Condensed" w:cs="Segoe Condensed"/>
          <w:sz w:val="24"/>
          <w:szCs w:val="24"/>
        </w:rPr>
        <w:footnoteReference w:id="7"/>
      </w:r>
      <w:r>
        <w:rPr>
          <w:rStyle w:val="Aucun"/>
          <w:rFonts w:ascii="Segoe Condensed" w:eastAsia="Segoe Condensed" w:hAnsi="Segoe Condensed" w:cs="Segoe Condensed"/>
          <w:sz w:val="24"/>
          <w:szCs w:val="24"/>
        </w:rPr>
        <w:t>), la sensibilisation et l’information des populations et des autorités locales avec élaboration des procès-verbaux (PV) des réunions tenues avec les communautés locales e</w:t>
      </w:r>
      <w:r>
        <w:rPr>
          <w:rStyle w:val="Aucun"/>
          <w:rFonts w:ascii="Segoe Condensed" w:eastAsia="Segoe Condensed" w:hAnsi="Segoe Condensed" w:cs="Segoe Condensed"/>
          <w:sz w:val="24"/>
          <w:szCs w:val="24"/>
        </w:rPr>
        <w:t>t autres parties prenantes et surtout des personnes vulnérables. Ces consultations doivent permettre au Gouvernement de s’engager auprès des communautés touchées par le projet, y compris éventuellement les communautés d’accueil, ainsi qu’assurer que les fe</w:t>
      </w:r>
      <w:r>
        <w:rPr>
          <w:rStyle w:val="Aucun"/>
          <w:rFonts w:ascii="Segoe Condensed" w:eastAsia="Segoe Condensed" w:hAnsi="Segoe Condensed" w:cs="Segoe Condensed"/>
          <w:sz w:val="24"/>
          <w:szCs w:val="24"/>
        </w:rPr>
        <w:t>mmes et les couches les plus vulnérables des communautés y participent, ainsi que l’identification de leurs préoccupations et besoins par le biais du processus de participation des parties prenantes décrit dans NES 10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Avant le démarrage du recensement, c</w:t>
      </w:r>
      <w:r>
        <w:rPr>
          <w:rStyle w:val="Aucun"/>
          <w:rFonts w:ascii="Segoe Condensed" w:eastAsia="Segoe Condensed" w:hAnsi="Segoe Condensed" w:cs="Segoe Condensed"/>
          <w:sz w:val="24"/>
          <w:szCs w:val="24"/>
        </w:rPr>
        <w:t xml:space="preserve">onvenir en collaboration avec l’autorité locale, d’une date butoir au-delà de laquelle toute personne, famille ou entité qui viendrait s’installer ou utiliser le domaine de l’emprise des travaux ne serait pas éligible aux mesures d’indemnisation.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lastRenderedPageBreak/>
        <w:t xml:space="preserve">La date </w:t>
      </w:r>
      <w:r>
        <w:rPr>
          <w:rStyle w:val="Aucun"/>
          <w:rFonts w:ascii="Segoe Condensed" w:eastAsia="Segoe Condensed" w:hAnsi="Segoe Condensed" w:cs="Segoe Condensed"/>
          <w:sz w:val="24"/>
          <w:szCs w:val="24"/>
        </w:rPr>
        <w:t>butoir sera rendue publique par les autorités locales compétentes en collaboration avec le Consultant et l’UGP, tout en s’assurant que cette date butoir est diffusée largement auprès des communautés riveraines, en Français et en Tshiluba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Définir les matr</w:t>
      </w:r>
      <w:r>
        <w:rPr>
          <w:rStyle w:val="Aucun"/>
          <w:rFonts w:ascii="Segoe Condensed" w:eastAsia="Segoe Condensed" w:hAnsi="Segoe Condensed" w:cs="Segoe Condensed"/>
          <w:sz w:val="24"/>
          <w:szCs w:val="24"/>
        </w:rPr>
        <w:t>ices de l’éligibilité et des compensations en accordance avec le CPR du Projet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Réaliser des enquêtes ménage et profil socio-économique de la zone du projet ;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Identifier les personnes affectées par sexe sur les sites concernés et recenser les biens affec</w:t>
      </w:r>
      <w:r>
        <w:rPr>
          <w:rStyle w:val="Aucun"/>
          <w:rFonts w:ascii="Segoe Condensed" w:eastAsia="Segoe Condensed" w:hAnsi="Segoe Condensed" w:cs="Segoe Condensed"/>
          <w:sz w:val="24"/>
          <w:szCs w:val="24"/>
        </w:rPr>
        <w:t>tés (y compris leur géolocalisation, les photos des PAP, les empruntes selon leur préférence)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Recueillir des informations sur les personnes qui ont évacué la zone d'impact de chacun des trois sites, compte tenu des dangers que l'érosion faisait courir à </w:t>
      </w:r>
      <w:r>
        <w:rPr>
          <w:rStyle w:val="Aucun"/>
          <w:rFonts w:ascii="Segoe Condensed" w:eastAsia="Segoe Condensed" w:hAnsi="Segoe Condensed" w:cs="Segoe Condensed"/>
          <w:sz w:val="24"/>
          <w:szCs w:val="24"/>
        </w:rPr>
        <w:t>leurs habitations. En outre, il convient de déterminer l'état des habitations abandonnées et si elles peuvent être réoccupées une fois les mesures de stabilisation de l'érosion sont mises en place.</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Constituer la base des données des biens et des personnes </w:t>
      </w:r>
      <w:r>
        <w:rPr>
          <w:rStyle w:val="Aucun"/>
          <w:rFonts w:ascii="Segoe Condensed" w:eastAsia="Segoe Condensed" w:hAnsi="Segoe Condensed" w:cs="Segoe Condensed"/>
          <w:sz w:val="24"/>
          <w:szCs w:val="24"/>
        </w:rPr>
        <w:t>recensées, ventilées par sexe ;</w:t>
      </w:r>
    </w:p>
    <w:p w:rsidR="00A90091" w:rsidRDefault="00800EB2">
      <w:pPr>
        <w:numPr>
          <w:ilvl w:val="0"/>
          <w:numId w:val="8"/>
        </w:numPr>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Evaluer les biens et revenus affectés recensés (terrains, maisons, hangars, murs de clôture, cultures, perte de revenus/moyens de subsistance, …) ;  évaluer la mise en place d’</w:t>
      </w:r>
      <w:r>
        <w:rPr>
          <w:rStyle w:val="Aucun"/>
          <w:rFonts w:ascii="Segoe Condensed" w:eastAsia="Segoe Condensed" w:hAnsi="Segoe Condensed" w:cs="Segoe Condensed"/>
          <w:sz w:val="24"/>
          <w:szCs w:val="24"/>
        </w:rPr>
        <w:t>un plan de restauration de moyens de subsistance pour traiter ces impacts le cas échéant et ; estimer le coût global de la réinstallation;</w:t>
      </w:r>
    </w:p>
    <w:p w:rsidR="00A90091" w:rsidRDefault="00800EB2">
      <w:pPr>
        <w:numPr>
          <w:ilvl w:val="0"/>
          <w:numId w:val="8"/>
        </w:numPr>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Déterminer le régime foncier et les systèmes de cession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Présenter les détails relatifs aux coordonnées bancaires de</w:t>
      </w:r>
      <w:r>
        <w:rPr>
          <w:rStyle w:val="Aucun"/>
          <w:rFonts w:ascii="Segoe Condensed" w:eastAsia="Segoe Condensed" w:hAnsi="Segoe Condensed" w:cs="Segoe Condensed"/>
          <w:sz w:val="24"/>
          <w:szCs w:val="24"/>
        </w:rPr>
        <w:t>s PAP et leurs numéros de téléphone (Le paiement des indemnisations se fera par voie bancaire. Pour les montants inférieurs à 1.000 USD, la possibilité d’utiliser le mobile money sera envisagée).</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Identifier des groupes vulnérables et formuler des actions d</w:t>
      </w:r>
      <w:r>
        <w:rPr>
          <w:rStyle w:val="Aucun"/>
          <w:rFonts w:ascii="Segoe Condensed" w:eastAsia="Segoe Condensed" w:hAnsi="Segoe Condensed" w:cs="Segoe Condensed"/>
          <w:sz w:val="24"/>
          <w:szCs w:val="24"/>
        </w:rPr>
        <w:t>’accompagnement et d’assistance spécifiques nécessaires à leur endroit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Proposer la composition du comité de réinstallation et d’appui à la mise en œuvre du PAR ;</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Proposer, sur base du PMPP, du P</w:t>
      </w:r>
      <w:r>
        <w:rPr>
          <w:rStyle w:val="Aucun"/>
          <w:rFonts w:ascii="Segoe Condensed" w:eastAsia="Segoe Condensed" w:hAnsi="Segoe Condensed" w:cs="Segoe Condensed"/>
          <w:color w:val="222222"/>
          <w:sz w:val="24"/>
          <w:szCs w:val="24"/>
          <w:u w:color="222222"/>
        </w:rPr>
        <w:t>lan d'Action EAS/HS et</w:t>
      </w:r>
      <w:r>
        <w:rPr>
          <w:rStyle w:val="Aucun"/>
          <w:rFonts w:ascii="Segoe Condensed" w:eastAsia="Segoe Condensed" w:hAnsi="Segoe Condensed" w:cs="Segoe Condensed"/>
          <w:sz w:val="24"/>
          <w:szCs w:val="24"/>
        </w:rPr>
        <w:t xml:space="preserve"> du MGP Global du PURUK, un Mécanisme </w:t>
      </w:r>
      <w:r>
        <w:rPr>
          <w:rStyle w:val="Aucun"/>
          <w:rFonts w:ascii="Segoe Condensed" w:eastAsia="Segoe Condensed" w:hAnsi="Segoe Condensed" w:cs="Segoe Condensed"/>
          <w:sz w:val="24"/>
          <w:szCs w:val="24"/>
        </w:rPr>
        <w:t xml:space="preserve">de Gestion des Plaintes relatives à la réinstallation, </w:t>
      </w:r>
      <w:bookmarkStart w:id="1" w:name="_Int_EXyZ765u"/>
      <w:r>
        <w:rPr>
          <w:rStyle w:val="Aucun"/>
          <w:rFonts w:ascii="Segoe Condensed" w:eastAsia="Segoe Condensed" w:hAnsi="Segoe Condensed" w:cs="Segoe Condensed"/>
          <w:sz w:val="24"/>
          <w:szCs w:val="24"/>
        </w:rPr>
        <w:t>avec</w:t>
      </w:r>
      <w:bookmarkEnd w:id="1"/>
      <w:r>
        <w:rPr>
          <w:rStyle w:val="Aucun"/>
          <w:rFonts w:ascii="Segoe Condensed" w:eastAsia="Segoe Condensed" w:hAnsi="Segoe Condensed" w:cs="Segoe Condensed"/>
          <w:sz w:val="24"/>
          <w:szCs w:val="24"/>
        </w:rPr>
        <w:t xml:space="preserve"> plusieurs points d'entrée accessibles.</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Organiser l’atelier de la restitution du PAR à toutes les parties prenantes du projet et prendre en compte les éventuels amendements et commentaires de toute</w:t>
      </w:r>
      <w:r>
        <w:rPr>
          <w:rStyle w:val="Aucun"/>
          <w:rFonts w:ascii="Segoe Condensed" w:eastAsia="Segoe Condensed" w:hAnsi="Segoe Condensed" w:cs="Segoe Condensed"/>
          <w:sz w:val="24"/>
          <w:szCs w:val="24"/>
        </w:rPr>
        <w:t>s les parties prenantes dans la finalisation du PAR.</w:t>
      </w:r>
    </w:p>
    <w:p w:rsidR="00A90091" w:rsidRDefault="00800EB2">
      <w:pPr>
        <w:numPr>
          <w:ilvl w:val="0"/>
          <w:numId w:val="8"/>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Élaborer un budget détaillé des coûts du PAR (Comprenant les coûts d’inflation, les imprévus, la restauration de moyens de subsistance, l’opérationnalisation du MGP… )</w:t>
      </w:r>
    </w:p>
    <w:p w:rsidR="00A90091" w:rsidRDefault="00800EB2">
      <w:pPr>
        <w:tabs>
          <w:tab w:val="left" w:pos="426"/>
        </w:tabs>
        <w:spacing w:after="0"/>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u w:val="single"/>
        </w:rPr>
        <w:lastRenderedPageBreak/>
        <w:t>N.B </w:t>
      </w:r>
      <w:r>
        <w:rPr>
          <w:rStyle w:val="Aucun"/>
          <w:rFonts w:ascii="Segoe Condensed" w:eastAsia="Segoe Condensed" w:hAnsi="Segoe Condensed" w:cs="Segoe Condensed"/>
          <w:sz w:val="24"/>
          <w:szCs w:val="24"/>
        </w:rPr>
        <w:t xml:space="preserve">: Pour les questions sensibles </w:t>
      </w:r>
      <w:r>
        <w:rPr>
          <w:rStyle w:val="Aucun"/>
          <w:rFonts w:ascii="Segoe Condensed" w:eastAsia="Segoe Condensed" w:hAnsi="Segoe Condensed" w:cs="Segoe Condensed"/>
          <w:sz w:val="24"/>
          <w:szCs w:val="24"/>
        </w:rPr>
        <w:t>liées aux VBG/EAS/HS, le consultant va s’inspirer de la Note de bonnes pratiques et aussi au Plan d’Action EAS/HS préparé pour le PURUK. Pour ce faire, la spécialiste VBG du projet va appuyer le consultant avec notamment les procédures du MGP liées aux pla</w:t>
      </w:r>
      <w:r>
        <w:rPr>
          <w:rStyle w:val="Aucun"/>
          <w:rFonts w:ascii="Segoe Condensed" w:eastAsia="Segoe Condensed" w:hAnsi="Segoe Condensed" w:cs="Segoe Condensed"/>
          <w:sz w:val="24"/>
          <w:szCs w:val="24"/>
        </w:rPr>
        <w:t>intes EAS/HS.</w:t>
      </w:r>
    </w:p>
    <w:p w:rsidR="00A90091" w:rsidRDefault="00A90091">
      <w:pPr>
        <w:pStyle w:val="Paragraphedeliste"/>
        <w:ind w:left="426"/>
        <w:jc w:val="both"/>
        <w:rPr>
          <w:rStyle w:val="Aucun"/>
          <w:rFonts w:ascii="Segoe Condensed" w:eastAsia="Segoe Condensed" w:hAnsi="Segoe Condensed" w:cs="Segoe Condensed"/>
          <w:sz w:val="24"/>
          <w:szCs w:val="24"/>
        </w:rPr>
      </w:pPr>
    </w:p>
    <w:p w:rsidR="00A90091" w:rsidRDefault="00800EB2">
      <w:pPr>
        <w:pStyle w:val="Paragraphedeliste"/>
        <w:numPr>
          <w:ilvl w:val="0"/>
          <w:numId w:val="9"/>
        </w:numPr>
        <w:jc w:val="both"/>
        <w:rPr>
          <w:rFonts w:ascii="Segoe Condensed" w:eastAsia="Segoe Condensed" w:hAnsi="Segoe Condensed" w:cs="Segoe Condensed"/>
          <w:b/>
          <w:bCs/>
          <w:sz w:val="24"/>
          <w:szCs w:val="24"/>
        </w:rPr>
      </w:pPr>
      <w:r>
        <w:rPr>
          <w:rStyle w:val="Aucun"/>
          <w:rFonts w:ascii="Segoe Condensed" w:eastAsia="Segoe Condensed" w:hAnsi="Segoe Condensed" w:cs="Segoe Condensed"/>
          <w:b/>
          <w:bCs/>
          <w:sz w:val="24"/>
          <w:szCs w:val="24"/>
        </w:rPr>
        <w:t>CONTENU ET STRUCTURE DU PAR</w:t>
      </w:r>
    </w:p>
    <w:p w:rsidR="00A90091" w:rsidRDefault="00800EB2">
      <w:pPr>
        <w:spacing w:after="0"/>
        <w:jc w:val="both"/>
        <w:rPr>
          <w:rStyle w:val="Aucun"/>
          <w:rFonts w:ascii="Segoe Condensed" w:eastAsia="Segoe Condensed" w:hAnsi="Segoe Condensed" w:cs="Segoe Condensed"/>
          <w:kern w:val="28"/>
          <w:sz w:val="24"/>
          <w:szCs w:val="24"/>
        </w:rPr>
      </w:pPr>
      <w:r>
        <w:rPr>
          <w:rStyle w:val="Aucun"/>
          <w:rFonts w:ascii="Segoe Condensed" w:eastAsia="Segoe Condensed" w:hAnsi="Segoe Condensed" w:cs="Segoe Condensed"/>
          <w:kern w:val="28"/>
          <w:sz w:val="24"/>
          <w:szCs w:val="24"/>
        </w:rPr>
        <w:t>Le rapport sera rédigé selon la structure de base ci-après :</w:t>
      </w:r>
    </w:p>
    <w:p w:rsidR="00A90091" w:rsidRDefault="00A90091">
      <w:pPr>
        <w:pStyle w:val="Paragraphedeliste"/>
        <w:ind w:left="1080"/>
        <w:jc w:val="both"/>
        <w:rPr>
          <w:rStyle w:val="Aucun"/>
          <w:rFonts w:ascii="Segoe Condensed" w:eastAsia="Segoe Condensed" w:hAnsi="Segoe Condensed" w:cs="Segoe Condensed"/>
          <w:b/>
          <w:bCs/>
          <w:sz w:val="24"/>
          <w:szCs w:val="24"/>
        </w:rPr>
      </w:pP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Sommaire</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Acronymes</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Résumé exécutif (Non technique) en français et en anglais, textes concis et récapitulatifs, non un résumé de chaque section du PAR.</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Introduction :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Décrire la finalité du PAR, ses objectifs, ses principes et la méthodologie suivie.</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Description sommaire du projet :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Décrire les composantes ou les activités des sous-projets qui donnent lieu à un déplacement, en expliquant pourquoi les te</w:t>
      </w:r>
      <w:r>
        <w:rPr>
          <w:rStyle w:val="Aucun"/>
          <w:rFonts w:ascii="Segoe Condensed" w:eastAsia="Segoe Condensed" w:hAnsi="Segoe Condensed" w:cs="Segoe Condensed"/>
          <w:sz w:val="24"/>
          <w:szCs w:val="24"/>
        </w:rPr>
        <w:t>rres retenues doivent être acquises pour les activités du projet.</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Informations de base sur les conditions du milieu :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Présenter de la situation humaine, socioéconomique et culturel dans la zone d’intervention du projet ainsi que les impacts de cette </w:t>
      </w:r>
      <w:r>
        <w:rPr>
          <w:rStyle w:val="Aucun"/>
          <w:rFonts w:ascii="Segoe Condensed" w:eastAsia="Segoe Condensed" w:hAnsi="Segoe Condensed" w:cs="Segoe Condensed"/>
          <w:sz w:val="24"/>
          <w:szCs w:val="24"/>
        </w:rPr>
        <w:t xml:space="preserve">activité.  </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Cadre politique, légal et institutionnel en matière d’indemnisation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Présenter uniquement les textes en rapport avec le projet et structurer comme suite :  </w:t>
      </w:r>
    </w:p>
    <w:p w:rsidR="00A90091" w:rsidRDefault="00800EB2">
      <w:pPr>
        <w:pStyle w:val="Paragraphedeliste"/>
        <w:numPr>
          <w:ilvl w:val="0"/>
          <w:numId w:val="13"/>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Cadre politique (Documents de politique sociale, documents sur la Réinstallation) ; </w:t>
      </w:r>
    </w:p>
    <w:p w:rsidR="00A90091" w:rsidRDefault="00800EB2">
      <w:pPr>
        <w:pStyle w:val="Paragraphedeliste"/>
        <w:numPr>
          <w:ilvl w:val="0"/>
          <w:numId w:val="13"/>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C</w:t>
      </w:r>
      <w:r>
        <w:rPr>
          <w:rStyle w:val="Aucun"/>
          <w:rFonts w:ascii="Segoe Condensed" w:eastAsia="Segoe Condensed" w:hAnsi="Segoe Condensed" w:cs="Segoe Condensed"/>
          <w:sz w:val="24"/>
          <w:szCs w:val="24"/>
        </w:rPr>
        <w:t xml:space="preserve">adre législatif, juridique (Différentes Lois), </w:t>
      </w:r>
    </w:p>
    <w:p w:rsidR="00A90091" w:rsidRDefault="00800EB2">
      <w:pPr>
        <w:pStyle w:val="Paragraphedeliste"/>
        <w:numPr>
          <w:ilvl w:val="0"/>
          <w:numId w:val="13"/>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Cadre réglementaire national (Décret, Arrêtés) ; </w:t>
      </w:r>
    </w:p>
    <w:p w:rsidR="00A90091" w:rsidRDefault="00800EB2">
      <w:pPr>
        <w:pStyle w:val="Paragraphedeliste"/>
        <w:numPr>
          <w:ilvl w:val="0"/>
          <w:numId w:val="13"/>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Accords multinationaux ; </w:t>
      </w:r>
    </w:p>
    <w:p w:rsidR="00A90091" w:rsidRDefault="00800EB2">
      <w:pPr>
        <w:pStyle w:val="Paragraphedeliste"/>
        <w:numPr>
          <w:ilvl w:val="0"/>
          <w:numId w:val="13"/>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Cadre Environnemental et Social de la Banque mondiale ;</w:t>
      </w:r>
    </w:p>
    <w:p w:rsidR="00A90091" w:rsidRDefault="00800EB2">
      <w:pPr>
        <w:pStyle w:val="Paragraphedeliste"/>
        <w:numPr>
          <w:ilvl w:val="0"/>
          <w:numId w:val="13"/>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 Cadre Institutionnel</w:t>
      </w:r>
    </w:p>
    <w:p w:rsidR="00A90091" w:rsidRDefault="00A90091">
      <w:pPr>
        <w:pStyle w:val="Paragraphedeliste"/>
        <w:jc w:val="both"/>
        <w:rPr>
          <w:rStyle w:val="Aucun"/>
          <w:rFonts w:ascii="Segoe Condensed" w:eastAsia="Segoe Condensed" w:hAnsi="Segoe Condensed" w:cs="Segoe Condensed"/>
          <w:sz w:val="24"/>
          <w:szCs w:val="24"/>
        </w:rPr>
      </w:pPr>
    </w:p>
    <w:p w:rsidR="00A90091" w:rsidRDefault="00800EB2">
      <w:pPr>
        <w:pStyle w:val="Paragraphedeliste"/>
        <w:numPr>
          <w:ilvl w:val="0"/>
          <w:numId w:val="14"/>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lastRenderedPageBreak/>
        <w:t xml:space="preserve">Comparaison entre les dispositions légales de la RDC </w:t>
      </w:r>
      <w:r>
        <w:rPr>
          <w:rStyle w:val="Aucun"/>
          <w:rFonts w:ascii="Segoe Condensed" w:eastAsia="Segoe Condensed" w:hAnsi="Segoe Condensed" w:cs="Segoe Condensed"/>
          <w:sz w:val="24"/>
          <w:szCs w:val="24"/>
        </w:rPr>
        <w:t>et celles de la Banque mondiale en matière de réinstallation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Faire une analyse comparative entre la NES 5 de la Banque mondiale et la législation nationale en matière de réinstallation involontaire et donner une brève conclusion.</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Analyse des impacts indu</w:t>
      </w:r>
      <w:r>
        <w:rPr>
          <w:rStyle w:val="Aucun"/>
          <w:rFonts w:ascii="Segoe Condensed" w:eastAsia="Segoe Condensed" w:hAnsi="Segoe Condensed" w:cs="Segoe Condensed"/>
          <w:sz w:val="24"/>
          <w:szCs w:val="24"/>
        </w:rPr>
        <w:t>its par les travaux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Présenter et analyser les impacts des activités, l’envergure et l’ampleur des acquisitions de terres et des effets de telles acquisitions sur des ouvrages</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et</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autres</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immobilisations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Étudier l’impact des restrictions imposé</w:t>
      </w:r>
      <w:r>
        <w:rPr>
          <w:rStyle w:val="Aucun"/>
          <w:rFonts w:ascii="Segoe Condensed" w:eastAsia="Segoe Condensed" w:hAnsi="Segoe Condensed" w:cs="Segoe Condensed"/>
          <w:sz w:val="24"/>
          <w:szCs w:val="24"/>
        </w:rPr>
        <w:t>es par le projet à l’utilisation des terres ou d’autres ressources naturelles, ainsi qu’à l’accès</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auxdites</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terres</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ou</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ressources ;</w:t>
      </w:r>
      <w:r>
        <w:rPr>
          <w:rStyle w:val="Aucun"/>
          <w:rFonts w:ascii="Segoe Condensed" w:eastAsia="Segoe Condensed" w:hAnsi="Segoe Condensed" w:cs="Segoe Condensed"/>
          <w:sz w:val="24"/>
          <w:szCs w:val="24"/>
        </w:rPr>
        <w:t>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Présenter des solutions de rechange proposées pour éviter ou minimiser les déplacements dans la mesure du possible, pendant l</w:t>
      </w:r>
      <w:r>
        <w:rPr>
          <w:rStyle w:val="Aucun"/>
          <w:rFonts w:ascii="Segoe Condensed" w:eastAsia="Segoe Condensed" w:hAnsi="Segoe Condensed" w:cs="Segoe Condensed"/>
          <w:sz w:val="24"/>
          <w:szCs w:val="24"/>
        </w:rPr>
        <w:t>a préparation et mise en œuvre du projet et des motifs pour</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lesquels</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celles-ci</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ont été rejetées.</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Procédures d’indemnisation et relocalisation spécifiques au Projet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Exposer les critères d’éligibilité pour déterminer l’admissibilité à l’indemnisation et au</w:t>
      </w:r>
      <w:r>
        <w:rPr>
          <w:rStyle w:val="Aucun"/>
          <w:rFonts w:ascii="Segoe Condensed" w:eastAsia="Segoe Condensed" w:hAnsi="Segoe Condensed" w:cs="Segoe Condensed"/>
          <w:sz w:val="24"/>
          <w:szCs w:val="24"/>
        </w:rPr>
        <w:t>x autres aides à la réinstallation, y compris les dates limites pertinentes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Présentation de la méthode à utiliser pour évaluer les pertes afin de déterminer</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leur</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coût</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de</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 xml:space="preserve">remplacement ;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Les méthodes de calcul, les démarches et les prix unitaires utilisés</w:t>
      </w:r>
      <w:r>
        <w:rPr>
          <w:rStyle w:val="Aucun"/>
          <w:rFonts w:ascii="Segoe Condensed" w:eastAsia="Segoe Condensed" w:hAnsi="Segoe Condensed" w:cs="Segoe Condensed"/>
          <w:sz w:val="24"/>
          <w:szCs w:val="24"/>
        </w:rPr>
        <w:t xml:space="preserve"> et convenu avec les PAP pour calculer les compensations seront présentés dans un acte d’acceptation des PAP et dans une base des données.</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Recensement des biens et personnes affectés par le projet :</w:t>
      </w:r>
    </w:p>
    <w:p w:rsidR="00A90091" w:rsidRDefault="00800EB2">
      <w:pPr>
        <w:pStyle w:val="Paragraphedeliste"/>
        <w:numPr>
          <w:ilvl w:val="0"/>
          <w:numId w:val="16"/>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Recensement des actifs</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Il s’agit d’un recensement précis </w:t>
      </w:r>
      <w:r>
        <w:rPr>
          <w:rStyle w:val="Aucun"/>
          <w:rFonts w:ascii="Segoe Condensed" w:eastAsia="Segoe Condensed" w:hAnsi="Segoe Condensed" w:cs="Segoe Condensed"/>
          <w:sz w:val="24"/>
          <w:szCs w:val="24"/>
        </w:rPr>
        <w:t>et complet de toutes les personnes, familles ou entités qui seront affectées par le projet ainsi que tous les biens touchés : terres, arbres fruitiers, autres moyens de production et immobilisations de toutes sortes, y compris les infrastructures privées e</w:t>
      </w:r>
      <w:r>
        <w:rPr>
          <w:rStyle w:val="Aucun"/>
          <w:rFonts w:ascii="Segoe Condensed" w:eastAsia="Segoe Condensed" w:hAnsi="Segoe Condensed" w:cs="Segoe Condensed"/>
          <w:sz w:val="24"/>
          <w:szCs w:val="24"/>
        </w:rPr>
        <w:t xml:space="preserve">t communautaires et les services socio-économiques et culturels, ou toute activité commerciale et les pertes de revenus qui y sont liées.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Pour chaque PAP recensée, une fiche d’identification doit être établie, répertoriée et officialisée. Chaque fiche d’</w:t>
      </w:r>
      <w:r>
        <w:rPr>
          <w:rStyle w:val="Aucun"/>
          <w:rFonts w:ascii="Segoe Condensed" w:eastAsia="Segoe Condensed" w:hAnsi="Segoe Condensed" w:cs="Segoe Condensed"/>
          <w:sz w:val="24"/>
          <w:szCs w:val="24"/>
        </w:rPr>
        <w:t>identification, en plus des informations démographiques, géographiques et topographiques, doit fournir des informations précises sur les biens touchés, leurs valeurs, les sources de revenus de la PAP et l’indication de si ceux-ci sont impactés par le proje</w:t>
      </w:r>
      <w:r>
        <w:rPr>
          <w:rStyle w:val="Aucun"/>
          <w:rFonts w:ascii="Segoe Condensed" w:eastAsia="Segoe Condensed" w:hAnsi="Segoe Condensed" w:cs="Segoe Condensed"/>
          <w:sz w:val="24"/>
          <w:szCs w:val="24"/>
        </w:rPr>
        <w:t xml:space="preserve">t et la description des mesures d’atténuation retenues. </w:t>
      </w:r>
    </w:p>
    <w:p w:rsidR="00A90091" w:rsidRDefault="00800EB2">
      <w:pPr>
        <w:numPr>
          <w:ilvl w:val="0"/>
          <w:numId w:val="16"/>
        </w:numPr>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Recensement des structures abandonnées à cause de l’érosion et qui seront détruites dans le cadre du projet</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lastRenderedPageBreak/>
        <w:t>Pour des personnes dont, pour leur propre sécurité, ont dû quitter leurs propriétés à cause</w:t>
      </w:r>
      <w:r>
        <w:rPr>
          <w:rStyle w:val="Aucun"/>
          <w:rFonts w:ascii="Segoe Condensed" w:eastAsia="Segoe Condensed" w:hAnsi="Segoe Condensed" w:cs="Segoe Condensed"/>
          <w:sz w:val="24"/>
          <w:szCs w:val="24"/>
        </w:rPr>
        <w:t xml:space="preserve"> de l’avancement des ravins, lorsque les structures abandonnées aux bords des sites érosifs concernés par le projet sont encore visibles et susceptibles d’être partiellement ou complètement détruites par le projet. Le Consultant s’efforcera d’identifier le</w:t>
      </w:r>
      <w:r>
        <w:rPr>
          <w:rStyle w:val="Aucun"/>
          <w:rFonts w:ascii="Segoe Condensed" w:eastAsia="Segoe Condensed" w:hAnsi="Segoe Condensed" w:cs="Segoe Condensed"/>
          <w:sz w:val="24"/>
          <w:szCs w:val="24"/>
        </w:rPr>
        <w:t xml:space="preserve">s propriétaires, d’évaluer les bien perdus pour proposer une compensation au coût de remplacement. </w:t>
      </w:r>
    </w:p>
    <w:p w:rsidR="00A90091" w:rsidRDefault="00800EB2">
      <w:pPr>
        <w:pStyle w:val="Paragraphedeliste"/>
        <w:numPr>
          <w:ilvl w:val="0"/>
          <w:numId w:val="16"/>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Pertes antérieures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Il faudra noter que les communautés qui ont connu des pertes à la suite d’une catastrophe naturelle ne sont pas éligibles aux paiements</w:t>
      </w:r>
      <w:r>
        <w:rPr>
          <w:rStyle w:val="Aucun"/>
          <w:rFonts w:ascii="Segoe Condensed" w:eastAsia="Segoe Condensed" w:hAnsi="Segoe Condensed" w:cs="Segoe Condensed"/>
          <w:sz w:val="24"/>
          <w:szCs w:val="24"/>
        </w:rPr>
        <w:t xml:space="preserve"> d'indemnisation dans le cadre du projet. </w:t>
      </w:r>
    </w:p>
    <w:p w:rsidR="00A90091" w:rsidRDefault="00800EB2">
      <w:pPr>
        <w:pStyle w:val="Paragraphedeliste"/>
        <w:numPr>
          <w:ilvl w:val="0"/>
          <w:numId w:val="17"/>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Evaluation des biens susceptibles d’être impactés du fait des travaux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Pour l’évaluation des biens affectés, il faudra se référer au standard du coût du remplacement qui ne considère que le prix du marché. </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Budge</w:t>
      </w:r>
      <w:r>
        <w:rPr>
          <w:rStyle w:val="Aucun"/>
          <w:rFonts w:ascii="Segoe Condensed" w:eastAsia="Segoe Condensed" w:hAnsi="Segoe Condensed" w:cs="Segoe Condensed"/>
          <w:sz w:val="24"/>
          <w:szCs w:val="24"/>
        </w:rPr>
        <w:t>t du PAR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Élaborer des tableaux présentant des estimations de coûts par rubrique pour toutes les activités de réinstallation, y compris les ajustements pour tenir compte de l’inflation, de l’accroissement de la population et d’autres imprévus.</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Calendrier </w:t>
      </w:r>
      <w:r>
        <w:rPr>
          <w:rStyle w:val="Aucun"/>
          <w:rFonts w:ascii="Segoe Condensed" w:eastAsia="Segoe Condensed" w:hAnsi="Segoe Condensed" w:cs="Segoe Condensed"/>
          <w:sz w:val="24"/>
          <w:szCs w:val="24"/>
        </w:rPr>
        <w:t>d’exécution du PAR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Le calendrier des dépenses, les sources de financement et les dispositions prises pour que les fonds soient disponibles en temps utile et pour le financement de la réinstallation.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(Une attention particulière sera mise sur les personne</w:t>
      </w:r>
      <w:r>
        <w:rPr>
          <w:rStyle w:val="Aucun"/>
          <w:rFonts w:ascii="Segoe Condensed" w:eastAsia="Segoe Condensed" w:hAnsi="Segoe Condensed" w:cs="Segoe Condensed"/>
          <w:sz w:val="24"/>
          <w:szCs w:val="24"/>
        </w:rPr>
        <w:t>s vulnérables à savoir : les femmes</w:t>
      </w:r>
      <w:r>
        <w:rPr>
          <w:rStyle w:val="Aucun"/>
        </w:rPr>
        <w:t xml:space="preserve"> (A </w:t>
      </w:r>
      <w:r>
        <w:rPr>
          <w:rStyle w:val="Aucun"/>
          <w:rFonts w:ascii="Segoe Condensed" w:eastAsia="Segoe Condensed" w:hAnsi="Segoe Condensed" w:cs="Segoe Condensed"/>
          <w:sz w:val="24"/>
          <w:szCs w:val="24"/>
        </w:rPr>
        <w:t>considérer séparément), les personnes âgées ainsi que les personnes handicapées)</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Responsabilité pour le suivi/évaluation et la mise en œuvre du PAR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Outre les lois et réglementations concernant les entité</w:t>
      </w:r>
      <w:r>
        <w:rPr>
          <w:rStyle w:val="Aucun"/>
          <w:rFonts w:ascii="Segoe Condensed" w:eastAsia="Segoe Condensed" w:hAnsi="Segoe Condensed" w:cs="Segoe Condensed"/>
          <w:sz w:val="24"/>
          <w:szCs w:val="24"/>
        </w:rPr>
        <w:t>s responsables de la mise en œuvre des activités</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de</w:t>
      </w:r>
      <w:r>
        <w:rPr>
          <w:rStyle w:val="Aucun"/>
          <w:rFonts w:ascii="Segoe Condensed" w:eastAsia="Segoe Condensed" w:hAnsi="Segoe Condensed" w:cs="Segoe Condensed"/>
          <w:sz w:val="24"/>
          <w:szCs w:val="24"/>
        </w:rPr>
        <w:t> </w:t>
      </w:r>
      <w:r>
        <w:rPr>
          <w:rStyle w:val="Aucun"/>
          <w:rFonts w:ascii="Segoe Condensed" w:eastAsia="Segoe Condensed" w:hAnsi="Segoe Condensed" w:cs="Segoe Condensed"/>
          <w:sz w:val="24"/>
          <w:szCs w:val="24"/>
        </w:rPr>
        <w:t>réinstallation, présenter également les arrangements institutionnels élaborés dans le cadre du projet pour mettre en place la réinstallation involontaire, notamment dans le PEES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Proposer un mécanisme d’</w:t>
      </w:r>
      <w:r>
        <w:rPr>
          <w:rStyle w:val="Aucun"/>
          <w:rFonts w:ascii="Segoe Condensed" w:eastAsia="Segoe Condensed" w:hAnsi="Segoe Condensed" w:cs="Segoe Condensed"/>
          <w:sz w:val="24"/>
          <w:szCs w:val="24"/>
        </w:rPr>
        <w:t>audit indépendant à l’achèvement de la mise en œuvre du PAR. L’étendue des activités de suivi-évaluation serait proportionnée aux risques et aux impacts du projet. Mécanismes de gestion des plaintes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Proposer un Mécanisme de traitement des plaintes se rap</w:t>
      </w:r>
      <w:r>
        <w:rPr>
          <w:rStyle w:val="Aucun"/>
          <w:rFonts w:ascii="Segoe Condensed" w:eastAsia="Segoe Condensed" w:hAnsi="Segoe Condensed" w:cs="Segoe Condensed"/>
          <w:sz w:val="24"/>
          <w:szCs w:val="24"/>
        </w:rPr>
        <w:t xml:space="preserve">portant à la réinstallation, qui décrit les procédures abordables et accessibles pour un règlement des différends découlant du déplacement ou de la réinstallation des populations touchées ;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lastRenderedPageBreak/>
        <w:t>Ce mécanisme de gestion des plaintes, basé sur le MGP global et l</w:t>
      </w:r>
      <w:r>
        <w:rPr>
          <w:rStyle w:val="Aucun"/>
          <w:rFonts w:ascii="Segoe Condensed" w:eastAsia="Segoe Condensed" w:hAnsi="Segoe Condensed" w:cs="Segoe Condensed"/>
          <w:sz w:val="24"/>
          <w:szCs w:val="24"/>
        </w:rPr>
        <w:t>e PMPP du Projet PURUK devrait tenir compte de la disponibilité de voies de recours judiciaires et de dispositifs communautaires et traditionnels de règlement des différends.</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Consultations publiques ;</w:t>
      </w:r>
    </w:p>
    <w:p w:rsidR="00A90091" w:rsidRDefault="00800EB2">
      <w:pPr>
        <w:pStyle w:val="Paragraphedeliste"/>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Présenter un plan des consultations publiques qui décri</w:t>
      </w:r>
      <w:r>
        <w:rPr>
          <w:rStyle w:val="Aucun"/>
          <w:rFonts w:ascii="Segoe Condensed" w:eastAsia="Segoe Condensed" w:hAnsi="Segoe Condensed" w:cs="Segoe Condensed"/>
          <w:sz w:val="24"/>
          <w:szCs w:val="24"/>
        </w:rPr>
        <w:t>t les méthodes de consultation des déplacés physiques (dont les femmes de façon séparé) sur leurs préférences parmi les options de réinstallation qui leur sont proposées, y compris, le cas échéant, les choix se rapportant aux formes d’indemnisation et d’ai</w:t>
      </w:r>
      <w:r>
        <w:rPr>
          <w:rStyle w:val="Aucun"/>
          <w:rFonts w:ascii="Segoe Condensed" w:eastAsia="Segoe Condensed" w:hAnsi="Segoe Condensed" w:cs="Segoe Condensed"/>
          <w:sz w:val="24"/>
          <w:szCs w:val="24"/>
        </w:rPr>
        <w:t>de à la réinstallation de familles isolées ou de communautés préexistantes ou de groupes apparentés, au maintien des modes d’organisation des groupes, et au déplacement des biens culturels ou à la conservation de l’accès à ceux-ci (à l’exemple des lieux de</w:t>
      </w:r>
      <w:r>
        <w:rPr>
          <w:rStyle w:val="Aucun"/>
          <w:rFonts w:ascii="Segoe Condensed" w:eastAsia="Segoe Condensed" w:hAnsi="Segoe Condensed" w:cs="Segoe Condensed"/>
          <w:sz w:val="24"/>
          <w:szCs w:val="24"/>
        </w:rPr>
        <w:t xml:space="preserve"> culte, des centres de pèlerinage et des cimetières).</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Dispositions pour une gestion adaptative. </w:t>
      </w:r>
    </w:p>
    <w:p w:rsidR="00A90091" w:rsidRDefault="00800EB2">
      <w:pPr>
        <w:pStyle w:val="Paragraphedeliste"/>
        <w:ind w:left="708"/>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 PAR devrait inclure des dispositions pour adapter la mise en œuvre des activités de réinstallation à l’évolution imprévue des conditions du projet, ou à des</w:t>
      </w:r>
      <w:r>
        <w:rPr>
          <w:rStyle w:val="Aucun"/>
          <w:rFonts w:ascii="Segoe Condensed" w:eastAsia="Segoe Condensed" w:hAnsi="Segoe Condensed" w:cs="Segoe Condensed"/>
          <w:sz w:val="24"/>
          <w:szCs w:val="24"/>
        </w:rPr>
        <w:t xml:space="preserve"> difficultés inattendues pour obtenir des résultats satisfaisants en matière de réinstallation.</w:t>
      </w: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Atelier de restitution :</w:t>
      </w:r>
    </w:p>
    <w:p w:rsidR="00A90091" w:rsidRDefault="00800EB2">
      <w:pPr>
        <w:pStyle w:val="Paragraphedeliste"/>
        <w:ind w:left="708"/>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Organiser un atelier de restitution des opérations de recensement des PAP avec les parties prenantes au projet ainsi que les PAP (un qu</w:t>
      </w:r>
      <w:r>
        <w:rPr>
          <w:rStyle w:val="Aucun"/>
          <w:rFonts w:ascii="Segoe Condensed" w:eastAsia="Segoe Condensed" w:hAnsi="Segoe Condensed" w:cs="Segoe Condensed"/>
          <w:sz w:val="24"/>
          <w:szCs w:val="24"/>
        </w:rPr>
        <w:t>ota des femmes PAP sera pris en compte pour leur participation à cet atelier) et prendre en compte les éventuels amendements et commentaires de toutes les parties prenantes dans la finalisation du PAR.</w:t>
      </w:r>
    </w:p>
    <w:p w:rsidR="00A90091" w:rsidRDefault="00A90091">
      <w:pPr>
        <w:pStyle w:val="Paragraphedeliste"/>
        <w:ind w:left="708"/>
        <w:jc w:val="both"/>
        <w:rPr>
          <w:rStyle w:val="Aucun"/>
          <w:rFonts w:ascii="Segoe Condensed" w:eastAsia="Segoe Condensed" w:hAnsi="Segoe Condensed" w:cs="Segoe Condensed"/>
          <w:sz w:val="24"/>
          <w:szCs w:val="24"/>
        </w:rPr>
      </w:pPr>
    </w:p>
    <w:p w:rsidR="00A90091" w:rsidRDefault="00800EB2">
      <w:pPr>
        <w:pStyle w:val="Paragraphedeliste"/>
        <w:numPr>
          <w:ilvl w:val="0"/>
          <w:numId w:val="11"/>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Annexes :</w:t>
      </w:r>
    </w:p>
    <w:p w:rsidR="00A90091" w:rsidRDefault="00800EB2">
      <w:pPr>
        <w:numPr>
          <w:ilvl w:val="0"/>
          <w:numId w:val="19"/>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Termes de références ;</w:t>
      </w:r>
    </w:p>
    <w:p w:rsidR="00A90091" w:rsidRDefault="00800EB2">
      <w:pPr>
        <w:numPr>
          <w:ilvl w:val="0"/>
          <w:numId w:val="19"/>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Liste des </w:t>
      </w:r>
      <w:r>
        <w:rPr>
          <w:rStyle w:val="Aucun"/>
          <w:rFonts w:ascii="Segoe Condensed" w:eastAsia="Segoe Condensed" w:hAnsi="Segoe Condensed" w:cs="Segoe Condensed"/>
          <w:sz w:val="24"/>
          <w:szCs w:val="24"/>
        </w:rPr>
        <w:t>principales personnes rencontrées ;</w:t>
      </w:r>
    </w:p>
    <w:p w:rsidR="00A90091" w:rsidRDefault="00800EB2">
      <w:pPr>
        <w:numPr>
          <w:ilvl w:val="0"/>
          <w:numId w:val="19"/>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Détails des consultations du PAR, incluant les dates, listes de participants, photos, problèmes soulevés et réponses données, etc. ;</w:t>
      </w:r>
    </w:p>
    <w:p w:rsidR="00A90091" w:rsidRDefault="00800EB2">
      <w:pPr>
        <w:numPr>
          <w:ilvl w:val="0"/>
          <w:numId w:val="19"/>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Tout autre document jugé nécessaire.</w:t>
      </w:r>
    </w:p>
    <w:p w:rsidR="00A90091" w:rsidRDefault="00A90091">
      <w:pPr>
        <w:pStyle w:val="Paragraphedeliste"/>
        <w:ind w:left="426"/>
        <w:jc w:val="both"/>
        <w:rPr>
          <w:rStyle w:val="Aucun"/>
          <w:rFonts w:ascii="Segoe Condensed" w:eastAsia="Segoe Condensed" w:hAnsi="Segoe Condensed" w:cs="Segoe Condensed"/>
          <w:sz w:val="24"/>
          <w:szCs w:val="24"/>
        </w:rPr>
      </w:pPr>
    </w:p>
    <w:p w:rsidR="00A90091" w:rsidRDefault="00800EB2">
      <w:pPr>
        <w:pStyle w:val="Paragraphedeliste"/>
        <w:numPr>
          <w:ilvl w:val="0"/>
          <w:numId w:val="20"/>
        </w:numPr>
        <w:jc w:val="both"/>
        <w:rPr>
          <w:rFonts w:ascii="Segoe Condensed" w:eastAsia="Segoe Condensed" w:hAnsi="Segoe Condensed" w:cs="Segoe Condensed"/>
          <w:b/>
          <w:bCs/>
          <w:sz w:val="24"/>
          <w:szCs w:val="24"/>
        </w:rPr>
      </w:pPr>
      <w:r>
        <w:rPr>
          <w:rStyle w:val="Aucun"/>
          <w:rFonts w:ascii="Segoe Condensed" w:eastAsia="Segoe Condensed" w:hAnsi="Segoe Condensed" w:cs="Segoe Condensed"/>
          <w:b/>
          <w:bCs/>
          <w:sz w:val="24"/>
          <w:szCs w:val="24"/>
        </w:rPr>
        <w:t>DOCUMENTS A REMETTRE AU CONSULTANT</w:t>
      </w:r>
    </w:p>
    <w:p w:rsidR="00A90091" w:rsidRDefault="00A90091">
      <w:pPr>
        <w:pStyle w:val="Paragraphedeliste"/>
        <w:ind w:left="1080"/>
        <w:jc w:val="both"/>
        <w:rPr>
          <w:rStyle w:val="Aucun"/>
          <w:rFonts w:ascii="Segoe Condensed" w:eastAsia="Segoe Condensed" w:hAnsi="Segoe Condensed" w:cs="Segoe Condensed"/>
          <w:b/>
          <w:bCs/>
          <w:sz w:val="24"/>
          <w:szCs w:val="24"/>
        </w:rPr>
      </w:pPr>
    </w:p>
    <w:p w:rsidR="00A90091" w:rsidRDefault="00800EB2">
      <w:pPr>
        <w:pStyle w:val="Paragraphedeliste"/>
        <w:ind w:left="0"/>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L’Unité de Ge</w:t>
      </w:r>
      <w:r>
        <w:rPr>
          <w:rStyle w:val="Aucun"/>
          <w:rFonts w:ascii="Segoe Condensed" w:eastAsia="Segoe Condensed" w:hAnsi="Segoe Condensed" w:cs="Segoe Condensed"/>
          <w:sz w:val="24"/>
          <w:szCs w:val="24"/>
        </w:rPr>
        <w:t>stion du Projet, UGP, remettra les documents suivants au Consultant : le CPR, le CGES, l’EIES, les études APD ou techniques du projet, le MGP Global du PURUK, le PA- EAS/HS, le PMPP, le screening fait par le projet ainsi que tout document jugé utile par le</w:t>
      </w:r>
      <w:r>
        <w:rPr>
          <w:rStyle w:val="Aucun"/>
          <w:rFonts w:ascii="Segoe Condensed" w:eastAsia="Segoe Condensed" w:hAnsi="Segoe Condensed" w:cs="Segoe Condensed"/>
          <w:sz w:val="24"/>
          <w:szCs w:val="24"/>
        </w:rPr>
        <w:t xml:space="preserve"> Consultant.</w:t>
      </w:r>
    </w:p>
    <w:p w:rsidR="00A90091" w:rsidRDefault="00A90091">
      <w:pPr>
        <w:pStyle w:val="Paragraphedeliste"/>
        <w:ind w:left="0"/>
        <w:jc w:val="both"/>
        <w:rPr>
          <w:rStyle w:val="Aucun"/>
          <w:rFonts w:ascii="Segoe Condensed" w:eastAsia="Segoe Condensed" w:hAnsi="Segoe Condensed" w:cs="Segoe Condensed"/>
          <w:sz w:val="24"/>
          <w:szCs w:val="24"/>
        </w:rPr>
      </w:pPr>
    </w:p>
    <w:p w:rsidR="00A90091" w:rsidRDefault="00800EB2">
      <w:pPr>
        <w:pStyle w:val="Paragraphedeliste"/>
        <w:numPr>
          <w:ilvl w:val="0"/>
          <w:numId w:val="20"/>
        </w:numPr>
        <w:jc w:val="both"/>
        <w:rPr>
          <w:rFonts w:ascii="Segoe Condensed" w:eastAsia="Segoe Condensed" w:hAnsi="Segoe Condensed" w:cs="Segoe Condensed"/>
          <w:b/>
          <w:bCs/>
          <w:sz w:val="24"/>
          <w:szCs w:val="24"/>
        </w:rPr>
      </w:pPr>
      <w:r>
        <w:rPr>
          <w:rStyle w:val="Aucun"/>
          <w:rFonts w:ascii="Segoe Condensed" w:eastAsia="Segoe Condensed" w:hAnsi="Segoe Condensed" w:cs="Segoe Condensed"/>
          <w:b/>
          <w:bCs/>
          <w:sz w:val="24"/>
          <w:szCs w:val="24"/>
        </w:rPr>
        <w:t>ECHEANCIER DE L’ETUDE ET LIVRABLES</w:t>
      </w:r>
    </w:p>
    <w:p w:rsidR="00A90091" w:rsidRDefault="00800EB2">
      <w:pPr>
        <w:spacing w:before="120" w:after="120"/>
        <w:ind w:left="709"/>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Le délai maximal assigné au consultant pour la réalisation de cette étude est de trente jours (30) jours étalés sur 45 jours. </w:t>
      </w:r>
    </w:p>
    <w:p w:rsidR="00A90091" w:rsidRDefault="00800EB2">
      <w:pPr>
        <w:spacing w:before="120" w:after="120"/>
        <w:ind w:left="709"/>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La remise des rapports de l’étude se fera de la manière suivante :</w:t>
      </w:r>
    </w:p>
    <w:tbl>
      <w:tblPr>
        <w:tblStyle w:val="TableNormal"/>
        <w:tblW w:w="9356" w:type="dxa"/>
        <w:tblInd w:w="6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096"/>
        <w:gridCol w:w="1559"/>
        <w:gridCol w:w="1701"/>
      </w:tblGrid>
      <w:tr w:rsidR="00A90091">
        <w:tblPrEx>
          <w:tblCellMar>
            <w:top w:w="0" w:type="dxa"/>
            <w:left w:w="0" w:type="dxa"/>
            <w:bottom w:w="0" w:type="dxa"/>
            <w:right w:w="0" w:type="dxa"/>
          </w:tblCellMar>
        </w:tblPrEx>
        <w:trPr>
          <w:trHeight w:val="612"/>
        </w:trPr>
        <w:tc>
          <w:tcPr>
            <w:tcW w:w="6096"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rsidR="00A90091" w:rsidRDefault="00800EB2">
            <w:pPr>
              <w:spacing w:after="0"/>
              <w:jc w:val="both"/>
            </w:pPr>
            <w:r>
              <w:rPr>
                <w:rStyle w:val="Aucun"/>
                <w:rFonts w:ascii="Segoe Condensed" w:eastAsia="Segoe Condensed" w:hAnsi="Segoe Condensed" w:cs="Segoe Condensed"/>
                <w:b/>
                <w:bCs/>
                <w:sz w:val="24"/>
                <w:szCs w:val="24"/>
              </w:rPr>
              <w:t>Livrables</w:t>
            </w:r>
          </w:p>
        </w:tc>
        <w:tc>
          <w:tcPr>
            <w:tcW w:w="1559"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rsidR="00A90091" w:rsidRDefault="00800EB2">
            <w:pPr>
              <w:spacing w:after="0"/>
              <w:jc w:val="center"/>
            </w:pPr>
            <w:r>
              <w:rPr>
                <w:rStyle w:val="Aucun"/>
                <w:rFonts w:ascii="Segoe Condensed" w:eastAsia="Segoe Condensed" w:hAnsi="Segoe Condensed" w:cs="Segoe Condensed"/>
                <w:b/>
                <w:bCs/>
                <w:sz w:val="24"/>
                <w:szCs w:val="24"/>
              </w:rPr>
              <w:t>Dur</w:t>
            </w:r>
            <w:r>
              <w:rPr>
                <w:rStyle w:val="Aucun"/>
                <w:rFonts w:ascii="Segoe Condensed" w:eastAsia="Segoe Condensed" w:hAnsi="Segoe Condensed" w:cs="Segoe Condensed"/>
                <w:b/>
                <w:bCs/>
                <w:sz w:val="24"/>
                <w:szCs w:val="24"/>
              </w:rPr>
              <w:t>ée (jours)</w:t>
            </w:r>
          </w:p>
        </w:tc>
        <w:tc>
          <w:tcPr>
            <w:tcW w:w="1701"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b/>
                <w:bCs/>
                <w:sz w:val="24"/>
                <w:szCs w:val="24"/>
              </w:rPr>
              <w:t>Echéances</w:t>
            </w:r>
          </w:p>
        </w:tc>
      </w:tr>
      <w:tr w:rsidR="00A90091">
        <w:tblPrEx>
          <w:tblCellMar>
            <w:top w:w="0" w:type="dxa"/>
            <w:left w:w="0" w:type="dxa"/>
            <w:bottom w:w="0" w:type="dxa"/>
            <w:right w:w="0" w:type="dxa"/>
          </w:tblCellMar>
        </w:tblPrEx>
        <w:trPr>
          <w:trHeight w:val="29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Démarrage des prestations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0091" w:rsidRDefault="00800EB2">
            <w:pPr>
              <w:spacing w:after="0"/>
              <w:jc w:val="center"/>
            </w:pPr>
            <w:r>
              <w:rPr>
                <w:rStyle w:val="Aucun"/>
                <w:rFonts w:ascii="Segoe Condensed" w:eastAsia="Segoe Condensed" w:hAnsi="Segoe Condensed" w:cs="Segoe Condensed"/>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T0</w:t>
            </w:r>
          </w:p>
        </w:tc>
      </w:tr>
      <w:tr w:rsidR="00A90091">
        <w:tblPrEx>
          <w:tblCellMar>
            <w:top w:w="0" w:type="dxa"/>
            <w:left w:w="0" w:type="dxa"/>
            <w:bottom w:w="0" w:type="dxa"/>
            <w:right w:w="0" w:type="dxa"/>
          </w:tblCellMar>
        </w:tblPrEx>
        <w:trPr>
          <w:trHeight w:val="612"/>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Rapport de démarrage de l’étude-version provisoire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0091" w:rsidRDefault="00800EB2">
            <w:pPr>
              <w:spacing w:after="0"/>
              <w:jc w:val="center"/>
            </w:pPr>
            <w:r>
              <w:rPr>
                <w:rStyle w:val="Aucun"/>
                <w:rFonts w:ascii="Segoe Condensed" w:eastAsia="Segoe Condensed" w:hAnsi="Segoe Condensed" w:cs="Segoe Condensed"/>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T0 + 3 jours</w:t>
            </w:r>
          </w:p>
        </w:tc>
      </w:tr>
      <w:tr w:rsidR="00A90091">
        <w:tblPrEx>
          <w:tblCellMar>
            <w:top w:w="0" w:type="dxa"/>
            <w:left w:w="0" w:type="dxa"/>
            <w:bottom w:w="0" w:type="dxa"/>
            <w:right w:w="0" w:type="dxa"/>
          </w:tblCellMar>
        </w:tblPrEx>
        <w:trPr>
          <w:trHeight w:val="290"/>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 xml:space="preserve">Commentaires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0091" w:rsidRDefault="00800EB2">
            <w:pPr>
              <w:spacing w:after="0"/>
              <w:jc w:val="center"/>
            </w:pPr>
            <w:r>
              <w:rPr>
                <w:rStyle w:val="Aucun"/>
                <w:rFonts w:ascii="Segoe Condensed" w:eastAsia="Segoe Condensed" w:hAnsi="Segoe Condensed" w:cs="Segoe Condensed"/>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T0 + 6 jours</w:t>
            </w:r>
          </w:p>
        </w:tc>
      </w:tr>
      <w:tr w:rsidR="00A90091">
        <w:tblPrEx>
          <w:tblCellMar>
            <w:top w:w="0" w:type="dxa"/>
            <w:left w:w="0" w:type="dxa"/>
            <w:bottom w:w="0" w:type="dxa"/>
            <w:right w:w="0" w:type="dxa"/>
          </w:tblCellMar>
        </w:tblPrEx>
        <w:trPr>
          <w:trHeight w:val="612"/>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Rapport de démarrage (R1) de l’étude-version finale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0091" w:rsidRDefault="00800EB2">
            <w:pPr>
              <w:spacing w:after="0"/>
              <w:jc w:val="center"/>
            </w:pPr>
            <w:r>
              <w:rPr>
                <w:rStyle w:val="Aucun"/>
                <w:rFonts w:ascii="Segoe Condensed" w:eastAsia="Segoe Condensed" w:hAnsi="Segoe Condensed" w:cs="Segoe Condensed"/>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T0 + 8 jours</w:t>
            </w:r>
          </w:p>
        </w:tc>
      </w:tr>
      <w:tr w:rsidR="00A90091">
        <w:tblPrEx>
          <w:tblCellMar>
            <w:top w:w="0" w:type="dxa"/>
            <w:left w:w="0" w:type="dxa"/>
            <w:bottom w:w="0" w:type="dxa"/>
            <w:right w:w="0" w:type="dxa"/>
          </w:tblCellMar>
        </w:tblPrEx>
        <w:trPr>
          <w:trHeight w:val="612"/>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 xml:space="preserve">Rapport PAR provisoire (R2)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0091" w:rsidRDefault="00800EB2">
            <w:pPr>
              <w:spacing w:after="0"/>
              <w:jc w:val="center"/>
            </w:pPr>
            <w:r>
              <w:rPr>
                <w:rStyle w:val="Aucun"/>
                <w:rFonts w:ascii="Segoe Condensed" w:eastAsia="Segoe Condensed" w:hAnsi="Segoe Condensed" w:cs="Segoe Condensed"/>
                <w:sz w:val="24"/>
                <w:szCs w:val="24"/>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 xml:space="preserve">T0 + </w:t>
            </w:r>
            <w:r>
              <w:rPr>
                <w:rStyle w:val="Aucun"/>
                <w:rFonts w:ascii="Segoe Condensed" w:eastAsia="Segoe Condensed" w:hAnsi="Segoe Condensed" w:cs="Segoe Condensed"/>
                <w:sz w:val="24"/>
                <w:szCs w:val="24"/>
              </w:rPr>
              <w:t>28 jours</w:t>
            </w:r>
          </w:p>
        </w:tc>
      </w:tr>
      <w:tr w:rsidR="00A90091">
        <w:tblPrEx>
          <w:tblCellMar>
            <w:top w:w="0" w:type="dxa"/>
            <w:left w:w="0" w:type="dxa"/>
            <w:bottom w:w="0" w:type="dxa"/>
            <w:right w:w="0" w:type="dxa"/>
          </w:tblCellMar>
        </w:tblPrEx>
        <w:trPr>
          <w:trHeight w:val="612"/>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Commentaires de l’Administration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0091" w:rsidRDefault="00800EB2">
            <w:pPr>
              <w:spacing w:after="0"/>
              <w:jc w:val="center"/>
            </w:pPr>
            <w:r>
              <w:rPr>
                <w:rStyle w:val="Aucun"/>
                <w:rFonts w:ascii="Segoe Condensed" w:eastAsia="Segoe Condensed" w:hAnsi="Segoe Condensed" w:cs="Segoe Condensed"/>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T0 + 35 jours</w:t>
            </w:r>
          </w:p>
        </w:tc>
      </w:tr>
      <w:tr w:rsidR="00A90091">
        <w:tblPrEx>
          <w:tblCellMar>
            <w:top w:w="0" w:type="dxa"/>
            <w:left w:w="0" w:type="dxa"/>
            <w:bottom w:w="0" w:type="dxa"/>
            <w:right w:w="0" w:type="dxa"/>
          </w:tblCellMar>
        </w:tblPrEx>
        <w:trPr>
          <w:trHeight w:val="612"/>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Rapport PAR provisoire (R3) intégrant les commentaires de l’Administration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0091" w:rsidRDefault="00800EB2">
            <w:pPr>
              <w:spacing w:after="0"/>
              <w:jc w:val="center"/>
            </w:pPr>
            <w:r>
              <w:rPr>
                <w:rStyle w:val="Aucun"/>
                <w:rFonts w:ascii="Segoe Condensed" w:eastAsia="Segoe Condensed" w:hAnsi="Segoe Condensed" w:cs="Segoe Condensed"/>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T0 + 38jours</w:t>
            </w:r>
          </w:p>
        </w:tc>
      </w:tr>
      <w:tr w:rsidR="00A90091">
        <w:tblPrEx>
          <w:tblCellMar>
            <w:top w:w="0" w:type="dxa"/>
            <w:left w:w="0" w:type="dxa"/>
            <w:bottom w:w="0" w:type="dxa"/>
            <w:right w:w="0" w:type="dxa"/>
          </w:tblCellMar>
        </w:tblPrEx>
        <w:trPr>
          <w:trHeight w:val="612"/>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Organisation de l’atelier de restitution du PAR (1 jours)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0091" w:rsidRDefault="00800EB2">
            <w:pPr>
              <w:spacing w:after="0"/>
              <w:jc w:val="center"/>
            </w:pPr>
            <w:r>
              <w:rPr>
                <w:rStyle w:val="Aucun"/>
                <w:rFonts w:ascii="Segoe Condensed" w:eastAsia="Segoe Condensed" w:hAnsi="Segoe Condensed" w:cs="Segoe Condensed"/>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 xml:space="preserve">T0 + 40 jours </w:t>
            </w:r>
          </w:p>
        </w:tc>
      </w:tr>
      <w:tr w:rsidR="00A90091">
        <w:tblPrEx>
          <w:tblCellMar>
            <w:top w:w="0" w:type="dxa"/>
            <w:left w:w="0" w:type="dxa"/>
            <w:bottom w:w="0" w:type="dxa"/>
            <w:right w:w="0" w:type="dxa"/>
          </w:tblCellMar>
        </w:tblPrEx>
        <w:trPr>
          <w:trHeight w:val="934"/>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Rapport PAR final provisoire (R4) prenant en compte les commentaires émis par les parties prenantes lors de l’atelier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0091" w:rsidRDefault="00800EB2">
            <w:pPr>
              <w:spacing w:after="0"/>
              <w:jc w:val="center"/>
            </w:pPr>
            <w:r>
              <w:rPr>
                <w:rStyle w:val="Aucun"/>
                <w:rFonts w:ascii="Segoe Condensed" w:eastAsia="Segoe Condensed" w:hAnsi="Segoe Condensed" w:cs="Segoe Condensed"/>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T0 + 42 jours</w:t>
            </w:r>
          </w:p>
        </w:tc>
      </w:tr>
      <w:tr w:rsidR="00A90091">
        <w:tblPrEx>
          <w:tblCellMar>
            <w:top w:w="0" w:type="dxa"/>
            <w:left w:w="0" w:type="dxa"/>
            <w:bottom w:w="0" w:type="dxa"/>
            <w:right w:w="0" w:type="dxa"/>
          </w:tblCellMar>
        </w:tblPrEx>
        <w:trPr>
          <w:trHeight w:val="934"/>
        </w:trPr>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Un Rapport PAR final définitif (R5) intégrant les commentaires de la Banque mondiale communiqués au Consultant par l’</w:t>
            </w:r>
            <w:r>
              <w:rPr>
                <w:rStyle w:val="Aucun"/>
                <w:rFonts w:ascii="Segoe Condensed" w:eastAsia="Segoe Condensed" w:hAnsi="Segoe Condensed" w:cs="Segoe Condensed"/>
                <w:sz w:val="24"/>
                <w:szCs w:val="24"/>
              </w:rPr>
              <w:t xml:space="preserve">Administration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0091" w:rsidRDefault="00800EB2">
            <w:pPr>
              <w:spacing w:after="0"/>
              <w:jc w:val="center"/>
            </w:pPr>
            <w:r>
              <w:rPr>
                <w:rStyle w:val="Aucun"/>
                <w:rFonts w:ascii="Segoe Condensed" w:eastAsia="Segoe Condensed" w:hAnsi="Segoe Condensed" w:cs="Segoe Condensed"/>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0091" w:rsidRDefault="00800EB2">
            <w:pPr>
              <w:spacing w:after="0"/>
              <w:jc w:val="both"/>
            </w:pPr>
            <w:r>
              <w:rPr>
                <w:rStyle w:val="Aucun"/>
                <w:rFonts w:ascii="Segoe Condensed" w:eastAsia="Segoe Condensed" w:hAnsi="Segoe Condensed" w:cs="Segoe Condensed"/>
                <w:sz w:val="24"/>
                <w:szCs w:val="24"/>
              </w:rPr>
              <w:t>T0 + 45 jours</w:t>
            </w:r>
          </w:p>
        </w:tc>
      </w:tr>
    </w:tbl>
    <w:p w:rsidR="00A90091" w:rsidRDefault="00A90091">
      <w:pPr>
        <w:widowControl w:val="0"/>
        <w:spacing w:before="120" w:after="120" w:line="240" w:lineRule="auto"/>
        <w:ind w:left="562" w:hanging="562"/>
        <w:jc w:val="both"/>
        <w:rPr>
          <w:rStyle w:val="Aucun"/>
          <w:rFonts w:ascii="Segoe Condensed" w:eastAsia="Segoe Condensed" w:hAnsi="Segoe Condensed" w:cs="Segoe Condensed"/>
          <w:sz w:val="24"/>
          <w:szCs w:val="24"/>
        </w:rPr>
      </w:pPr>
    </w:p>
    <w:p w:rsidR="00A90091" w:rsidRDefault="00A90091">
      <w:pPr>
        <w:spacing w:after="0"/>
        <w:ind w:firstLine="709"/>
        <w:jc w:val="both"/>
        <w:rPr>
          <w:rStyle w:val="Aucun"/>
          <w:rFonts w:ascii="Segoe Condensed" w:eastAsia="Segoe Condensed" w:hAnsi="Segoe Condensed" w:cs="Segoe Condensed"/>
          <w:b/>
          <w:bCs/>
          <w:sz w:val="24"/>
          <w:szCs w:val="24"/>
        </w:rPr>
      </w:pPr>
    </w:p>
    <w:p w:rsidR="00A90091" w:rsidRDefault="00800EB2">
      <w:pPr>
        <w:spacing w:after="160" w:line="256" w:lineRule="auto"/>
        <w:rPr>
          <w:rStyle w:val="Aucun"/>
          <w:rFonts w:ascii="Segoe Condensed" w:eastAsia="Segoe Condensed" w:hAnsi="Segoe Condensed" w:cs="Segoe Condensed"/>
          <w:sz w:val="24"/>
          <w:szCs w:val="24"/>
        </w:rPr>
      </w:pPr>
      <w:r>
        <w:rPr>
          <w:rStyle w:val="Aucun"/>
          <w:rFonts w:ascii="Segoe Condensed" w:eastAsia="Segoe Condensed" w:hAnsi="Segoe Condensed" w:cs="Segoe Condensed"/>
          <w:b/>
          <w:bCs/>
          <w:sz w:val="24"/>
          <w:szCs w:val="24"/>
        </w:rPr>
        <w:t>NB :</w:t>
      </w:r>
      <w:r>
        <w:rPr>
          <w:rStyle w:val="Aucun"/>
          <w:rFonts w:ascii="Segoe Condensed" w:eastAsia="Segoe Condensed" w:hAnsi="Segoe Condensed" w:cs="Segoe Condensed"/>
          <w:sz w:val="24"/>
          <w:szCs w:val="24"/>
        </w:rPr>
        <w:t xml:space="preserve"> T0 (temps 0) = la date de démarrage des prestations prescrit par le contrat. </w:t>
      </w:r>
    </w:p>
    <w:p w:rsidR="00A90091" w:rsidRDefault="00800EB2">
      <w:pPr>
        <w:spacing w:before="120" w:after="120"/>
        <w:ind w:left="709"/>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Tous les rapports seront livrés par le Consultant au projet en cinq (5) copies version papier et une copie électronique, USB (logiciel </w:t>
      </w:r>
      <w:r>
        <w:rPr>
          <w:rStyle w:val="Aucun"/>
          <w:rFonts w:ascii="Segoe Condensed" w:eastAsia="Segoe Condensed" w:hAnsi="Segoe Condensed" w:cs="Segoe Condensed"/>
          <w:i/>
          <w:iCs/>
          <w:sz w:val="24"/>
          <w:szCs w:val="24"/>
        </w:rPr>
        <w:t>Word</w:t>
      </w:r>
      <w:r>
        <w:rPr>
          <w:rStyle w:val="Aucun"/>
          <w:rFonts w:ascii="Segoe Condensed" w:eastAsia="Segoe Condensed" w:hAnsi="Segoe Condensed" w:cs="Segoe Condensed"/>
          <w:sz w:val="24"/>
          <w:szCs w:val="24"/>
        </w:rPr>
        <w:t xml:space="preserve"> et PDF).</w:t>
      </w:r>
    </w:p>
    <w:p w:rsidR="00A90091" w:rsidRDefault="00800EB2">
      <w:pPr>
        <w:tabs>
          <w:tab w:val="left" w:pos="3756"/>
        </w:tabs>
        <w:spacing w:before="120" w:after="120"/>
        <w:ind w:left="709"/>
        <w:jc w:val="both"/>
        <w:rPr>
          <w:rStyle w:val="Aucun"/>
        </w:rPr>
      </w:pPr>
      <w:r>
        <w:rPr>
          <w:rStyle w:val="Aucun"/>
          <w:rFonts w:ascii="Segoe Condensed" w:eastAsia="Segoe Condensed" w:hAnsi="Segoe Condensed" w:cs="Segoe Condensed"/>
          <w:sz w:val="24"/>
          <w:szCs w:val="24"/>
        </w:rPr>
        <w:t>Le consultant tiendra compte des observations de l’UGP pour le format des documents définitifs.</w:t>
      </w:r>
    </w:p>
    <w:p w:rsidR="00A90091" w:rsidRDefault="00A90091">
      <w:pPr>
        <w:pStyle w:val="Paragraphedeliste"/>
        <w:ind w:left="0"/>
        <w:jc w:val="both"/>
        <w:rPr>
          <w:rStyle w:val="Aucun"/>
          <w:rFonts w:ascii="Segoe Condensed" w:eastAsia="Segoe Condensed" w:hAnsi="Segoe Condensed" w:cs="Segoe Condensed"/>
          <w:sz w:val="24"/>
          <w:szCs w:val="24"/>
        </w:rPr>
      </w:pPr>
    </w:p>
    <w:p w:rsidR="00A90091" w:rsidRDefault="00800EB2">
      <w:pPr>
        <w:pStyle w:val="Paragraphedeliste"/>
        <w:numPr>
          <w:ilvl w:val="0"/>
          <w:numId w:val="21"/>
        </w:numPr>
        <w:jc w:val="both"/>
        <w:rPr>
          <w:rFonts w:ascii="Segoe Condensed" w:eastAsia="Segoe Condensed" w:hAnsi="Segoe Condensed" w:cs="Segoe Condensed"/>
          <w:b/>
          <w:bCs/>
          <w:sz w:val="24"/>
          <w:szCs w:val="24"/>
        </w:rPr>
      </w:pPr>
      <w:r>
        <w:rPr>
          <w:rStyle w:val="Aucun"/>
          <w:rFonts w:ascii="Segoe Condensed" w:eastAsia="Segoe Condensed" w:hAnsi="Segoe Condensed" w:cs="Segoe Condensed"/>
          <w:b/>
          <w:bCs/>
          <w:sz w:val="24"/>
          <w:szCs w:val="24"/>
        </w:rPr>
        <w:t xml:space="preserve">PROFIL DU CONSULTANT </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Le Consultant (Individuel) devra : </w:t>
      </w:r>
    </w:p>
    <w:p w:rsidR="00A90091" w:rsidRDefault="00800EB2">
      <w:pPr>
        <w:numPr>
          <w:ilvl w:val="0"/>
          <w:numId w:val="23"/>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Être au minimum, titulaire d’un BAC + 5 sciences sociales (Sociologie, Anthropologie, …</w:t>
      </w:r>
      <w:r>
        <w:rPr>
          <w:rStyle w:val="Aucun"/>
          <w:rFonts w:ascii="Segoe Condensed" w:eastAsia="Segoe Condensed" w:hAnsi="Segoe Condensed" w:cs="Segoe Condensed"/>
          <w:sz w:val="24"/>
          <w:szCs w:val="24"/>
        </w:rPr>
        <w:t>), Environnement, ou équivalent ;</w:t>
      </w:r>
    </w:p>
    <w:p w:rsidR="00A90091" w:rsidRDefault="00800EB2">
      <w:pPr>
        <w:numPr>
          <w:ilvl w:val="0"/>
          <w:numId w:val="23"/>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Avoir une expérience générale de dix (10) ans au moins dans l’élaboration des Plans d’Action de Réinstallation ou des études socio-économiques, avec un rôle lead dans l’élaboration d’au moins Trois (03) PAR ;</w:t>
      </w:r>
    </w:p>
    <w:p w:rsidR="00A90091" w:rsidRDefault="00800EB2">
      <w:pPr>
        <w:numPr>
          <w:ilvl w:val="0"/>
          <w:numId w:val="23"/>
        </w:numPr>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Avoir une bon</w:t>
      </w:r>
      <w:r>
        <w:rPr>
          <w:rStyle w:val="Aucun"/>
          <w:rFonts w:ascii="Segoe Condensed" w:eastAsia="Segoe Condensed" w:hAnsi="Segoe Condensed" w:cs="Segoe Condensed"/>
          <w:sz w:val="24"/>
          <w:szCs w:val="24"/>
        </w:rPr>
        <w:t>ne connaissance du Cadre environnementale et sociale de la Banque mondiale,</w:t>
      </w:r>
      <w:r>
        <w:rPr>
          <w:rStyle w:val="Aucun"/>
          <w:rFonts w:eastAsia="Segoe Condensed" w:cs="Segoe Condensed"/>
        </w:rPr>
        <w:t xml:space="preserve"> </w:t>
      </w:r>
      <w:r>
        <w:rPr>
          <w:rStyle w:val="Aucun"/>
          <w:rFonts w:ascii="Segoe Condensed" w:eastAsia="Segoe Condensed" w:hAnsi="Segoe Condensed" w:cs="Segoe Condensed"/>
          <w:sz w:val="24"/>
          <w:szCs w:val="24"/>
        </w:rPr>
        <w:t xml:space="preserve">notamment de la NES 5  ainsi que des lois et règlements de la RDC en matière de réinstallation, les instruments internationaux sur les droits des femmes ainsi que la Note de Bonne </w:t>
      </w:r>
      <w:r>
        <w:rPr>
          <w:rStyle w:val="Aucun"/>
          <w:rFonts w:ascii="Segoe Condensed" w:eastAsia="Segoe Condensed" w:hAnsi="Segoe Condensed" w:cs="Segoe Condensed"/>
          <w:sz w:val="24"/>
          <w:szCs w:val="24"/>
        </w:rPr>
        <w:t>Pratique de la Banque mondiale, pour lutter contre l’EAS/HS ;</w:t>
      </w:r>
    </w:p>
    <w:p w:rsidR="00A90091" w:rsidRDefault="00800EB2">
      <w:pPr>
        <w:numPr>
          <w:ilvl w:val="0"/>
          <w:numId w:val="23"/>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Avoir une bonne maitrise orale et écrite du français (à faire apparaître dans le CV)</w:t>
      </w:r>
    </w:p>
    <w:p w:rsidR="00A90091" w:rsidRDefault="00800EB2">
      <w:pPr>
        <w:numPr>
          <w:ilvl w:val="0"/>
          <w:numId w:val="23"/>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La connaissance de la langue Tshiluba serait un atout.</w:t>
      </w:r>
    </w:p>
    <w:p w:rsidR="00A90091" w:rsidRDefault="00800EB2">
      <w:pPr>
        <w:pStyle w:val="Paragraphedeliste"/>
        <w:numPr>
          <w:ilvl w:val="0"/>
          <w:numId w:val="24"/>
        </w:numPr>
        <w:jc w:val="both"/>
        <w:rPr>
          <w:rFonts w:ascii="Segoe Condensed" w:eastAsia="Segoe Condensed" w:hAnsi="Segoe Condensed" w:cs="Segoe Condensed"/>
          <w:b/>
          <w:bCs/>
          <w:sz w:val="24"/>
          <w:szCs w:val="24"/>
        </w:rPr>
      </w:pPr>
      <w:r>
        <w:rPr>
          <w:rStyle w:val="Aucun"/>
          <w:rFonts w:ascii="Segoe Condensed" w:eastAsia="Segoe Condensed" w:hAnsi="Segoe Condensed" w:cs="Segoe Condensed"/>
          <w:b/>
          <w:bCs/>
          <w:sz w:val="24"/>
          <w:szCs w:val="24"/>
        </w:rPr>
        <w:t>NOTE METHODOLOGIQUE</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Le Consultant devra fournir : son </w:t>
      </w:r>
      <w:r>
        <w:rPr>
          <w:rStyle w:val="Aucun"/>
          <w:rFonts w:ascii="Segoe Condensed" w:eastAsia="Segoe Condensed" w:hAnsi="Segoe Condensed" w:cs="Segoe Condensed"/>
          <w:sz w:val="24"/>
          <w:szCs w:val="24"/>
        </w:rPr>
        <w:t xml:space="preserve">CV ; son offre financière et sa note méthodologique décrivant (i) sa compréhension des Termes de référence et indiquera toute observation et suggestion y relatives, (ii) ses méthodes, son organisation et l'approche pratique de sa mission, et toutes autres </w:t>
      </w:r>
      <w:r>
        <w:rPr>
          <w:rStyle w:val="Aucun"/>
          <w:rFonts w:ascii="Segoe Condensed" w:eastAsia="Segoe Condensed" w:hAnsi="Segoe Condensed" w:cs="Segoe Condensed"/>
          <w:sz w:val="24"/>
          <w:szCs w:val="24"/>
        </w:rPr>
        <w:t>dispositions qui permettraient à l’UGP d'apprécier la qualité des services proposés.</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 Consultant proposera également le chronogramme d'intervention conformément au délai fixé.</w:t>
      </w:r>
    </w:p>
    <w:p w:rsidR="00A90091" w:rsidRDefault="00800EB2">
      <w:pPr>
        <w:pStyle w:val="Paragraphedeliste"/>
        <w:numPr>
          <w:ilvl w:val="0"/>
          <w:numId w:val="20"/>
        </w:numPr>
        <w:jc w:val="both"/>
        <w:rPr>
          <w:rFonts w:ascii="Segoe Condensed" w:eastAsia="Segoe Condensed" w:hAnsi="Segoe Condensed" w:cs="Segoe Condensed"/>
          <w:sz w:val="24"/>
          <w:szCs w:val="24"/>
        </w:rPr>
      </w:pPr>
      <w:r>
        <w:rPr>
          <w:rStyle w:val="Aucun"/>
          <w:rFonts w:ascii="Segoe Condensed" w:eastAsia="Segoe Condensed" w:hAnsi="Segoe Condensed" w:cs="Segoe Condensed"/>
          <w:b/>
          <w:bCs/>
          <w:sz w:val="24"/>
          <w:szCs w:val="24"/>
        </w:rPr>
        <w:t>OBLIGATIONS DU MAITRE D’OUVRAGE</w:t>
      </w:r>
    </w:p>
    <w:p w:rsidR="00A90091" w:rsidRDefault="00800EB2">
      <w:pPr>
        <w:jc w:val="both"/>
        <w:rPr>
          <w:rStyle w:val="Aucun"/>
        </w:rPr>
      </w:pPr>
      <w:r>
        <w:rPr>
          <w:rStyle w:val="Aucun"/>
          <w:rFonts w:ascii="Segoe Condensed" w:eastAsia="Segoe Condensed" w:hAnsi="Segoe Condensed" w:cs="Segoe Condensed"/>
          <w:sz w:val="24"/>
          <w:szCs w:val="24"/>
        </w:rPr>
        <w:t xml:space="preserve">Le Maître d’Ouvrage facilitera pour le </w:t>
      </w:r>
      <w:r>
        <w:rPr>
          <w:rStyle w:val="Aucun"/>
          <w:rFonts w:ascii="Segoe Condensed" w:eastAsia="Segoe Condensed" w:hAnsi="Segoe Condensed" w:cs="Segoe Condensed"/>
          <w:sz w:val="24"/>
          <w:szCs w:val="24"/>
        </w:rPr>
        <w:t>Consultant l'obtention de tous les documents techniques et administratifs existants (y compris la mercuriale au niveau de la Province du Kasaï Central) et nécessaires à la réalisation de sa mission. En particulier, le Maître d’Ouvrage remettra au Consultan</w:t>
      </w:r>
      <w:r>
        <w:rPr>
          <w:rStyle w:val="Aucun"/>
          <w:rFonts w:ascii="Segoe Condensed" w:eastAsia="Segoe Condensed" w:hAnsi="Segoe Condensed" w:cs="Segoe Condensed"/>
          <w:sz w:val="24"/>
          <w:szCs w:val="24"/>
        </w:rPr>
        <w:t>t l’ensemble des études antérieures disponibles, ainsi que les données les plus récentes disponibles sur la zone du projet s’il détient ces informations. L'utilisation de ces documents devra rester confidentielle et strictement réservée au cadre du Projet.</w:t>
      </w:r>
      <w:r>
        <w:rPr>
          <w:rStyle w:val="Aucun"/>
          <w:rFonts w:ascii="Segoe Condensed" w:eastAsia="Segoe Condensed" w:hAnsi="Segoe Condensed" w:cs="Segoe Condensed"/>
          <w:sz w:val="24"/>
          <w:szCs w:val="24"/>
        </w:rPr>
        <w:t xml:space="preserve"> Le Maître d’Ouvrage fournira au Consultant et à son personnel toutes les facilités en matière d’autorisation de séjour, d’exercice de la profession et de fiscalité dans les conditions prévues par les textes en vigueur en République Démocratique du Congo.</w:t>
      </w:r>
    </w:p>
    <w:p w:rsidR="00A90091" w:rsidRDefault="00A90091">
      <w:pPr>
        <w:jc w:val="both"/>
        <w:rPr>
          <w:rStyle w:val="Aucun"/>
          <w:rFonts w:ascii="Segoe Condensed" w:eastAsia="Segoe Condensed" w:hAnsi="Segoe Condensed" w:cs="Segoe Condensed"/>
          <w:sz w:val="24"/>
          <w:szCs w:val="24"/>
        </w:rPr>
      </w:pPr>
    </w:p>
    <w:p w:rsidR="00A90091" w:rsidRDefault="00800EB2">
      <w:pPr>
        <w:pStyle w:val="Paragraphedeliste"/>
        <w:numPr>
          <w:ilvl w:val="0"/>
          <w:numId w:val="20"/>
        </w:numPr>
        <w:jc w:val="both"/>
        <w:rPr>
          <w:rFonts w:ascii="Segoe Condensed" w:eastAsia="Segoe Condensed" w:hAnsi="Segoe Condensed" w:cs="Segoe Condensed"/>
          <w:b/>
          <w:bCs/>
          <w:sz w:val="24"/>
          <w:szCs w:val="24"/>
        </w:rPr>
      </w:pPr>
      <w:r>
        <w:rPr>
          <w:rStyle w:val="Aucun"/>
          <w:rFonts w:ascii="Segoe Condensed" w:eastAsia="Segoe Condensed" w:hAnsi="Segoe Condensed" w:cs="Segoe Condensed"/>
          <w:b/>
          <w:bCs/>
          <w:sz w:val="24"/>
          <w:szCs w:val="24"/>
        </w:rPr>
        <w:t>OBLIGATIONS DU CONSULTANT</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lastRenderedPageBreak/>
        <w:t>Pendant toute la durée de sa mission, le Consultant collaborera étroitement avec les services suivants :</w:t>
      </w:r>
    </w:p>
    <w:p w:rsidR="00A90091" w:rsidRDefault="00800EB2">
      <w:pPr>
        <w:numPr>
          <w:ilvl w:val="0"/>
          <w:numId w:val="26"/>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L’UG/PURUK ;</w:t>
      </w:r>
    </w:p>
    <w:p w:rsidR="00A90091" w:rsidRDefault="00800EB2">
      <w:pPr>
        <w:numPr>
          <w:ilvl w:val="0"/>
          <w:numId w:val="26"/>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Les Ministères provinciaux pouvant intervenir sur certains aspects du projet et l’OVD ;</w:t>
      </w:r>
    </w:p>
    <w:p w:rsidR="00A90091" w:rsidRDefault="00800EB2">
      <w:pPr>
        <w:numPr>
          <w:ilvl w:val="0"/>
          <w:numId w:val="26"/>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Les autorités locales </w:t>
      </w:r>
      <w:r>
        <w:rPr>
          <w:rStyle w:val="Aucun"/>
          <w:rFonts w:ascii="Segoe Condensed" w:eastAsia="Segoe Condensed" w:hAnsi="Segoe Condensed" w:cs="Segoe Condensed"/>
          <w:sz w:val="24"/>
          <w:szCs w:val="24"/>
        </w:rPr>
        <w:t>dans de la ville de Kananga ainsi que les organisations de la société civile ;</w:t>
      </w:r>
    </w:p>
    <w:p w:rsidR="00A90091" w:rsidRDefault="00800EB2">
      <w:pPr>
        <w:numPr>
          <w:ilvl w:val="0"/>
          <w:numId w:val="26"/>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Les populations riveraines concernées par les trois sites du projet (SNCC, PK 706 et MONUSCO) ;</w:t>
      </w:r>
    </w:p>
    <w:p w:rsidR="00A90091" w:rsidRDefault="00800EB2">
      <w:pPr>
        <w:ind w:left="66"/>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 Consultant fera un usage confidentiel des informations reçues du PURUK. Il tie</w:t>
      </w:r>
      <w:r>
        <w:rPr>
          <w:rStyle w:val="Aucun"/>
          <w:rFonts w:ascii="Segoe Condensed" w:eastAsia="Segoe Condensed" w:hAnsi="Segoe Condensed" w:cs="Segoe Condensed"/>
          <w:sz w:val="24"/>
          <w:szCs w:val="24"/>
        </w:rPr>
        <w:t>ndra un inventaire des documents reçus qu'il se fera fort de restituer à la fin de son contrat. Le Consultant s’acquittera de sa mission dans les règles de l’art et maintiendra une communication permanente et satisfaisante avec l’UG/PURUK.</w:t>
      </w:r>
    </w:p>
    <w:p w:rsidR="00A90091" w:rsidRDefault="00800EB2">
      <w:pPr>
        <w:ind w:left="66"/>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 consultant in</w:t>
      </w:r>
      <w:r>
        <w:rPr>
          <w:rStyle w:val="Aucun"/>
          <w:rFonts w:ascii="Segoe Condensed" w:eastAsia="Segoe Condensed" w:hAnsi="Segoe Condensed" w:cs="Segoe Condensed"/>
          <w:sz w:val="24"/>
          <w:szCs w:val="24"/>
        </w:rPr>
        <w:t>dividuel et le personnel qui intègrent l’équipe (Enquêteurs, etc.) devront signer le code de bonne conduite du projet, ainsi que bénéficier d’une séance de sensibilisation avant le lancement de la mission, en matière de risques et conséquences VBG, y compr</w:t>
      </w:r>
      <w:r>
        <w:rPr>
          <w:rStyle w:val="Aucun"/>
          <w:rFonts w:ascii="Segoe Condensed" w:eastAsia="Segoe Condensed" w:hAnsi="Segoe Condensed" w:cs="Segoe Condensed"/>
          <w:sz w:val="24"/>
          <w:szCs w:val="24"/>
        </w:rPr>
        <w:t xml:space="preserve">is EAS/HS, le contenu du code de bonne conduite, et le mécanisme mis à disposition par le projet pour dénoncer ces incidents. </w:t>
      </w:r>
    </w:p>
    <w:p w:rsidR="00A90091" w:rsidRDefault="00800EB2">
      <w:pPr>
        <w:pStyle w:val="Paragraphedeliste"/>
        <w:numPr>
          <w:ilvl w:val="0"/>
          <w:numId w:val="27"/>
        </w:numPr>
        <w:jc w:val="both"/>
        <w:rPr>
          <w:rFonts w:ascii="Segoe Condensed" w:eastAsia="Segoe Condensed" w:hAnsi="Segoe Condensed" w:cs="Segoe Condensed"/>
          <w:b/>
          <w:bCs/>
          <w:sz w:val="24"/>
          <w:szCs w:val="24"/>
        </w:rPr>
      </w:pPr>
      <w:r>
        <w:rPr>
          <w:rStyle w:val="Aucun"/>
          <w:rFonts w:ascii="Segoe Condensed" w:eastAsia="Segoe Condensed" w:hAnsi="Segoe Condensed" w:cs="Segoe Condensed"/>
          <w:b/>
          <w:bCs/>
          <w:sz w:val="24"/>
          <w:szCs w:val="24"/>
        </w:rPr>
        <w:t>REMUNERATION DU CONSULTANT</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Le Consultant sera rémunéré de la manière suivante : </w:t>
      </w:r>
    </w:p>
    <w:p w:rsidR="00A90091" w:rsidRDefault="00800EB2">
      <w:pPr>
        <w:numPr>
          <w:ilvl w:val="0"/>
          <w:numId w:val="29"/>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20 % au démarrage ;</w:t>
      </w:r>
    </w:p>
    <w:p w:rsidR="00A90091" w:rsidRDefault="00800EB2">
      <w:pPr>
        <w:numPr>
          <w:ilvl w:val="0"/>
          <w:numId w:val="29"/>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 xml:space="preserve">50 % à la remise du rapport </w:t>
      </w:r>
      <w:r>
        <w:rPr>
          <w:rStyle w:val="Aucun"/>
          <w:rFonts w:ascii="Segoe Condensed" w:eastAsia="Segoe Condensed" w:hAnsi="Segoe Condensed" w:cs="Segoe Condensed"/>
          <w:sz w:val="24"/>
          <w:szCs w:val="24"/>
        </w:rPr>
        <w:t>provisoire ;</w:t>
      </w:r>
    </w:p>
    <w:p w:rsidR="00A90091" w:rsidRDefault="00800EB2">
      <w:pPr>
        <w:numPr>
          <w:ilvl w:val="0"/>
          <w:numId w:val="29"/>
        </w:numPr>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30 % à la remise du rapport final ayant reçu l’Avis de Non-Objection de la Banque mondiale en respectant les exigences de délai et de qualité.</w:t>
      </w:r>
    </w:p>
    <w:p w:rsidR="00A90091" w:rsidRDefault="00800EB2">
      <w:pPr>
        <w:pStyle w:val="Paragraphedeliste"/>
        <w:numPr>
          <w:ilvl w:val="0"/>
          <w:numId w:val="30"/>
        </w:numPr>
        <w:jc w:val="both"/>
        <w:rPr>
          <w:rFonts w:ascii="Segoe Condensed" w:eastAsia="Segoe Condensed" w:hAnsi="Segoe Condensed" w:cs="Segoe Condensed"/>
          <w:b/>
          <w:bCs/>
          <w:sz w:val="24"/>
          <w:szCs w:val="24"/>
        </w:rPr>
      </w:pPr>
      <w:r>
        <w:rPr>
          <w:rStyle w:val="Aucun"/>
          <w:rFonts w:ascii="Segoe Condensed" w:eastAsia="Segoe Condensed" w:hAnsi="Segoe Condensed" w:cs="Segoe Condensed"/>
          <w:b/>
          <w:bCs/>
          <w:sz w:val="24"/>
          <w:szCs w:val="24"/>
        </w:rPr>
        <w:t>MÉTHODE DE SÉLECTION ET DOSSIERS DE CANDIDATURE</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 consultant sera recruté sur la base de ses qualif</w:t>
      </w:r>
      <w:r>
        <w:rPr>
          <w:rStyle w:val="Aucun"/>
          <w:rFonts w:ascii="Segoe Condensed" w:eastAsia="Segoe Condensed" w:hAnsi="Segoe Condensed" w:cs="Segoe Condensed"/>
          <w:sz w:val="24"/>
          <w:szCs w:val="24"/>
        </w:rPr>
        <w:t>ications académiques et expériences professionnelles pertinentes, et de sa capacité à réaliser la mission. Le recrutement se fera selon la procédure de sélection des consultants individuels définie à la Section V des Directives : Sélection et Emploi de Con</w:t>
      </w:r>
      <w:r>
        <w:rPr>
          <w:rStyle w:val="Aucun"/>
          <w:rFonts w:ascii="Segoe Condensed" w:eastAsia="Segoe Condensed" w:hAnsi="Segoe Condensed" w:cs="Segoe Condensed"/>
          <w:sz w:val="24"/>
          <w:szCs w:val="24"/>
        </w:rPr>
        <w:t>sultants par les Emprunteurs de la Banque mondiale, édition janvier 2011 et révisées en juillet 2014.</w:t>
      </w:r>
    </w:p>
    <w:p w:rsidR="00A90091" w:rsidRDefault="00800EB2">
      <w:pPr>
        <w:jc w:val="both"/>
        <w:rPr>
          <w:rStyle w:val="Aucun"/>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Le dossier de candidature est composé de :</w:t>
      </w:r>
    </w:p>
    <w:p w:rsidR="00A90091" w:rsidRDefault="00800EB2">
      <w:pPr>
        <w:numPr>
          <w:ilvl w:val="0"/>
          <w:numId w:val="32"/>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Une lettre de motivation d’une page maximum ;</w:t>
      </w:r>
    </w:p>
    <w:p w:rsidR="00A90091" w:rsidRDefault="00800EB2">
      <w:pPr>
        <w:numPr>
          <w:ilvl w:val="0"/>
          <w:numId w:val="32"/>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Un curriculum vitae détaillé ;</w:t>
      </w:r>
    </w:p>
    <w:p w:rsidR="00A90091" w:rsidRDefault="00800EB2">
      <w:pPr>
        <w:numPr>
          <w:ilvl w:val="0"/>
          <w:numId w:val="32"/>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t>La photocopie des diplômes.</w:t>
      </w:r>
    </w:p>
    <w:p w:rsidR="00A90091" w:rsidRDefault="00800EB2">
      <w:pPr>
        <w:numPr>
          <w:ilvl w:val="0"/>
          <w:numId w:val="32"/>
        </w:numPr>
        <w:spacing w:after="0"/>
        <w:jc w:val="both"/>
        <w:rPr>
          <w:rFonts w:ascii="Segoe Condensed" w:eastAsia="Segoe Condensed" w:hAnsi="Segoe Condensed" w:cs="Segoe Condensed"/>
          <w:sz w:val="24"/>
          <w:szCs w:val="24"/>
        </w:rPr>
      </w:pPr>
      <w:r>
        <w:rPr>
          <w:rStyle w:val="Aucun"/>
          <w:rFonts w:ascii="Segoe Condensed" w:eastAsia="Segoe Condensed" w:hAnsi="Segoe Condensed" w:cs="Segoe Condensed"/>
          <w:sz w:val="24"/>
          <w:szCs w:val="24"/>
        </w:rPr>
        <w:lastRenderedPageBreak/>
        <w:t>Les co</w:t>
      </w:r>
      <w:r>
        <w:rPr>
          <w:rStyle w:val="Aucun"/>
          <w:rFonts w:ascii="Segoe Condensed" w:eastAsia="Segoe Condensed" w:hAnsi="Segoe Condensed" w:cs="Segoe Condensed"/>
          <w:sz w:val="24"/>
          <w:szCs w:val="24"/>
        </w:rPr>
        <w:t xml:space="preserve">pies des Contrats ou Attestations de bonne fin pour les marchés similaires précédents. </w:t>
      </w:r>
    </w:p>
    <w:sectPr w:rsidR="00A90091">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EB2" w:rsidRDefault="00800EB2">
      <w:pPr>
        <w:spacing w:after="0" w:line="240" w:lineRule="auto"/>
      </w:pPr>
      <w:r>
        <w:separator/>
      </w:r>
    </w:p>
  </w:endnote>
  <w:endnote w:type="continuationSeparator" w:id="0">
    <w:p w:rsidR="00800EB2" w:rsidRDefault="0080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6040000020004"/>
    <w:charset w:val="00"/>
    <w:family w:val="auto"/>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Segoe Condense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091" w:rsidRDefault="00A90091">
    <w:pPr>
      <w:pStyle w:val="Pieddepage"/>
      <w:tabs>
        <w:tab w:val="clear" w:pos="9072"/>
        <w:tab w:val="right" w:pos="904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EB2" w:rsidRDefault="00800EB2">
      <w:r>
        <w:separator/>
      </w:r>
    </w:p>
  </w:footnote>
  <w:footnote w:type="continuationSeparator" w:id="0">
    <w:p w:rsidR="00800EB2" w:rsidRDefault="00800EB2">
      <w:r>
        <w:continuationSeparator/>
      </w:r>
    </w:p>
  </w:footnote>
  <w:footnote w:type="continuationNotice" w:id="1">
    <w:p w:rsidR="00800EB2" w:rsidRDefault="00800EB2"/>
  </w:footnote>
  <w:footnote w:id="2">
    <w:p w:rsidR="00A90091" w:rsidRDefault="00800EB2">
      <w:pPr>
        <w:pStyle w:val="Notedebasdepage"/>
      </w:pPr>
      <w:r>
        <w:rPr>
          <w:rStyle w:val="Aucun"/>
          <w:rFonts w:ascii="Segoe Condensed" w:eastAsia="Segoe Condensed" w:hAnsi="Segoe Condensed" w:cs="Segoe Condensed"/>
          <w:sz w:val="24"/>
          <w:szCs w:val="24"/>
          <w:vertAlign w:val="superscript"/>
        </w:rPr>
        <w:footnoteRef/>
      </w:r>
      <w:r>
        <w:rPr>
          <w:rStyle w:val="Aucun"/>
          <w:vertAlign w:val="superscript"/>
        </w:rPr>
        <w:t xml:space="preserve"> Exploitation et </w:t>
      </w:r>
      <w:r>
        <w:rPr>
          <w:rStyle w:val="Aucun"/>
          <w:vertAlign w:val="superscript"/>
          <w:lang w:val="fr-FR"/>
        </w:rPr>
        <w:t>Abus</w:t>
      </w:r>
      <w:r>
        <w:rPr>
          <w:rStyle w:val="Aucun"/>
          <w:vertAlign w:val="superscript"/>
        </w:rPr>
        <w:t xml:space="preserve"> </w:t>
      </w:r>
      <w:r>
        <w:rPr>
          <w:rStyle w:val="Aucun"/>
          <w:vertAlign w:val="superscript"/>
          <w:lang w:val="fr-FR"/>
        </w:rPr>
        <w:t>Sexuel</w:t>
      </w:r>
      <w:r>
        <w:rPr>
          <w:rStyle w:val="Aucun"/>
          <w:vertAlign w:val="superscript"/>
        </w:rPr>
        <w:t xml:space="preserve">, et </w:t>
      </w:r>
      <w:r>
        <w:rPr>
          <w:rStyle w:val="Aucun"/>
          <w:vertAlign w:val="superscript"/>
          <w:lang w:val="fr-FR"/>
        </w:rPr>
        <w:t>Harcèlement</w:t>
      </w:r>
      <w:r>
        <w:rPr>
          <w:rStyle w:val="Aucun"/>
          <w:vertAlign w:val="superscript"/>
        </w:rPr>
        <w:t xml:space="preserve"> </w:t>
      </w:r>
      <w:r>
        <w:rPr>
          <w:rStyle w:val="Aucun"/>
          <w:vertAlign w:val="superscript"/>
          <w:lang w:val="fr-FR"/>
        </w:rPr>
        <w:t>Sexuel</w:t>
      </w:r>
    </w:p>
  </w:footnote>
  <w:footnote w:id="3">
    <w:p w:rsidR="00A90091" w:rsidRDefault="00800EB2">
      <w:pPr>
        <w:pStyle w:val="Notedebasdepage"/>
      </w:pPr>
      <w:r>
        <w:rPr>
          <w:rStyle w:val="Aucun"/>
          <w:rFonts w:ascii="Segoe Condensed" w:eastAsia="Segoe Condensed" w:hAnsi="Segoe Condensed" w:cs="Segoe Condensed"/>
          <w:sz w:val="24"/>
          <w:szCs w:val="24"/>
          <w:vertAlign w:val="superscript"/>
        </w:rPr>
        <w:footnoteRef/>
      </w:r>
      <w:r>
        <w:rPr>
          <w:rStyle w:val="FootnoteReferenceFNRefeCharCharCarBVICar16PointBVIfnrFootnoteFootnoteReferenceNumberFootnoteReference1FootnoteReferenceLVL6FootnoteReferenceLVL61FootnoteReferenceLVL62FootnoteReferenceLVL63FootnoteReferenceLVL64fr"/>
          <w:rFonts w:eastAsia="Arial Unicode MS" w:cs="Arial Unicode MS"/>
        </w:rPr>
        <w:t xml:space="preserve"> </w:t>
      </w:r>
      <w:hyperlink r:id="rId1" w:history="1">
        <w:r>
          <w:rPr>
            <w:rStyle w:val="FootnoteReferenceFNRefeCharCharCarBVICar16PointBVIfnrFootnoteFootnoteReferenceNumberFootnoteReference1FootnoteReferenceLVL6FootnoteReferenceLVL61FootnoteReferenceLVL62FootnoteReferenceLVL63FootnoteReferenceLVL64fr"/>
            <w:rFonts w:eastAsia="Arial Unicode MS" w:cs="Arial Unicode MS"/>
          </w:rPr>
          <w:t>https://thedocs.worldbank.org/en/doc/b3e4f9273f676308274e8831538d9f91-0290032023/original/SEA-SH-Civil-Wor</w:t>
        </w:r>
        <w:r>
          <w:rPr>
            <w:rStyle w:val="FootnoteReferenceFNRefeCharCharCarBVICar16PointBVIfnrFootnoteFootnoteReferenceNumberFootnoteReference1FootnoteReferenceLVL6FootnoteReferenceLVL61FootnoteReferenceLVL62FootnoteReferenceLVL63FootnoteReferenceLVL64fr"/>
            <w:rFonts w:eastAsia="Arial Unicode MS" w:cs="Arial Unicode MS"/>
          </w:rPr>
          <w:t>ks-GPN-Third-Edition-French-translation.pdf</w:t>
        </w:r>
      </w:hyperlink>
    </w:p>
  </w:footnote>
  <w:footnote w:id="4">
    <w:p w:rsidR="00A90091" w:rsidRDefault="00800EB2">
      <w:pPr>
        <w:pStyle w:val="Notedebasdepage"/>
        <w:spacing w:line="276" w:lineRule="auto"/>
        <w:jc w:val="both"/>
      </w:pPr>
      <w:r>
        <w:rPr>
          <w:rStyle w:val="Aucun"/>
          <w:rFonts w:ascii="Segoe Condensed" w:eastAsia="Segoe Condensed" w:hAnsi="Segoe Condensed" w:cs="Segoe Condensed"/>
          <w:sz w:val="24"/>
          <w:szCs w:val="24"/>
          <w:vertAlign w:val="superscript"/>
          <w:lang w:val="fr-FR"/>
        </w:rPr>
        <w:footnoteRef/>
      </w:r>
      <w:r>
        <w:rPr>
          <w:rStyle w:val="Aucun"/>
          <w:rFonts w:ascii="Arial" w:hAnsi="Arial"/>
          <w:sz w:val="16"/>
          <w:szCs w:val="16"/>
          <w:lang w:val="fr-FR"/>
        </w:rPr>
        <w:t xml:space="preserve">  L</w:t>
      </w:r>
      <w:r>
        <w:rPr>
          <w:rStyle w:val="Aucun"/>
          <w:rFonts w:ascii="Arial" w:hAnsi="Arial"/>
          <w:sz w:val="16"/>
          <w:szCs w:val="16"/>
          <w:lang w:val="fr-FR"/>
        </w:rPr>
        <w:t>’</w:t>
      </w:r>
      <w:r>
        <w:rPr>
          <w:rStyle w:val="Aucun"/>
          <w:rFonts w:ascii="Arial" w:hAnsi="Arial"/>
          <w:sz w:val="16"/>
          <w:szCs w:val="16"/>
          <w:lang w:val="fr-FR"/>
        </w:rPr>
        <w:t>interdiction de proc</w:t>
      </w:r>
      <w:r>
        <w:rPr>
          <w:rStyle w:val="Aucun"/>
          <w:rFonts w:ascii="Arial" w:hAnsi="Arial"/>
          <w:sz w:val="16"/>
          <w:szCs w:val="16"/>
          <w:lang w:val="fr-FR"/>
        </w:rPr>
        <w:t>é</w:t>
      </w:r>
      <w:r>
        <w:rPr>
          <w:rStyle w:val="Aucun"/>
          <w:rFonts w:ascii="Arial" w:hAnsi="Arial"/>
          <w:sz w:val="16"/>
          <w:szCs w:val="16"/>
          <w:lang w:val="fr-FR"/>
        </w:rPr>
        <w:t xml:space="preserve">der </w:t>
      </w:r>
      <w:r>
        <w:rPr>
          <w:rStyle w:val="Aucun"/>
          <w:rFonts w:ascii="Arial" w:hAnsi="Arial"/>
          <w:sz w:val="16"/>
          <w:szCs w:val="16"/>
          <w:lang w:val="fr-FR"/>
        </w:rPr>
        <w:t xml:space="preserve">à </w:t>
      </w:r>
      <w:r>
        <w:rPr>
          <w:rStyle w:val="Aucun"/>
          <w:rFonts w:ascii="Arial" w:hAnsi="Arial"/>
          <w:sz w:val="16"/>
          <w:szCs w:val="16"/>
          <w:lang w:val="fr-FR"/>
        </w:rPr>
        <w:t xml:space="preserve">une </w:t>
      </w:r>
      <w:r>
        <w:rPr>
          <w:rStyle w:val="Aucun"/>
          <w:rFonts w:ascii="Arial" w:hAnsi="Arial"/>
          <w:sz w:val="16"/>
          <w:szCs w:val="16"/>
          <w:lang w:val="fr-FR"/>
        </w:rPr>
        <w:t>«</w:t>
      </w:r>
      <w:r>
        <w:rPr>
          <w:rStyle w:val="Aucun"/>
          <w:rFonts w:ascii="Arial" w:hAnsi="Arial"/>
          <w:sz w:val="16"/>
          <w:szCs w:val="16"/>
          <w:lang w:val="fr-FR"/>
        </w:rPr>
        <w:t>expulsion forc</w:t>
      </w:r>
      <w:r>
        <w:rPr>
          <w:rStyle w:val="Aucun"/>
          <w:rFonts w:ascii="Arial" w:hAnsi="Arial"/>
          <w:sz w:val="16"/>
          <w:szCs w:val="16"/>
          <w:lang w:val="fr-FR"/>
        </w:rPr>
        <w:t>é</w:t>
      </w:r>
      <w:r>
        <w:rPr>
          <w:rStyle w:val="Aucun"/>
          <w:rFonts w:ascii="Arial" w:hAnsi="Arial"/>
          <w:sz w:val="16"/>
          <w:szCs w:val="16"/>
          <w:lang w:val="fr-FR"/>
        </w:rPr>
        <w:t>e</w:t>
      </w:r>
      <w:r>
        <w:rPr>
          <w:rStyle w:val="Aucun"/>
          <w:rFonts w:ascii="Arial" w:hAnsi="Arial"/>
          <w:sz w:val="16"/>
          <w:szCs w:val="16"/>
          <w:lang w:val="fr-FR"/>
        </w:rPr>
        <w:t xml:space="preserve">» </w:t>
      </w:r>
      <w:r>
        <w:rPr>
          <w:rStyle w:val="Aucun"/>
          <w:rFonts w:ascii="Arial" w:hAnsi="Arial"/>
          <w:sz w:val="16"/>
          <w:szCs w:val="16"/>
          <w:lang w:val="fr-FR"/>
        </w:rPr>
        <w:t>n</w:t>
      </w:r>
      <w:r>
        <w:rPr>
          <w:rStyle w:val="Aucun"/>
          <w:rFonts w:ascii="Arial" w:hAnsi="Arial"/>
          <w:sz w:val="16"/>
          <w:szCs w:val="16"/>
          <w:lang w:val="fr-FR"/>
        </w:rPr>
        <w:t>’</w:t>
      </w:r>
      <w:r>
        <w:rPr>
          <w:rStyle w:val="Aucun"/>
          <w:rFonts w:ascii="Arial" w:hAnsi="Arial"/>
          <w:sz w:val="16"/>
          <w:szCs w:val="16"/>
          <w:lang w:val="fr-FR"/>
        </w:rPr>
        <w:t>emp</w:t>
      </w:r>
      <w:r>
        <w:rPr>
          <w:rStyle w:val="Aucun"/>
          <w:rFonts w:ascii="Arial" w:hAnsi="Arial"/>
          <w:sz w:val="16"/>
          <w:szCs w:val="16"/>
          <w:lang w:val="fr-FR"/>
        </w:rPr>
        <w:t>ê</w:t>
      </w:r>
      <w:r>
        <w:rPr>
          <w:rStyle w:val="Aucun"/>
          <w:rFonts w:ascii="Arial" w:hAnsi="Arial"/>
          <w:sz w:val="16"/>
          <w:szCs w:val="16"/>
          <w:lang w:val="fr-FR"/>
        </w:rPr>
        <w:t>che pas les pouvoirs publics de prendre des mesures pour expulser une personne qui continue d</w:t>
      </w:r>
      <w:r>
        <w:rPr>
          <w:rStyle w:val="Aucun"/>
          <w:rFonts w:ascii="Arial" w:hAnsi="Arial"/>
          <w:sz w:val="16"/>
          <w:szCs w:val="16"/>
          <w:lang w:val="fr-FR"/>
        </w:rPr>
        <w:t>’</w:t>
      </w:r>
      <w:r>
        <w:rPr>
          <w:rStyle w:val="Aucun"/>
          <w:rFonts w:ascii="Arial" w:hAnsi="Arial"/>
          <w:sz w:val="16"/>
          <w:szCs w:val="16"/>
          <w:lang w:val="fr-FR"/>
        </w:rPr>
        <w:t>occuper des terres apr</w:t>
      </w:r>
      <w:r>
        <w:rPr>
          <w:rStyle w:val="Aucun"/>
          <w:rFonts w:ascii="Arial" w:hAnsi="Arial"/>
          <w:sz w:val="16"/>
          <w:szCs w:val="16"/>
          <w:lang w:val="fr-FR"/>
        </w:rPr>
        <w:t>è</w:t>
      </w:r>
      <w:r>
        <w:rPr>
          <w:rStyle w:val="Aucun"/>
          <w:rFonts w:ascii="Arial" w:hAnsi="Arial"/>
          <w:sz w:val="16"/>
          <w:szCs w:val="16"/>
          <w:lang w:val="fr-FR"/>
        </w:rPr>
        <w:t>s l</w:t>
      </w:r>
      <w:r>
        <w:rPr>
          <w:rStyle w:val="Aucun"/>
          <w:rFonts w:ascii="Arial" w:hAnsi="Arial"/>
          <w:sz w:val="16"/>
          <w:szCs w:val="16"/>
          <w:lang w:val="fr-FR"/>
        </w:rPr>
        <w:t>’</w:t>
      </w:r>
      <w:r>
        <w:rPr>
          <w:rStyle w:val="Aucun"/>
          <w:rFonts w:ascii="Arial" w:hAnsi="Arial"/>
          <w:sz w:val="16"/>
          <w:szCs w:val="16"/>
          <w:lang w:val="fr-FR"/>
        </w:rPr>
        <w:t>ach</w:t>
      </w:r>
      <w:r>
        <w:rPr>
          <w:rStyle w:val="Aucun"/>
          <w:rFonts w:ascii="Arial" w:hAnsi="Arial"/>
          <w:sz w:val="16"/>
          <w:szCs w:val="16"/>
          <w:lang w:val="fr-FR"/>
        </w:rPr>
        <w:t>è</w:t>
      </w:r>
      <w:r>
        <w:rPr>
          <w:rStyle w:val="Aucun"/>
          <w:rFonts w:ascii="Arial" w:hAnsi="Arial"/>
          <w:sz w:val="16"/>
          <w:szCs w:val="16"/>
          <w:lang w:val="fr-FR"/>
        </w:rPr>
        <w:t>vement de la proc</w:t>
      </w:r>
      <w:r>
        <w:rPr>
          <w:rStyle w:val="Aucun"/>
          <w:rFonts w:ascii="Arial" w:hAnsi="Arial"/>
          <w:sz w:val="16"/>
          <w:szCs w:val="16"/>
          <w:lang w:val="fr-FR"/>
        </w:rPr>
        <w:t>é</w:t>
      </w:r>
      <w:r>
        <w:rPr>
          <w:rStyle w:val="Aucun"/>
          <w:rFonts w:ascii="Arial" w:hAnsi="Arial"/>
          <w:sz w:val="16"/>
          <w:szCs w:val="16"/>
          <w:lang w:val="fr-FR"/>
        </w:rPr>
        <w:t xml:space="preserve">dure </w:t>
      </w:r>
      <w:r>
        <w:rPr>
          <w:rStyle w:val="Aucun"/>
          <w:rFonts w:ascii="Arial" w:hAnsi="Arial"/>
          <w:sz w:val="16"/>
          <w:szCs w:val="16"/>
          <w:lang w:val="fr-FR"/>
        </w:rPr>
        <w:t>juridique d</w:t>
      </w:r>
      <w:r>
        <w:rPr>
          <w:rStyle w:val="Aucun"/>
          <w:rFonts w:ascii="Arial" w:hAnsi="Arial"/>
          <w:sz w:val="16"/>
          <w:szCs w:val="16"/>
          <w:lang w:val="fr-FR"/>
        </w:rPr>
        <w:t>’</w:t>
      </w:r>
      <w:r>
        <w:rPr>
          <w:rStyle w:val="Aucun"/>
          <w:rFonts w:ascii="Arial" w:hAnsi="Arial"/>
          <w:sz w:val="16"/>
          <w:szCs w:val="16"/>
          <w:lang w:val="fr-FR"/>
        </w:rPr>
        <w:t>expropriation pour cause d</w:t>
      </w:r>
      <w:r>
        <w:rPr>
          <w:rStyle w:val="Aucun"/>
          <w:rFonts w:ascii="Arial" w:hAnsi="Arial"/>
          <w:sz w:val="16"/>
          <w:szCs w:val="16"/>
          <w:lang w:val="fr-FR"/>
        </w:rPr>
        <w:t>’</w:t>
      </w:r>
      <w:r>
        <w:rPr>
          <w:rStyle w:val="Aucun"/>
          <w:rFonts w:ascii="Arial" w:hAnsi="Arial"/>
          <w:sz w:val="16"/>
          <w:szCs w:val="16"/>
          <w:lang w:val="fr-FR"/>
        </w:rPr>
        <w:t>utilit</w:t>
      </w:r>
      <w:r>
        <w:rPr>
          <w:rStyle w:val="Aucun"/>
          <w:rFonts w:ascii="Arial" w:hAnsi="Arial"/>
          <w:sz w:val="16"/>
          <w:szCs w:val="16"/>
          <w:lang w:val="fr-FR"/>
        </w:rPr>
        <w:t xml:space="preserve">é </w:t>
      </w:r>
      <w:r>
        <w:rPr>
          <w:rStyle w:val="Aucun"/>
          <w:rFonts w:ascii="Arial" w:hAnsi="Arial"/>
          <w:sz w:val="16"/>
          <w:szCs w:val="16"/>
          <w:lang w:val="fr-FR"/>
        </w:rPr>
        <w:t>publique ou d</w:t>
      </w:r>
      <w:r>
        <w:rPr>
          <w:rStyle w:val="Aucun"/>
          <w:rFonts w:ascii="Arial" w:hAnsi="Arial"/>
          <w:sz w:val="16"/>
          <w:szCs w:val="16"/>
          <w:lang w:val="fr-FR"/>
        </w:rPr>
        <w:t>’</w:t>
      </w:r>
      <w:r>
        <w:rPr>
          <w:rStyle w:val="Aucun"/>
          <w:rFonts w:ascii="Arial" w:hAnsi="Arial"/>
          <w:sz w:val="16"/>
          <w:szCs w:val="16"/>
          <w:lang w:val="fr-FR"/>
        </w:rPr>
        <w:t xml:space="preserve">appropriation. Une </w:t>
      </w:r>
      <w:r>
        <w:rPr>
          <w:rStyle w:val="Aucun"/>
          <w:rFonts w:ascii="Arial" w:hAnsi="Arial"/>
          <w:sz w:val="16"/>
          <w:szCs w:val="16"/>
          <w:lang w:val="fr-FR"/>
        </w:rPr>
        <w:t>é</w:t>
      </w:r>
      <w:r>
        <w:rPr>
          <w:rStyle w:val="Aucun"/>
          <w:rFonts w:ascii="Arial" w:hAnsi="Arial"/>
          <w:sz w:val="16"/>
          <w:szCs w:val="16"/>
          <w:lang w:val="fr-FR"/>
        </w:rPr>
        <w:t>viction n</w:t>
      </w:r>
      <w:r>
        <w:rPr>
          <w:rStyle w:val="Aucun"/>
          <w:rFonts w:ascii="Arial" w:hAnsi="Arial"/>
          <w:sz w:val="16"/>
          <w:szCs w:val="16"/>
          <w:lang w:val="fr-FR"/>
        </w:rPr>
        <w:t>’</w:t>
      </w:r>
      <w:r>
        <w:rPr>
          <w:rStyle w:val="Aucun"/>
          <w:rFonts w:ascii="Arial" w:hAnsi="Arial"/>
          <w:sz w:val="16"/>
          <w:szCs w:val="16"/>
          <w:lang w:val="fr-FR"/>
        </w:rPr>
        <w:t>est pas consid</w:t>
      </w:r>
      <w:r>
        <w:rPr>
          <w:rStyle w:val="Aucun"/>
          <w:rFonts w:ascii="Arial" w:hAnsi="Arial"/>
          <w:sz w:val="16"/>
          <w:szCs w:val="16"/>
          <w:lang w:val="fr-FR"/>
        </w:rPr>
        <w:t>é</w:t>
      </w:r>
      <w:r>
        <w:rPr>
          <w:rStyle w:val="Aucun"/>
          <w:rFonts w:ascii="Arial" w:hAnsi="Arial"/>
          <w:sz w:val="16"/>
          <w:szCs w:val="16"/>
          <w:lang w:val="fr-FR"/>
        </w:rPr>
        <w:t>r</w:t>
      </w:r>
      <w:r>
        <w:rPr>
          <w:rStyle w:val="Aucun"/>
          <w:rFonts w:ascii="Arial" w:hAnsi="Arial"/>
          <w:sz w:val="16"/>
          <w:szCs w:val="16"/>
          <w:lang w:val="fr-FR"/>
        </w:rPr>
        <w:t>é</w:t>
      </w:r>
      <w:r>
        <w:rPr>
          <w:rStyle w:val="Aucun"/>
          <w:rFonts w:ascii="Arial" w:hAnsi="Arial"/>
          <w:sz w:val="16"/>
          <w:szCs w:val="16"/>
          <w:lang w:val="fr-FR"/>
        </w:rPr>
        <w:t>e comme une expulsion forc</w:t>
      </w:r>
      <w:r>
        <w:rPr>
          <w:rStyle w:val="Aucun"/>
          <w:rFonts w:ascii="Arial" w:hAnsi="Arial"/>
          <w:sz w:val="16"/>
          <w:szCs w:val="16"/>
          <w:lang w:val="fr-FR"/>
        </w:rPr>
        <w:t>é</w:t>
      </w:r>
      <w:r>
        <w:rPr>
          <w:rStyle w:val="Aucun"/>
          <w:rFonts w:ascii="Arial" w:hAnsi="Arial"/>
          <w:sz w:val="16"/>
          <w:szCs w:val="16"/>
          <w:lang w:val="fr-FR"/>
        </w:rPr>
        <w:t xml:space="preserve">e si elle se conforme aux exigences du droit national, suit et </w:t>
      </w:r>
      <w:r>
        <w:rPr>
          <w:rStyle w:val="Aucun"/>
          <w:rFonts w:ascii="Arial" w:hAnsi="Arial"/>
          <w:sz w:val="16"/>
          <w:szCs w:val="16"/>
          <w:lang w:val="fr-FR"/>
        </w:rPr>
        <w:t>é</w:t>
      </w:r>
      <w:r>
        <w:rPr>
          <w:rStyle w:val="Aucun"/>
          <w:rFonts w:ascii="Arial" w:hAnsi="Arial"/>
          <w:sz w:val="16"/>
          <w:szCs w:val="16"/>
          <w:lang w:val="fr-FR"/>
        </w:rPr>
        <w:t>puise toutes les proc</w:t>
      </w:r>
      <w:r>
        <w:rPr>
          <w:rStyle w:val="Aucun"/>
          <w:rFonts w:ascii="Arial" w:hAnsi="Arial"/>
          <w:sz w:val="16"/>
          <w:szCs w:val="16"/>
          <w:lang w:val="fr-FR"/>
        </w:rPr>
        <w:t>é</w:t>
      </w:r>
      <w:r>
        <w:rPr>
          <w:rStyle w:val="Aucun"/>
          <w:rFonts w:ascii="Arial" w:hAnsi="Arial"/>
          <w:sz w:val="16"/>
          <w:szCs w:val="16"/>
          <w:lang w:val="fr-FR"/>
        </w:rPr>
        <w:t>dures juridiques et administratives</w:t>
      </w:r>
      <w:r>
        <w:rPr>
          <w:rStyle w:val="Aucun"/>
          <w:rFonts w:ascii="Arial" w:hAnsi="Arial"/>
          <w:sz w:val="16"/>
          <w:szCs w:val="16"/>
          <w:lang w:val="fr-FR"/>
        </w:rPr>
        <w:t xml:space="preserve"> pertinentes, y compris les actions en recours, respecte toutes les dispositions pertinentes de la NES no  5 et est men</w:t>
      </w:r>
      <w:r>
        <w:rPr>
          <w:rStyle w:val="Aucun"/>
          <w:rFonts w:ascii="Arial" w:hAnsi="Arial"/>
          <w:sz w:val="16"/>
          <w:szCs w:val="16"/>
          <w:lang w:val="fr-FR"/>
        </w:rPr>
        <w:t>é</w:t>
      </w:r>
      <w:r>
        <w:rPr>
          <w:rStyle w:val="Aucun"/>
          <w:rFonts w:ascii="Arial" w:hAnsi="Arial"/>
          <w:sz w:val="16"/>
          <w:szCs w:val="16"/>
          <w:lang w:val="fr-FR"/>
        </w:rPr>
        <w:t>e d</w:t>
      </w:r>
      <w:r>
        <w:rPr>
          <w:rStyle w:val="Aucun"/>
          <w:rFonts w:ascii="Arial" w:hAnsi="Arial"/>
          <w:sz w:val="16"/>
          <w:szCs w:val="16"/>
          <w:lang w:val="fr-FR"/>
        </w:rPr>
        <w:t>’</w:t>
      </w:r>
      <w:r>
        <w:rPr>
          <w:rStyle w:val="Aucun"/>
          <w:rFonts w:ascii="Arial" w:hAnsi="Arial"/>
          <w:sz w:val="16"/>
          <w:szCs w:val="16"/>
          <w:lang w:val="fr-FR"/>
        </w:rPr>
        <w:t>une mani</w:t>
      </w:r>
      <w:r>
        <w:rPr>
          <w:rStyle w:val="Aucun"/>
          <w:rFonts w:ascii="Arial" w:hAnsi="Arial"/>
          <w:sz w:val="16"/>
          <w:szCs w:val="16"/>
          <w:lang w:val="fr-FR"/>
        </w:rPr>
        <w:t>è</w:t>
      </w:r>
      <w:r>
        <w:rPr>
          <w:rStyle w:val="Aucun"/>
          <w:rFonts w:ascii="Arial" w:hAnsi="Arial"/>
          <w:sz w:val="16"/>
          <w:szCs w:val="16"/>
          <w:lang w:val="fr-FR"/>
        </w:rPr>
        <w:t>re compatible avec les principes fondamentaux d</w:t>
      </w:r>
      <w:r>
        <w:rPr>
          <w:rStyle w:val="Aucun"/>
          <w:rFonts w:ascii="Arial" w:hAnsi="Arial"/>
          <w:sz w:val="16"/>
          <w:szCs w:val="16"/>
          <w:lang w:val="fr-FR"/>
        </w:rPr>
        <w:t>’</w:t>
      </w:r>
      <w:r>
        <w:rPr>
          <w:rStyle w:val="Aucun"/>
          <w:rFonts w:ascii="Arial" w:hAnsi="Arial"/>
          <w:sz w:val="16"/>
          <w:szCs w:val="16"/>
          <w:lang w:val="fr-FR"/>
        </w:rPr>
        <w:t>une proc</w:t>
      </w:r>
      <w:r>
        <w:rPr>
          <w:rStyle w:val="Aucun"/>
          <w:rFonts w:ascii="Arial" w:hAnsi="Arial"/>
          <w:sz w:val="16"/>
          <w:szCs w:val="16"/>
          <w:lang w:val="fr-FR"/>
        </w:rPr>
        <w:t>é</w:t>
      </w:r>
      <w:r>
        <w:rPr>
          <w:rStyle w:val="Aucun"/>
          <w:rFonts w:ascii="Arial" w:hAnsi="Arial"/>
          <w:sz w:val="16"/>
          <w:szCs w:val="16"/>
          <w:lang w:val="fr-FR"/>
        </w:rPr>
        <w:t xml:space="preserve">dure </w:t>
      </w:r>
      <w:r>
        <w:rPr>
          <w:rStyle w:val="Aucun"/>
          <w:rFonts w:ascii="Arial" w:hAnsi="Arial"/>
          <w:sz w:val="16"/>
          <w:szCs w:val="16"/>
          <w:lang w:val="fr-FR"/>
        </w:rPr>
        <w:t>é</w:t>
      </w:r>
      <w:r>
        <w:rPr>
          <w:rStyle w:val="Aucun"/>
          <w:rFonts w:ascii="Arial" w:hAnsi="Arial"/>
          <w:sz w:val="16"/>
          <w:szCs w:val="16"/>
          <w:lang w:val="fr-FR"/>
        </w:rPr>
        <w:t xml:space="preserve">quitable, notamment le para. 30 de la NES 5, </w:t>
      </w:r>
      <w:r>
        <w:rPr>
          <w:rStyle w:val="Aucun"/>
          <w:rFonts w:ascii="Arial" w:hAnsi="Arial"/>
          <w:sz w:val="16"/>
          <w:szCs w:val="16"/>
          <w:lang w:val="fr-FR"/>
        </w:rPr>
        <w:t xml:space="preserve">à </w:t>
      </w:r>
      <w:r>
        <w:rPr>
          <w:rStyle w:val="Aucun"/>
          <w:rFonts w:ascii="Arial" w:hAnsi="Arial"/>
          <w:sz w:val="16"/>
          <w:szCs w:val="16"/>
          <w:lang w:val="fr-FR"/>
        </w:rPr>
        <w:t>savoir</w:t>
      </w:r>
      <w:r>
        <w:rPr>
          <w:rStyle w:val="Aucun"/>
          <w:rFonts w:ascii="Arial" w:hAnsi="Arial"/>
          <w:sz w:val="16"/>
          <w:szCs w:val="16"/>
          <w:lang w:val="fr-FR"/>
        </w:rPr>
        <w:t> </w:t>
      </w:r>
      <w:r>
        <w:rPr>
          <w:rStyle w:val="Aucun"/>
          <w:rFonts w:ascii="Arial" w:hAnsi="Arial"/>
          <w:sz w:val="16"/>
          <w:szCs w:val="16"/>
          <w:lang w:val="fr-FR"/>
        </w:rPr>
        <w:t>: donn</w:t>
      </w:r>
      <w:r>
        <w:rPr>
          <w:rStyle w:val="Aucun"/>
          <w:rFonts w:ascii="Arial" w:hAnsi="Arial"/>
          <w:sz w:val="16"/>
          <w:szCs w:val="16"/>
          <w:lang w:val="fr-FR"/>
        </w:rPr>
        <w:t>er un pr</w:t>
      </w:r>
      <w:r>
        <w:rPr>
          <w:rStyle w:val="Aucun"/>
          <w:rFonts w:ascii="Arial" w:hAnsi="Arial"/>
          <w:sz w:val="16"/>
          <w:szCs w:val="16"/>
          <w:lang w:val="fr-FR"/>
        </w:rPr>
        <w:t>é</w:t>
      </w:r>
      <w:r>
        <w:rPr>
          <w:rStyle w:val="Aucun"/>
          <w:rFonts w:ascii="Arial" w:hAnsi="Arial"/>
          <w:sz w:val="16"/>
          <w:szCs w:val="16"/>
          <w:lang w:val="fr-FR"/>
        </w:rPr>
        <w:t>avis suffisant et des possibilit</w:t>
      </w:r>
      <w:r>
        <w:rPr>
          <w:rStyle w:val="Aucun"/>
          <w:rFonts w:ascii="Arial" w:hAnsi="Arial"/>
          <w:sz w:val="16"/>
          <w:szCs w:val="16"/>
          <w:lang w:val="fr-FR"/>
        </w:rPr>
        <w:t>é</w:t>
      </w:r>
      <w:r>
        <w:rPr>
          <w:rStyle w:val="Aucun"/>
          <w:rFonts w:ascii="Arial" w:hAnsi="Arial"/>
          <w:sz w:val="16"/>
          <w:szCs w:val="16"/>
          <w:lang w:val="fr-FR"/>
        </w:rPr>
        <w:t>s r</w:t>
      </w:r>
      <w:r>
        <w:rPr>
          <w:rStyle w:val="Aucun"/>
          <w:rFonts w:ascii="Arial" w:hAnsi="Arial"/>
          <w:sz w:val="16"/>
          <w:szCs w:val="16"/>
          <w:lang w:val="fr-FR"/>
        </w:rPr>
        <w:t>é</w:t>
      </w:r>
      <w:r>
        <w:rPr>
          <w:rStyle w:val="Aucun"/>
          <w:rFonts w:ascii="Arial" w:hAnsi="Arial"/>
          <w:sz w:val="16"/>
          <w:szCs w:val="16"/>
          <w:lang w:val="fr-FR"/>
        </w:rPr>
        <w:t>elles de d</w:t>
      </w:r>
      <w:r>
        <w:rPr>
          <w:rStyle w:val="Aucun"/>
          <w:rFonts w:ascii="Arial" w:hAnsi="Arial"/>
          <w:sz w:val="16"/>
          <w:szCs w:val="16"/>
          <w:lang w:val="fr-FR"/>
        </w:rPr>
        <w:t>é</w:t>
      </w:r>
      <w:r>
        <w:rPr>
          <w:rStyle w:val="Aucun"/>
          <w:rFonts w:ascii="Arial" w:hAnsi="Arial"/>
          <w:sz w:val="16"/>
          <w:szCs w:val="16"/>
          <w:lang w:val="fr-FR"/>
        </w:rPr>
        <w:t>poser plainte et d</w:t>
      </w:r>
      <w:r>
        <w:rPr>
          <w:rStyle w:val="Aucun"/>
          <w:rFonts w:ascii="Arial" w:hAnsi="Arial"/>
          <w:sz w:val="16"/>
          <w:szCs w:val="16"/>
          <w:lang w:val="fr-FR"/>
        </w:rPr>
        <w:t>’</w:t>
      </w:r>
      <w:r>
        <w:rPr>
          <w:rStyle w:val="Aucun"/>
          <w:rFonts w:ascii="Arial" w:hAnsi="Arial"/>
          <w:sz w:val="16"/>
          <w:szCs w:val="16"/>
          <w:lang w:val="fr-FR"/>
        </w:rPr>
        <w:t>action en recours, et s</w:t>
      </w:r>
      <w:r>
        <w:rPr>
          <w:rStyle w:val="Aucun"/>
          <w:rFonts w:ascii="Arial" w:hAnsi="Arial"/>
          <w:sz w:val="16"/>
          <w:szCs w:val="16"/>
          <w:lang w:val="fr-FR"/>
        </w:rPr>
        <w:t>’</w:t>
      </w:r>
      <w:r>
        <w:rPr>
          <w:rStyle w:val="Aucun"/>
          <w:rFonts w:ascii="Arial" w:hAnsi="Arial"/>
          <w:sz w:val="16"/>
          <w:szCs w:val="16"/>
          <w:lang w:val="fr-FR"/>
        </w:rPr>
        <w:t>abstenir d</w:t>
      </w:r>
      <w:r>
        <w:rPr>
          <w:rStyle w:val="Aucun"/>
          <w:rFonts w:ascii="Arial" w:hAnsi="Arial"/>
          <w:sz w:val="16"/>
          <w:szCs w:val="16"/>
          <w:lang w:val="fr-FR"/>
        </w:rPr>
        <w:t>’</w:t>
      </w:r>
      <w:r>
        <w:rPr>
          <w:rStyle w:val="Aucun"/>
          <w:rFonts w:ascii="Arial" w:hAnsi="Arial"/>
          <w:sz w:val="16"/>
          <w:szCs w:val="16"/>
          <w:lang w:val="fr-FR"/>
        </w:rPr>
        <w:t>employer une force inutile, disproportionn</w:t>
      </w:r>
      <w:r>
        <w:rPr>
          <w:rStyle w:val="Aucun"/>
          <w:rFonts w:ascii="Arial" w:hAnsi="Arial"/>
          <w:sz w:val="16"/>
          <w:szCs w:val="16"/>
          <w:lang w:val="fr-FR"/>
        </w:rPr>
        <w:t>é</w:t>
      </w:r>
      <w:r>
        <w:rPr>
          <w:rStyle w:val="Aucun"/>
          <w:rFonts w:ascii="Arial" w:hAnsi="Arial"/>
          <w:sz w:val="16"/>
          <w:szCs w:val="16"/>
          <w:lang w:val="fr-FR"/>
        </w:rPr>
        <w:t>e ou excessive.</w:t>
      </w:r>
    </w:p>
  </w:footnote>
  <w:footnote w:id="5">
    <w:p w:rsidR="00A90091" w:rsidRDefault="00800EB2">
      <w:pPr>
        <w:pStyle w:val="Notedebasdepage"/>
        <w:spacing w:line="276" w:lineRule="auto"/>
      </w:pPr>
      <w:r>
        <w:rPr>
          <w:rStyle w:val="Aucun"/>
          <w:rFonts w:ascii="Segoe Condensed" w:eastAsia="Segoe Condensed" w:hAnsi="Segoe Condensed" w:cs="Segoe Condensed"/>
          <w:sz w:val="24"/>
          <w:szCs w:val="24"/>
          <w:vertAlign w:val="superscript"/>
          <w:lang w:val="fr-FR"/>
        </w:rPr>
        <w:footnoteRef/>
      </w:r>
      <w:r>
        <w:rPr>
          <w:rStyle w:val="Aucun"/>
          <w:rFonts w:ascii="Arial" w:hAnsi="Arial"/>
          <w:sz w:val="16"/>
          <w:szCs w:val="16"/>
          <w:lang w:val="fr-FR"/>
        </w:rPr>
        <w:t xml:space="preserve">  La </w:t>
      </w:r>
      <w:r>
        <w:rPr>
          <w:rStyle w:val="Aucun"/>
          <w:rFonts w:ascii="Arial" w:hAnsi="Arial"/>
          <w:sz w:val="16"/>
          <w:szCs w:val="16"/>
          <w:lang w:val="fr-FR"/>
        </w:rPr>
        <w:t xml:space="preserve">« </w:t>
      </w:r>
      <w:r>
        <w:rPr>
          <w:rStyle w:val="Aucun"/>
          <w:rFonts w:ascii="Arial" w:hAnsi="Arial"/>
          <w:sz w:val="16"/>
          <w:szCs w:val="16"/>
          <w:lang w:val="fr-FR"/>
        </w:rPr>
        <w:t>s</w:t>
      </w:r>
      <w:r>
        <w:rPr>
          <w:rStyle w:val="Aucun"/>
          <w:rFonts w:ascii="Arial" w:hAnsi="Arial"/>
          <w:sz w:val="16"/>
          <w:szCs w:val="16"/>
          <w:lang w:val="fr-FR"/>
        </w:rPr>
        <w:t>é</w:t>
      </w:r>
      <w:r>
        <w:rPr>
          <w:rStyle w:val="Aucun"/>
          <w:rFonts w:ascii="Arial" w:hAnsi="Arial"/>
          <w:sz w:val="16"/>
          <w:szCs w:val="16"/>
          <w:lang w:val="fr-FR"/>
        </w:rPr>
        <w:t>curit</w:t>
      </w:r>
      <w:r>
        <w:rPr>
          <w:rStyle w:val="Aucun"/>
          <w:rFonts w:ascii="Arial" w:hAnsi="Arial"/>
          <w:sz w:val="16"/>
          <w:szCs w:val="16"/>
          <w:lang w:val="fr-FR"/>
        </w:rPr>
        <w:t xml:space="preserve">é </w:t>
      </w:r>
      <w:r>
        <w:rPr>
          <w:rStyle w:val="Aucun"/>
          <w:rFonts w:ascii="Arial" w:hAnsi="Arial"/>
          <w:sz w:val="16"/>
          <w:szCs w:val="16"/>
          <w:lang w:val="fr-FR"/>
        </w:rPr>
        <w:t xml:space="preserve">de jouissance </w:t>
      </w:r>
      <w:r>
        <w:rPr>
          <w:rStyle w:val="Aucun"/>
          <w:rFonts w:ascii="Arial" w:hAnsi="Arial"/>
          <w:sz w:val="16"/>
          <w:szCs w:val="16"/>
          <w:lang w:val="fr-FR"/>
        </w:rPr>
        <w:t xml:space="preserve">» </w:t>
      </w:r>
      <w:r>
        <w:rPr>
          <w:rStyle w:val="Aucun"/>
          <w:rFonts w:ascii="Arial" w:hAnsi="Arial"/>
          <w:sz w:val="16"/>
          <w:szCs w:val="16"/>
          <w:lang w:val="fr-FR"/>
        </w:rPr>
        <w:t>signifie que les personnes ou les communaut</w:t>
      </w:r>
      <w:r>
        <w:rPr>
          <w:rStyle w:val="Aucun"/>
          <w:rFonts w:ascii="Arial" w:hAnsi="Arial"/>
          <w:sz w:val="16"/>
          <w:szCs w:val="16"/>
          <w:lang w:val="fr-FR"/>
        </w:rPr>
        <w:t>é</w:t>
      </w:r>
      <w:r>
        <w:rPr>
          <w:rStyle w:val="Aucun"/>
          <w:rFonts w:ascii="Arial" w:hAnsi="Arial"/>
          <w:sz w:val="16"/>
          <w:szCs w:val="16"/>
          <w:lang w:val="fr-FR"/>
        </w:rPr>
        <w:t>s d</w:t>
      </w:r>
      <w:r>
        <w:rPr>
          <w:rStyle w:val="Aucun"/>
          <w:rFonts w:ascii="Arial" w:hAnsi="Arial"/>
          <w:sz w:val="16"/>
          <w:szCs w:val="16"/>
          <w:lang w:val="fr-FR"/>
        </w:rPr>
        <w:t>é</w:t>
      </w:r>
      <w:r>
        <w:rPr>
          <w:rStyle w:val="Aucun"/>
          <w:rFonts w:ascii="Arial" w:hAnsi="Arial"/>
          <w:sz w:val="16"/>
          <w:szCs w:val="16"/>
          <w:lang w:val="fr-FR"/>
        </w:rPr>
        <w:t>plac</w:t>
      </w:r>
      <w:r>
        <w:rPr>
          <w:rStyle w:val="Aucun"/>
          <w:rFonts w:ascii="Arial" w:hAnsi="Arial"/>
          <w:sz w:val="16"/>
          <w:szCs w:val="16"/>
          <w:lang w:val="fr-FR"/>
        </w:rPr>
        <w:t>é</w:t>
      </w:r>
      <w:r>
        <w:rPr>
          <w:rStyle w:val="Aucun"/>
          <w:rFonts w:ascii="Arial" w:hAnsi="Arial"/>
          <w:sz w:val="16"/>
          <w:szCs w:val="16"/>
          <w:lang w:val="fr-FR"/>
        </w:rPr>
        <w:t>es sont r</w:t>
      </w:r>
      <w:r>
        <w:rPr>
          <w:rStyle w:val="Aucun"/>
          <w:rFonts w:ascii="Arial" w:hAnsi="Arial"/>
          <w:sz w:val="16"/>
          <w:szCs w:val="16"/>
          <w:lang w:val="fr-FR"/>
        </w:rPr>
        <w:t>é</w:t>
      </w:r>
      <w:r>
        <w:rPr>
          <w:rStyle w:val="Aucun"/>
          <w:rFonts w:ascii="Arial" w:hAnsi="Arial"/>
          <w:sz w:val="16"/>
          <w:szCs w:val="16"/>
          <w:lang w:val="fr-FR"/>
        </w:rPr>
        <w:t>install</w:t>
      </w:r>
      <w:r>
        <w:rPr>
          <w:rStyle w:val="Aucun"/>
          <w:rFonts w:ascii="Arial" w:hAnsi="Arial"/>
          <w:sz w:val="16"/>
          <w:szCs w:val="16"/>
          <w:lang w:val="fr-FR"/>
        </w:rPr>
        <w:t>é</w:t>
      </w:r>
      <w:r>
        <w:rPr>
          <w:rStyle w:val="Aucun"/>
          <w:rFonts w:ascii="Arial" w:hAnsi="Arial"/>
          <w:sz w:val="16"/>
          <w:szCs w:val="16"/>
          <w:lang w:val="fr-FR"/>
        </w:rPr>
        <w:t>es sur un site qu</w:t>
      </w:r>
      <w:r>
        <w:rPr>
          <w:rStyle w:val="Aucun"/>
          <w:rFonts w:ascii="Arial" w:hAnsi="Arial"/>
          <w:sz w:val="16"/>
          <w:szCs w:val="16"/>
          <w:lang w:val="fr-FR"/>
        </w:rPr>
        <w:t>’</w:t>
      </w:r>
      <w:r>
        <w:rPr>
          <w:rStyle w:val="Aucun"/>
          <w:rFonts w:ascii="Arial" w:hAnsi="Arial"/>
          <w:sz w:val="16"/>
          <w:szCs w:val="16"/>
          <w:lang w:val="fr-FR"/>
        </w:rPr>
        <w:t>elles peuvent occuper en toute l</w:t>
      </w:r>
      <w:r>
        <w:rPr>
          <w:rStyle w:val="Aucun"/>
          <w:rFonts w:ascii="Arial" w:hAnsi="Arial"/>
          <w:sz w:val="16"/>
          <w:szCs w:val="16"/>
          <w:lang w:val="fr-FR"/>
        </w:rPr>
        <w:t>é</w:t>
      </w:r>
      <w:r>
        <w:rPr>
          <w:rStyle w:val="Aucun"/>
          <w:rFonts w:ascii="Arial" w:hAnsi="Arial"/>
          <w:sz w:val="16"/>
          <w:szCs w:val="16"/>
          <w:lang w:val="fr-FR"/>
        </w:rPr>
        <w:t>galit</w:t>
      </w:r>
      <w:r>
        <w:rPr>
          <w:rStyle w:val="Aucun"/>
          <w:rFonts w:ascii="Arial" w:hAnsi="Arial"/>
          <w:sz w:val="16"/>
          <w:szCs w:val="16"/>
          <w:lang w:val="fr-FR"/>
        </w:rPr>
        <w:t>é</w:t>
      </w:r>
      <w:r>
        <w:rPr>
          <w:rStyle w:val="Aucun"/>
          <w:rFonts w:ascii="Arial" w:hAnsi="Arial"/>
          <w:sz w:val="16"/>
          <w:szCs w:val="16"/>
          <w:lang w:val="fr-FR"/>
        </w:rPr>
        <w:t>, d</w:t>
      </w:r>
      <w:r>
        <w:rPr>
          <w:rStyle w:val="Aucun"/>
          <w:rFonts w:ascii="Arial" w:hAnsi="Arial"/>
          <w:sz w:val="16"/>
          <w:szCs w:val="16"/>
          <w:lang w:val="fr-FR"/>
        </w:rPr>
        <w:t>’</w:t>
      </w:r>
      <w:r>
        <w:rPr>
          <w:rStyle w:val="Aucun"/>
          <w:rFonts w:ascii="Arial" w:hAnsi="Arial"/>
          <w:sz w:val="16"/>
          <w:szCs w:val="16"/>
          <w:lang w:val="fr-FR"/>
        </w:rPr>
        <w:t>o</w:t>
      </w:r>
      <w:r>
        <w:rPr>
          <w:rStyle w:val="Aucun"/>
          <w:rFonts w:ascii="Arial" w:hAnsi="Arial"/>
          <w:sz w:val="16"/>
          <w:szCs w:val="16"/>
          <w:lang w:val="fr-FR"/>
        </w:rPr>
        <w:t xml:space="preserve">ù </w:t>
      </w:r>
      <w:r>
        <w:rPr>
          <w:rStyle w:val="Aucun"/>
          <w:rFonts w:ascii="Arial" w:hAnsi="Arial"/>
          <w:sz w:val="16"/>
          <w:szCs w:val="16"/>
          <w:lang w:val="fr-FR"/>
        </w:rPr>
        <w:t xml:space="preserve">elles ne peuvent </w:t>
      </w:r>
      <w:r>
        <w:rPr>
          <w:rStyle w:val="Aucun"/>
          <w:rFonts w:ascii="Arial" w:hAnsi="Arial"/>
          <w:sz w:val="16"/>
          <w:szCs w:val="16"/>
          <w:lang w:val="fr-FR"/>
        </w:rPr>
        <w:t>ê</w:t>
      </w:r>
      <w:r>
        <w:rPr>
          <w:rStyle w:val="Aucun"/>
          <w:rFonts w:ascii="Arial" w:hAnsi="Arial"/>
          <w:sz w:val="16"/>
          <w:szCs w:val="16"/>
          <w:lang w:val="fr-FR"/>
        </w:rPr>
        <w:t>tre expuls</w:t>
      </w:r>
      <w:r>
        <w:rPr>
          <w:rStyle w:val="Aucun"/>
          <w:rFonts w:ascii="Arial" w:hAnsi="Arial"/>
          <w:sz w:val="16"/>
          <w:szCs w:val="16"/>
          <w:lang w:val="fr-FR"/>
        </w:rPr>
        <w:t>é</w:t>
      </w:r>
      <w:r>
        <w:rPr>
          <w:rStyle w:val="Aucun"/>
          <w:rFonts w:ascii="Arial" w:hAnsi="Arial"/>
          <w:sz w:val="16"/>
          <w:szCs w:val="16"/>
          <w:lang w:val="fr-FR"/>
        </w:rPr>
        <w:t>es et o</w:t>
      </w:r>
      <w:r>
        <w:rPr>
          <w:rStyle w:val="Aucun"/>
          <w:rFonts w:ascii="Arial" w:hAnsi="Arial"/>
          <w:sz w:val="16"/>
          <w:szCs w:val="16"/>
          <w:lang w:val="fr-FR"/>
        </w:rPr>
        <w:t xml:space="preserve">ù </w:t>
      </w:r>
      <w:r>
        <w:rPr>
          <w:rStyle w:val="Aucun"/>
          <w:rFonts w:ascii="Arial" w:hAnsi="Arial"/>
          <w:sz w:val="16"/>
          <w:szCs w:val="16"/>
          <w:lang w:val="fr-FR"/>
        </w:rPr>
        <w:t>les droits fonciers qui leur sont attribu</w:t>
      </w:r>
      <w:r>
        <w:rPr>
          <w:rStyle w:val="Aucun"/>
          <w:rFonts w:ascii="Arial" w:hAnsi="Arial"/>
          <w:sz w:val="16"/>
          <w:szCs w:val="16"/>
          <w:lang w:val="fr-FR"/>
        </w:rPr>
        <w:t>é</w:t>
      </w:r>
      <w:r>
        <w:rPr>
          <w:rStyle w:val="Aucun"/>
          <w:rFonts w:ascii="Arial" w:hAnsi="Arial"/>
          <w:sz w:val="16"/>
          <w:szCs w:val="16"/>
          <w:lang w:val="fr-FR"/>
        </w:rPr>
        <w:t>s sont adapt</w:t>
      </w:r>
      <w:r>
        <w:rPr>
          <w:rStyle w:val="Aucun"/>
          <w:rFonts w:ascii="Arial" w:hAnsi="Arial"/>
          <w:sz w:val="16"/>
          <w:szCs w:val="16"/>
          <w:lang w:val="fr-FR"/>
        </w:rPr>
        <w:t>é</w:t>
      </w:r>
      <w:r>
        <w:rPr>
          <w:rStyle w:val="Aucun"/>
          <w:rFonts w:ascii="Arial" w:hAnsi="Arial"/>
          <w:sz w:val="16"/>
          <w:szCs w:val="16"/>
          <w:lang w:val="fr-FR"/>
        </w:rPr>
        <w:t xml:space="preserve">s </w:t>
      </w:r>
      <w:r>
        <w:rPr>
          <w:rStyle w:val="Aucun"/>
          <w:rFonts w:ascii="Arial" w:hAnsi="Arial"/>
          <w:sz w:val="16"/>
          <w:szCs w:val="16"/>
          <w:lang w:val="fr-FR"/>
        </w:rPr>
        <w:t xml:space="preserve">à </w:t>
      </w:r>
      <w:r>
        <w:rPr>
          <w:rStyle w:val="Aucun"/>
          <w:rFonts w:ascii="Arial" w:hAnsi="Arial"/>
          <w:sz w:val="16"/>
          <w:szCs w:val="16"/>
          <w:lang w:val="fr-FR"/>
        </w:rPr>
        <w:t>leurs us et coutumes. Les personnes r</w:t>
      </w:r>
      <w:r>
        <w:rPr>
          <w:rStyle w:val="Aucun"/>
          <w:rFonts w:ascii="Arial" w:hAnsi="Arial"/>
          <w:sz w:val="16"/>
          <w:szCs w:val="16"/>
          <w:lang w:val="fr-FR"/>
        </w:rPr>
        <w:t>é</w:t>
      </w:r>
      <w:r>
        <w:rPr>
          <w:rStyle w:val="Aucun"/>
          <w:rFonts w:ascii="Arial" w:hAnsi="Arial"/>
          <w:sz w:val="16"/>
          <w:szCs w:val="16"/>
          <w:lang w:val="fr-FR"/>
        </w:rPr>
        <w:t>install</w:t>
      </w:r>
      <w:r>
        <w:rPr>
          <w:rStyle w:val="Aucun"/>
          <w:rFonts w:ascii="Arial" w:hAnsi="Arial"/>
          <w:sz w:val="16"/>
          <w:szCs w:val="16"/>
          <w:lang w:val="fr-FR"/>
        </w:rPr>
        <w:t>é</w:t>
      </w:r>
      <w:r>
        <w:rPr>
          <w:rStyle w:val="Aucun"/>
          <w:rFonts w:ascii="Arial" w:hAnsi="Arial"/>
          <w:sz w:val="16"/>
          <w:szCs w:val="16"/>
          <w:lang w:val="fr-FR"/>
        </w:rPr>
        <w:t xml:space="preserve">es ne peuvent en aucun cas se </w:t>
      </w:r>
      <w:r>
        <w:rPr>
          <w:rStyle w:val="Aucun"/>
          <w:rFonts w:ascii="Arial" w:hAnsi="Arial"/>
          <w:sz w:val="16"/>
          <w:szCs w:val="16"/>
          <w:lang w:val="fr-FR"/>
        </w:rPr>
        <w:t>voir attribuer des droits de jouissance inf</w:t>
      </w:r>
      <w:r>
        <w:rPr>
          <w:rStyle w:val="Aucun"/>
          <w:rFonts w:ascii="Arial" w:hAnsi="Arial"/>
          <w:sz w:val="16"/>
          <w:szCs w:val="16"/>
          <w:lang w:val="fr-FR"/>
        </w:rPr>
        <w:t>é</w:t>
      </w:r>
      <w:r>
        <w:rPr>
          <w:rStyle w:val="Aucun"/>
          <w:rFonts w:ascii="Arial" w:hAnsi="Arial"/>
          <w:sz w:val="16"/>
          <w:szCs w:val="16"/>
          <w:lang w:val="fr-FR"/>
        </w:rPr>
        <w:t xml:space="preserve">rieurs </w:t>
      </w:r>
      <w:r>
        <w:rPr>
          <w:rStyle w:val="Aucun"/>
          <w:rFonts w:ascii="Arial" w:hAnsi="Arial"/>
          <w:sz w:val="16"/>
          <w:szCs w:val="16"/>
          <w:lang w:val="fr-FR"/>
        </w:rPr>
        <w:t xml:space="preserve">à </w:t>
      </w:r>
      <w:r>
        <w:rPr>
          <w:rStyle w:val="Aucun"/>
          <w:rFonts w:ascii="Arial" w:hAnsi="Arial"/>
          <w:sz w:val="16"/>
          <w:szCs w:val="16"/>
          <w:lang w:val="fr-FR"/>
        </w:rPr>
        <w:t>ce dont elles b</w:t>
      </w:r>
      <w:r>
        <w:rPr>
          <w:rStyle w:val="Aucun"/>
          <w:rFonts w:ascii="Arial" w:hAnsi="Arial"/>
          <w:sz w:val="16"/>
          <w:szCs w:val="16"/>
          <w:lang w:val="fr-FR"/>
        </w:rPr>
        <w:t>é</w:t>
      </w:r>
      <w:r>
        <w:rPr>
          <w:rStyle w:val="Aucun"/>
          <w:rFonts w:ascii="Arial" w:hAnsi="Arial"/>
          <w:sz w:val="16"/>
          <w:szCs w:val="16"/>
          <w:lang w:val="fr-FR"/>
        </w:rPr>
        <w:t>n</w:t>
      </w:r>
      <w:r>
        <w:rPr>
          <w:rStyle w:val="Aucun"/>
          <w:rFonts w:ascii="Arial" w:hAnsi="Arial"/>
          <w:sz w:val="16"/>
          <w:szCs w:val="16"/>
          <w:lang w:val="fr-FR"/>
        </w:rPr>
        <w:t>é</w:t>
      </w:r>
      <w:r>
        <w:rPr>
          <w:rStyle w:val="Aucun"/>
          <w:rFonts w:ascii="Arial" w:hAnsi="Arial"/>
          <w:sz w:val="16"/>
          <w:szCs w:val="16"/>
          <w:lang w:val="fr-FR"/>
        </w:rPr>
        <w:t xml:space="preserve">ficiaient sur les terres ou les actifs dont elles ont </w:t>
      </w:r>
      <w:r>
        <w:rPr>
          <w:rStyle w:val="Aucun"/>
          <w:rFonts w:ascii="Arial" w:hAnsi="Arial"/>
          <w:sz w:val="16"/>
          <w:szCs w:val="16"/>
          <w:lang w:val="fr-FR"/>
        </w:rPr>
        <w:t>é</w:t>
      </w:r>
      <w:r>
        <w:rPr>
          <w:rStyle w:val="Aucun"/>
          <w:rFonts w:ascii="Arial" w:hAnsi="Arial"/>
          <w:sz w:val="16"/>
          <w:szCs w:val="16"/>
          <w:lang w:val="fr-FR"/>
        </w:rPr>
        <w:t>t</w:t>
      </w:r>
      <w:r>
        <w:rPr>
          <w:rStyle w:val="Aucun"/>
          <w:rFonts w:ascii="Arial" w:hAnsi="Arial"/>
          <w:sz w:val="16"/>
          <w:szCs w:val="16"/>
          <w:lang w:val="fr-FR"/>
        </w:rPr>
        <w:t xml:space="preserve">é </w:t>
      </w:r>
      <w:r>
        <w:rPr>
          <w:rStyle w:val="Aucun"/>
          <w:rFonts w:ascii="Arial" w:hAnsi="Arial"/>
          <w:sz w:val="16"/>
          <w:szCs w:val="16"/>
          <w:lang w:val="fr-FR"/>
        </w:rPr>
        <w:t>d</w:t>
      </w:r>
      <w:r>
        <w:rPr>
          <w:rStyle w:val="Aucun"/>
          <w:rFonts w:ascii="Arial" w:hAnsi="Arial"/>
          <w:sz w:val="16"/>
          <w:szCs w:val="16"/>
          <w:lang w:val="fr-FR"/>
        </w:rPr>
        <w:t>é</w:t>
      </w:r>
      <w:r>
        <w:rPr>
          <w:rStyle w:val="Aucun"/>
          <w:rFonts w:ascii="Arial" w:hAnsi="Arial"/>
          <w:sz w:val="16"/>
          <w:szCs w:val="16"/>
          <w:lang w:val="fr-FR"/>
        </w:rPr>
        <w:t>plac</w:t>
      </w:r>
      <w:r>
        <w:rPr>
          <w:rStyle w:val="Aucun"/>
          <w:rFonts w:ascii="Arial" w:hAnsi="Arial"/>
          <w:sz w:val="16"/>
          <w:szCs w:val="16"/>
          <w:lang w:val="fr-FR"/>
        </w:rPr>
        <w:t>é</w:t>
      </w:r>
      <w:r>
        <w:rPr>
          <w:rStyle w:val="Aucun"/>
          <w:rFonts w:ascii="Arial" w:hAnsi="Arial"/>
          <w:sz w:val="16"/>
          <w:szCs w:val="16"/>
          <w:lang w:val="fr-FR"/>
        </w:rPr>
        <w:t>es</w:t>
      </w:r>
    </w:p>
  </w:footnote>
  <w:footnote w:id="6">
    <w:p w:rsidR="00A90091" w:rsidRDefault="00800EB2">
      <w:pPr>
        <w:pStyle w:val="Notedebasdepage"/>
      </w:pPr>
      <w:r>
        <w:rPr>
          <w:rStyle w:val="Aucun"/>
          <w:rFonts w:ascii="Segoe Condensed" w:eastAsia="Segoe Condensed" w:hAnsi="Segoe Condensed" w:cs="Segoe Condensed"/>
          <w:sz w:val="24"/>
          <w:szCs w:val="24"/>
          <w:vertAlign w:val="superscript"/>
          <w:lang w:val="fr-FR"/>
        </w:rPr>
        <w:footnoteRef/>
      </w:r>
      <w:r>
        <w:rPr>
          <w:rStyle w:val="Aucun"/>
          <w:sz w:val="16"/>
          <w:szCs w:val="16"/>
          <w:lang w:val="fr-FR"/>
        </w:rPr>
        <w:t xml:space="preserve"> Ces consultations doivent être organisées en groupes séparés par sexe et par âge (si nécessaire) et animées par une</w:t>
      </w:r>
      <w:r>
        <w:rPr>
          <w:rStyle w:val="Aucun"/>
          <w:sz w:val="16"/>
          <w:szCs w:val="16"/>
          <w:lang w:val="fr-FR"/>
        </w:rPr>
        <w:t xml:space="preserve"> personne du même sexe.</w:t>
      </w:r>
    </w:p>
  </w:footnote>
  <w:footnote w:id="7">
    <w:p w:rsidR="00A90091" w:rsidRDefault="00800EB2">
      <w:pPr>
        <w:pStyle w:val="xmsolistparagraph"/>
        <w:shd w:val="clear" w:color="auto" w:fill="FFFFFF"/>
      </w:pPr>
      <w:r>
        <w:rPr>
          <w:rStyle w:val="Aucun"/>
          <w:rFonts w:ascii="Segoe Condensed" w:eastAsia="Segoe Condensed" w:hAnsi="Segoe Condensed" w:cs="Segoe Condensed"/>
          <w:sz w:val="24"/>
          <w:szCs w:val="24"/>
          <w:vertAlign w:val="superscript"/>
          <w:lang w:val="fr-FR"/>
        </w:rPr>
        <w:footnoteRef/>
      </w:r>
      <w:hyperlink r:id="rId2" w:history="1">
        <w:r>
          <w:rPr>
            <w:rStyle w:val="Hyperlink1"/>
          </w:rPr>
          <w:t>https://worldbankgroup.sharepoint.com/sites/wbunits/opcs/Knowledge%20Base/Public%20Co</w:t>
        </w:r>
        <w:r>
          <w:rPr>
            <w:rStyle w:val="Hyperlink1"/>
          </w:rPr>
          <w:t>nsultations%20in%20WB%20Operations.pdf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091" w:rsidRDefault="00800EB2">
    <w:pPr>
      <w:pStyle w:val="En-tte"/>
    </w:pPr>
    <w:r>
      <w:rPr>
        <w:noProof/>
      </w:rPr>
      <mc:AlternateContent>
        <mc:Choice Requires="wpg">
          <w:drawing>
            <wp:anchor distT="152400" distB="152400" distL="152400" distR="152400" simplePos="0" relativeHeight="251658240" behindDoc="1" locked="0" layoutInCell="1" allowOverlap="1">
              <wp:simplePos x="0" y="0"/>
              <wp:positionH relativeFrom="page">
                <wp:posOffset>6663055</wp:posOffset>
              </wp:positionH>
              <wp:positionV relativeFrom="page">
                <wp:posOffset>9857739</wp:posOffset>
              </wp:positionV>
              <wp:extent cx="368301" cy="274321"/>
              <wp:effectExtent l="0" t="0" r="0" b="0"/>
              <wp:wrapNone/>
              <wp:docPr id="1073741830" name="officeArt object"/>
              <wp:cNvGraphicFramePr/>
              <a:graphic xmlns:a="http://schemas.openxmlformats.org/drawingml/2006/main">
                <a:graphicData uri="http://schemas.microsoft.com/office/word/2010/wordprocessingGroup">
                  <wpg:wgp>
                    <wpg:cNvGrpSpPr/>
                    <wpg:grpSpPr>
                      <a:xfrm>
                        <a:off x="0" y="0"/>
                        <a:ext cx="368301" cy="274321"/>
                        <a:chOff x="0" y="0"/>
                        <a:chExt cx="368300" cy="274320"/>
                      </a:xfrm>
                    </wpg:grpSpPr>
                    <wpg:grpSp>
                      <wpg:cNvPr id="1073741828" name="Group 1073741828"/>
                      <wpg:cNvGrpSpPr/>
                      <wpg:grpSpPr>
                        <a:xfrm>
                          <a:off x="-1" y="0"/>
                          <a:ext cx="368302" cy="274321"/>
                          <a:chOff x="0" y="0"/>
                          <a:chExt cx="368300" cy="274320"/>
                        </a:xfrm>
                      </wpg:grpSpPr>
                      <wps:wsp>
                        <wps:cNvPr id="1073741825" name="Shape 1073741825"/>
                        <wps:cNvSpPr/>
                        <wps:spPr>
                          <a:xfrm>
                            <a:off x="-1" y="0"/>
                            <a:ext cx="368302" cy="27432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35" y="21600"/>
                                </a:lnTo>
                                <a:lnTo>
                                  <a:pt x="21600" y="14135"/>
                                </a:lnTo>
                                <a:lnTo>
                                  <a:pt x="21600" y="0"/>
                                </a:lnTo>
                                <a:close/>
                              </a:path>
                            </a:pathLst>
                          </a:custGeom>
                          <a:solidFill>
                            <a:srgbClr val="FFFFFF"/>
                          </a:solidFill>
                          <a:ln w="3175" cap="flat">
                            <a:solidFill>
                              <a:srgbClr val="808080"/>
                            </a:solidFill>
                            <a:prstDash val="solid"/>
                            <a:round/>
                          </a:ln>
                          <a:effectLst/>
                        </wps:spPr>
                        <wps:bodyPr/>
                      </wps:wsp>
                      <wps:wsp>
                        <wps:cNvPr id="1073741826" name="Shape 1073741826"/>
                        <wps:cNvSpPr/>
                        <wps:spPr>
                          <a:xfrm>
                            <a:off x="241014" y="179514"/>
                            <a:ext cx="127287" cy="94807"/>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5590" y="735"/>
                                </a:lnTo>
                                <a:cubicBezTo>
                                  <a:pt x="7755" y="4051"/>
                                  <a:pt x="13501" y="4051"/>
                                  <a:pt x="21600" y="0"/>
                                </a:cubicBezTo>
                                <a:close/>
                              </a:path>
                            </a:pathLst>
                          </a:custGeom>
                          <a:solidFill>
                            <a:srgbClr val="CCCCCC"/>
                          </a:solidFill>
                          <a:ln w="12700" cap="flat">
                            <a:noFill/>
                            <a:miter lim="400000"/>
                          </a:ln>
                          <a:effectLst/>
                        </wps:spPr>
                        <wps:bodyPr/>
                      </wps:wsp>
                      <wps:wsp>
                        <wps:cNvPr id="1073741827" name="Shape 1073741827"/>
                        <wps:cNvSpPr/>
                        <wps:spPr>
                          <a:xfrm>
                            <a:off x="241014" y="179514"/>
                            <a:ext cx="127287" cy="94807"/>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5590" y="735"/>
                                </a:lnTo>
                                <a:cubicBezTo>
                                  <a:pt x="7755" y="4051"/>
                                  <a:pt x="13501" y="4051"/>
                                  <a:pt x="21600" y="0"/>
                                </a:cubicBezTo>
                              </a:path>
                            </a:pathLst>
                          </a:custGeom>
                          <a:noFill/>
                          <a:ln w="3175" cap="flat">
                            <a:solidFill>
                              <a:srgbClr val="808080"/>
                            </a:solidFill>
                            <a:prstDash val="solid"/>
                            <a:round/>
                          </a:ln>
                          <a:effectLst/>
                        </wps:spPr>
                        <wps:bodyPr/>
                      </wps:wsp>
                    </wpg:grpSp>
                    <wps:wsp>
                      <wps:cNvPr id="1073741829" name="Shape 1073741829"/>
                      <wps:cNvSpPr txBox="1"/>
                      <wps:spPr>
                        <a:xfrm>
                          <a:off x="47307" y="1587"/>
                          <a:ext cx="273686" cy="194121"/>
                        </a:xfrm>
                        <a:prstGeom prst="rect">
                          <a:avLst/>
                        </a:prstGeom>
                        <a:noFill/>
                        <a:ln w="12700" cap="flat">
                          <a:noFill/>
                          <a:miter lim="400000"/>
                        </a:ln>
                        <a:effectLst/>
                      </wps:spPr>
                      <wps:txbx>
                        <w:txbxContent>
                          <w:p w:rsidR="00A90091" w:rsidRDefault="00800EB2">
                            <w:pPr>
                              <w:jc w:val="center"/>
                            </w:pPr>
                            <w:r>
                              <w:rPr>
                                <w:rStyle w:val="Aucun"/>
                              </w:rPr>
                              <w:fldChar w:fldCharType="begin"/>
                            </w:r>
                            <w:r>
                              <w:rPr>
                                <w:rStyle w:val="Aucun"/>
                              </w:rPr>
                              <w:instrText xml:space="preserve"> PAGE </w:instrText>
                            </w:r>
                            <w:r>
                              <w:rPr>
                                <w:rStyle w:val="Aucun"/>
                              </w:rPr>
                              <w:fldChar w:fldCharType="separate"/>
                            </w:r>
                            <w:r w:rsidR="00C57461">
                              <w:rPr>
                                <w:rStyle w:val="Aucun"/>
                                <w:noProof/>
                              </w:rPr>
                              <w:t>2</w:t>
                            </w:r>
                            <w:r>
                              <w:rPr>
                                <w:rStyle w:val="Aucun"/>
                              </w:rPr>
                              <w:fldChar w:fldCharType="end"/>
                            </w:r>
                          </w:p>
                        </w:txbxContent>
                      </wps:txbx>
                      <wps:bodyPr wrap="square" lIns="45719" tIns="45719" rIns="45719" bIns="45719" numCol="1" anchor="t">
                        <a:noAutofit/>
                      </wps:bodyPr>
                    </wps:wsp>
                  </wpg:wgp>
                </a:graphicData>
              </a:graphic>
            </wp:anchor>
          </w:drawing>
        </mc:Choice>
        <mc:Fallback>
          <w:pict>
            <v:group id="_x0000_s1033" style="position:absolute;margin-left:524.65pt;margin-top:776.2pt;width:29pt;height:21.6pt;z-index:-251658240;mso-wrap-distance-left:12pt;mso-wrap-distance-top:12pt;mso-wrap-distance-right:12pt;mso-wrap-distance-bottom:12pt;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">
              <v:group id="Group 1073741828" o:spid="_x0000_s1034" style="position:absolute;left:-1;width:368302;height:274321" coordsize="368300,27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p7f81&#10;zAAAAOMAAAAPAAAAAAAAAAAAAAAAAKoCAABkcnMvZG93bnJldi54bWxQSwUGAAAAAAQABAD6AAAA&#10;owMAAAAA&#10;">
                <v:shape id="Shape 1073741825" o:spid="_x0000_s1035" style="position:absolute;left:-1;width:368302;height:27432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JmyMcA&#10;AADjAAAADwAAAGRycy9kb3ducmV2LnhtbERPzWoCMRC+F/oOYQq9aaK1VbZGKQWpKJRW2/uwmW5W&#10;N5MlSXX16U1B6HG+/5nOO9eIA4VYe9Yw6CsQxKU3NVcavraL3gRETMgGG8+k4UQR5rPbmykWxh/5&#10;kw6bVIkcwrFADTaltpAylpYcxr5viTP344PDlM9QSRPwmMNdI4dKPUmHNecGiy29Wir3m1+nYae2&#10;ab0/7759HeRqYd37x9uJtL6/616eQSTq0r/46l6aPF+NH8ajwWT4CH8/ZQDk7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yZsjHAAAA4wAAAA8AAAAAAAAAAAAAAAAAmAIAAGRy&#10;cy9kb3ducmV2LnhtbFBLBQYAAAAABAAEAPUAAACMAwAAAAA=&#10;" path="m,l,21600r14135,l21600,14135,21600,,,xe" strokecolor="gray" strokeweight=".25pt">
                  <v:path arrowok="t" o:extrusionok="f" o:connecttype="custom" o:connectlocs="184151,137161;184151,137161;184151,137161;184151,137161" o:connectangles="0,90,180,270"/>
                </v:shape>
                <v:shape id="Shape 1073741826" o:spid="_x0000_s1036" style="position:absolute;left:241014;top:179514;width:127287;height:9480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1HsgA&#10;AADjAAAADwAAAGRycy9kb3ducmV2LnhtbERPS2vCQBC+F/oflhF6qxsTMRJdRQShhxZaH/chOybB&#10;7Gy6u2rSX98tFDzO957lujetuJHzjWUFk3ECgri0uuFKwfGwe52D8AFZY2uZFAzkYb16flpioe2d&#10;v+i2D5WIIewLVFCH0BVS+rImg35sO+LIna0zGOLpKqkd3mO4aWWaJDNpsOHYUGNH25rKy/5qFOSH&#10;zfD57aY/H0O2S9N3c8pcflLqZdRvFiAC9eEh/ne/6Tg/ybN8OpmnM/j7KQI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EfUeyAAAAOMAAAAPAAAAAAAAAAAAAAAAAJgCAABk&#10;cnMvZG93bnJldi54bWxQSwUGAAAAAAQABAD1AAAAjQMAAAAA&#10;" path="m,21600l5590,735c7755,4051,13501,4051,21600,l,21600xe" fillcolor="#ccc" stroked="f" strokeweight="1pt">
                  <v:stroke miterlimit="4" joinstyle="miter"/>
                  <v:path arrowok="t" o:extrusionok="f" o:connecttype="custom" o:connectlocs="63644,47404;63644,47404;63644,47404;63644,47404" o:connectangles="0,90,180,270"/>
                </v:shape>
                <v:shape id="Shape 1073741827" o:spid="_x0000_s1037" style="position:absolute;left:241014;top:179514;width:127287;height:9480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kO8gA&#10;AADjAAAADwAAAGRycy9kb3ducmV2LnhtbERPzUrDQBC+C77DMoIXsZtWMTV2W0pBzMEijX2AaXaa&#10;BDOzcXdt49u7guBxvv9ZrEbu1Yl86JwYmE4yUCS1s500Bvbvz7dzUCGiWOydkIFvCrBaXl4ssLDu&#10;LDs6VbFRKURCgQbaGIdC61C3xBgmbiBJ3NF5xphO32jr8ZzCudezLHvQjJ2khhYH2rRUf1RfbKB6&#10;WT9uK97cHMvdqy/fhA+fmo25vhrXT6AijfFf/OcubZqf5Xf5/XQ+y+H3pwSAX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bGQ7yAAAAOMAAAAPAAAAAAAAAAAAAAAAAJgCAABk&#10;cnMvZG93bnJldi54bWxQSwUGAAAAAAQABAD1AAAAjQMAAAAA&#10;" path="m,21600l5590,735c7755,4051,13501,4051,21600,e" filled="f" strokecolor="gray" strokeweight=".25pt">
                  <v:path arrowok="t" o:extrusionok="f" o:connecttype="custom" o:connectlocs="63644,47404;63644,47404;63644,47404;63644,47404" o:connectangles="0,90,180,270"/>
                </v:shape>
              </v:group>
              <v:shapetype id="_x0000_t202" coordsize="21600,21600" o:spt="202" path="m,l,21600r21600,l21600,xe">
                <v:stroke joinstyle="miter"/>
                <v:path gradientshapeok="t" o:connecttype="rect"/>
              </v:shapetype>
              <v:shape id="Shape 1073741829" o:spid="_x0000_s1038" type="#_x0000_t202" style="position:absolute;left:47307;top:1587;width:273686;height:19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y8gA&#10;AADjAAAADwAAAGRycy9kb3ducmV2LnhtbERPS2sCMRC+F/ofwhR6q9ndio/VKKVF8NAetBU9Dpsx&#10;WbqZLJvU3f77piB4nO89y/XgGnGhLtSeFeSjDARx5XXNRsHX5+ZpBiJEZI2NZ1LwSwHWq/u7JZba&#10;97yjyz4akUI4lKjAxtiWUobKksMw8i1x4s6+cxjT2RmpO+xTuGtkkWUT6bDm1GCxpVdL1ff+xyl4&#10;M7k7MY77fivt0RSH6N43H0o9PgwvCxCRhngTX91bneZn0+fpOJ8Vc/j/KQE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4n/LyAAAAOMAAAAPAAAAAAAAAAAAAAAAAJgCAABk&#10;cnMvZG93bnJldi54bWxQSwUGAAAAAAQABAD1AAAAjQMAAAAA&#10;" filled="f" stroked="f" strokeweight="1pt">
                <v:stroke miterlimit="4"/>
                <v:textbox inset="1.27mm,1.27mm,1.27mm,1.27mm">
                  <w:txbxContent>
                    <w:p w:rsidR="00A90091" w:rsidRDefault="00800EB2">
                      <w:pPr>
                        <w:jc w:val="center"/>
                      </w:pPr>
                      <w:r>
                        <w:rPr>
                          <w:rStyle w:val="Aucun"/>
                        </w:rPr>
                        <w:fldChar w:fldCharType="begin"/>
                      </w:r>
                      <w:r>
                        <w:rPr>
                          <w:rStyle w:val="Aucun"/>
                        </w:rPr>
                        <w:instrText xml:space="preserve"> PAGE </w:instrText>
                      </w:r>
                      <w:r>
                        <w:rPr>
                          <w:rStyle w:val="Aucun"/>
                        </w:rPr>
                        <w:fldChar w:fldCharType="separate"/>
                      </w:r>
                      <w:r w:rsidR="00C57461">
                        <w:rPr>
                          <w:rStyle w:val="Aucun"/>
                          <w:noProof/>
                        </w:rPr>
                        <w:t>2</w:t>
                      </w:r>
                      <w:r>
                        <w:rPr>
                          <w:rStyle w:val="Aucun"/>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5pt;visibility:visible" o:bullet="t">
        <v:imagedata r:id="rId1" o:title="mso7CEB"/>
      </v:shape>
    </w:pict>
  </w:numPicBullet>
  <w:abstractNum w:abstractNumId="0">
    <w:nsid w:val="023318FC"/>
    <w:multiLevelType w:val="multilevel"/>
    <w:tmpl w:val="4124562E"/>
    <w:styleLink w:val="Style1import"/>
    <w:lvl w:ilvl="0">
      <w:start w:val="1"/>
      <w:numFmt w:val="upperRoman"/>
      <w:lvlText w:val="%1."/>
      <w:lvlJc w:val="left"/>
      <w:pPr>
        <w:tabs>
          <w:tab w:val="num" w:pos="679"/>
        </w:tabs>
        <w:ind w:left="1051" w:hanging="691"/>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1.%2."/>
      <w:lvlJc w:val="left"/>
      <w:pPr>
        <w:ind w:left="1422" w:hanging="7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lvlText w:val="%1.%2.%3."/>
      <w:lvlJc w:val="left"/>
      <w:pPr>
        <w:tabs>
          <w:tab w:val="num" w:pos="1358"/>
        </w:tabs>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D913834"/>
    <w:multiLevelType w:val="hybridMultilevel"/>
    <w:tmpl w:val="B9465122"/>
    <w:styleLink w:val="Style8import"/>
    <w:lvl w:ilvl="0" w:tplc="F606E90C">
      <w:start w:val="1"/>
      <w:numFmt w:val="bullet"/>
      <w:lvlText w:val="-"/>
      <w:lvlJc w:val="left"/>
      <w:pPr>
        <w:tabs>
          <w:tab w:val="num" w:pos="708"/>
        </w:tabs>
        <w:ind w:left="72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1" w:tplc="176834F2">
      <w:start w:val="1"/>
      <w:numFmt w:val="bullet"/>
      <w:lvlText w:val="o"/>
      <w:lvlJc w:val="left"/>
      <w:pPr>
        <w:tabs>
          <w:tab w:val="num" w:pos="1416"/>
        </w:tabs>
        <w:ind w:left="1428" w:hanging="348"/>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2" w:tplc="71F40384">
      <w:start w:val="1"/>
      <w:numFmt w:val="bullet"/>
      <w:lvlText w:val="▪"/>
      <w:lvlJc w:val="left"/>
      <w:pPr>
        <w:tabs>
          <w:tab w:val="num" w:pos="2124"/>
        </w:tabs>
        <w:ind w:left="2136" w:hanging="336"/>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3" w:tplc="48B009FC">
      <w:start w:val="1"/>
      <w:numFmt w:val="bullet"/>
      <w:lvlText w:val="•"/>
      <w:lvlJc w:val="left"/>
      <w:pPr>
        <w:tabs>
          <w:tab w:val="num" w:pos="2832"/>
        </w:tabs>
        <w:ind w:left="2844" w:hanging="324"/>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4" w:tplc="5F5A9ACA">
      <w:start w:val="1"/>
      <w:numFmt w:val="bullet"/>
      <w:lvlText w:val="o"/>
      <w:lvlJc w:val="left"/>
      <w:pPr>
        <w:tabs>
          <w:tab w:val="num" w:pos="3540"/>
        </w:tabs>
        <w:ind w:left="3552" w:hanging="312"/>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5" w:tplc="D318C358">
      <w:start w:val="1"/>
      <w:numFmt w:val="bullet"/>
      <w:lvlText w:val="▪"/>
      <w:lvlJc w:val="left"/>
      <w:pPr>
        <w:tabs>
          <w:tab w:val="num" w:pos="4248"/>
        </w:tabs>
        <w:ind w:left="4260" w:hanging="30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6" w:tplc="A2A03C3A">
      <w:start w:val="1"/>
      <w:numFmt w:val="bullet"/>
      <w:lvlText w:val="•"/>
      <w:lvlJc w:val="left"/>
      <w:pPr>
        <w:tabs>
          <w:tab w:val="num" w:pos="4956"/>
        </w:tabs>
        <w:ind w:left="4968" w:hanging="288"/>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7" w:tplc="EE9EA88E">
      <w:start w:val="1"/>
      <w:numFmt w:val="bullet"/>
      <w:lvlText w:val="o"/>
      <w:lvlJc w:val="left"/>
      <w:pPr>
        <w:tabs>
          <w:tab w:val="num" w:pos="5664"/>
        </w:tabs>
        <w:ind w:left="5676" w:hanging="276"/>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8" w:tplc="D154280E">
      <w:start w:val="1"/>
      <w:numFmt w:val="bullet"/>
      <w:lvlText w:val="▪"/>
      <w:lvlJc w:val="left"/>
      <w:pPr>
        <w:tabs>
          <w:tab w:val="num" w:pos="6372"/>
        </w:tabs>
        <w:ind w:left="6384" w:hanging="264"/>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090291C"/>
    <w:multiLevelType w:val="hybridMultilevel"/>
    <w:tmpl w:val="7F10255A"/>
    <w:numStyleLink w:val="Style3import"/>
  </w:abstractNum>
  <w:abstractNum w:abstractNumId="3">
    <w:nsid w:val="138E672D"/>
    <w:multiLevelType w:val="hybridMultilevel"/>
    <w:tmpl w:val="8EC0D208"/>
    <w:numStyleLink w:val="Style9import"/>
  </w:abstractNum>
  <w:abstractNum w:abstractNumId="4">
    <w:nsid w:val="177F0EC7"/>
    <w:multiLevelType w:val="hybridMultilevel"/>
    <w:tmpl w:val="0DB43384"/>
    <w:numStyleLink w:val="Style5import"/>
  </w:abstractNum>
  <w:abstractNum w:abstractNumId="5">
    <w:nsid w:val="1B2108AD"/>
    <w:multiLevelType w:val="hybridMultilevel"/>
    <w:tmpl w:val="2EE6812E"/>
    <w:styleLink w:val="Style2import"/>
    <w:lvl w:ilvl="0" w:tplc="60FE700E">
      <w:start w:val="1"/>
      <w:numFmt w:val="bullet"/>
      <w:lvlText w:val="-"/>
      <w:lvlJc w:val="left"/>
      <w:pPr>
        <w:ind w:left="11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24727E">
      <w:start w:val="1"/>
      <w:numFmt w:val="bullet"/>
      <w:lvlText w:val="o"/>
      <w:lvlJc w:val="left"/>
      <w:pPr>
        <w:ind w:left="18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180940">
      <w:start w:val="1"/>
      <w:numFmt w:val="bullet"/>
      <w:lvlText w:val="▪"/>
      <w:lvlJc w:val="left"/>
      <w:pPr>
        <w:ind w:left="25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47CB0AA">
      <w:start w:val="1"/>
      <w:numFmt w:val="bullet"/>
      <w:lvlText w:val="•"/>
      <w:lvlJc w:val="left"/>
      <w:pPr>
        <w:ind w:left="32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5D226CA">
      <w:start w:val="1"/>
      <w:numFmt w:val="bullet"/>
      <w:lvlText w:val="o"/>
      <w:lvlJc w:val="left"/>
      <w:pPr>
        <w:ind w:left="401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7068E52">
      <w:start w:val="1"/>
      <w:numFmt w:val="bullet"/>
      <w:lvlText w:val="▪"/>
      <w:lvlJc w:val="left"/>
      <w:pPr>
        <w:ind w:left="47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487166">
      <w:start w:val="1"/>
      <w:numFmt w:val="bullet"/>
      <w:lvlText w:val="•"/>
      <w:lvlJc w:val="left"/>
      <w:pPr>
        <w:ind w:left="54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3AAA492">
      <w:start w:val="1"/>
      <w:numFmt w:val="bullet"/>
      <w:lvlText w:val="o"/>
      <w:lvlJc w:val="left"/>
      <w:pPr>
        <w:ind w:left="61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10C0FF8">
      <w:start w:val="1"/>
      <w:numFmt w:val="bullet"/>
      <w:lvlText w:val="▪"/>
      <w:lvlJc w:val="left"/>
      <w:pPr>
        <w:ind w:left="68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23110AD4"/>
    <w:multiLevelType w:val="multilevel"/>
    <w:tmpl w:val="4124562E"/>
    <w:numStyleLink w:val="Style1import"/>
  </w:abstractNum>
  <w:abstractNum w:abstractNumId="7">
    <w:nsid w:val="25155710"/>
    <w:multiLevelType w:val="hybridMultilevel"/>
    <w:tmpl w:val="DB46C10C"/>
    <w:numStyleLink w:val="Style11import"/>
  </w:abstractNum>
  <w:abstractNum w:abstractNumId="8">
    <w:nsid w:val="295C5C68"/>
    <w:multiLevelType w:val="hybridMultilevel"/>
    <w:tmpl w:val="D960D5E4"/>
    <w:numStyleLink w:val="Style4import"/>
  </w:abstractNum>
  <w:abstractNum w:abstractNumId="9">
    <w:nsid w:val="319028B5"/>
    <w:multiLevelType w:val="hybridMultilevel"/>
    <w:tmpl w:val="D960D5E4"/>
    <w:styleLink w:val="Style4import"/>
    <w:lvl w:ilvl="0" w:tplc="2D98848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94CE0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5D200C2">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6B5640B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E98DE0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4C694EE">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E34181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77C50D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7C3C8490">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A7C613C"/>
    <w:multiLevelType w:val="hybridMultilevel"/>
    <w:tmpl w:val="33FC94DC"/>
    <w:numStyleLink w:val="Style10import"/>
  </w:abstractNum>
  <w:abstractNum w:abstractNumId="11">
    <w:nsid w:val="41146D6A"/>
    <w:multiLevelType w:val="hybridMultilevel"/>
    <w:tmpl w:val="7F10255A"/>
    <w:styleLink w:val="Style3import"/>
    <w:lvl w:ilvl="0" w:tplc="3E2EB56C">
      <w:start w:val="1"/>
      <w:numFmt w:val="bullet"/>
      <w:lvlText w:val="·"/>
      <w:lvlPicBulletId w:val="0"/>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289D42">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2C270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C5248">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602972">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F6A354">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FEE896">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B29DBE">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90BE9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42C25F57"/>
    <w:multiLevelType w:val="hybridMultilevel"/>
    <w:tmpl w:val="2EE6812E"/>
    <w:numStyleLink w:val="Style2import"/>
  </w:abstractNum>
  <w:abstractNum w:abstractNumId="13">
    <w:nsid w:val="475D79B5"/>
    <w:multiLevelType w:val="hybridMultilevel"/>
    <w:tmpl w:val="BBF066C4"/>
    <w:styleLink w:val="Style7import"/>
    <w:lvl w:ilvl="0" w:tplc="F000B0D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2E5F4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AE721A">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19E290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A865A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1443E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73E4C0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C248B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24134">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52C061A3"/>
    <w:multiLevelType w:val="hybridMultilevel"/>
    <w:tmpl w:val="DB46C10C"/>
    <w:styleLink w:val="Style11import"/>
    <w:lvl w:ilvl="0" w:tplc="743EF62C">
      <w:start w:val="1"/>
      <w:numFmt w:val="bullet"/>
      <w:lvlText w:val="-"/>
      <w:lvlJc w:val="left"/>
      <w:pPr>
        <w:ind w:left="4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E1085E4">
      <w:start w:val="1"/>
      <w:numFmt w:val="bullet"/>
      <w:lvlText w:val="o"/>
      <w:lvlJc w:val="left"/>
      <w:pPr>
        <w:ind w:left="1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CBEF672">
      <w:start w:val="1"/>
      <w:numFmt w:val="bullet"/>
      <w:lvlText w:val="▪"/>
      <w:lvlJc w:val="left"/>
      <w:pPr>
        <w:ind w:left="1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AE8215C">
      <w:start w:val="1"/>
      <w:numFmt w:val="bullet"/>
      <w:lvlText w:val="•"/>
      <w:lvlJc w:val="left"/>
      <w:pPr>
        <w:ind w:left="2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88A6B2E">
      <w:start w:val="1"/>
      <w:numFmt w:val="bullet"/>
      <w:lvlText w:val="o"/>
      <w:lvlJc w:val="left"/>
      <w:pPr>
        <w:ind w:left="3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3848116">
      <w:start w:val="1"/>
      <w:numFmt w:val="bullet"/>
      <w:lvlText w:val="▪"/>
      <w:lvlJc w:val="left"/>
      <w:pPr>
        <w:ind w:left="40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EF493AA">
      <w:start w:val="1"/>
      <w:numFmt w:val="bullet"/>
      <w:lvlText w:val="•"/>
      <w:lvlJc w:val="left"/>
      <w:pPr>
        <w:ind w:left="47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47A30BE">
      <w:start w:val="1"/>
      <w:numFmt w:val="bullet"/>
      <w:lvlText w:val="o"/>
      <w:lvlJc w:val="left"/>
      <w:pPr>
        <w:ind w:left="54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3C2FD56">
      <w:start w:val="1"/>
      <w:numFmt w:val="bullet"/>
      <w:lvlText w:val="▪"/>
      <w:lvlJc w:val="left"/>
      <w:pPr>
        <w:ind w:left="61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59C77B0C"/>
    <w:multiLevelType w:val="hybridMultilevel"/>
    <w:tmpl w:val="AB34575C"/>
    <w:styleLink w:val="Style6import"/>
    <w:lvl w:ilvl="0" w:tplc="EC58A024">
      <w:start w:val="1"/>
      <w:numFmt w:val="lowerRoman"/>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F4D1FC">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5B649F8E">
      <w:start w:val="1"/>
      <w:numFmt w:val="lowerRoman"/>
      <w:lvlText w:val="%3."/>
      <w:lvlJc w:val="left"/>
      <w:pPr>
        <w:tabs>
          <w:tab w:val="num" w:pos="2832"/>
        </w:tabs>
        <w:ind w:left="285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95E4F7C">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D0A766A">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61FA4ED6">
      <w:start w:val="1"/>
      <w:numFmt w:val="lowerRoman"/>
      <w:lvlText w:val="%6."/>
      <w:lvlJc w:val="left"/>
      <w:pPr>
        <w:tabs>
          <w:tab w:val="num" w:pos="4956"/>
        </w:tabs>
        <w:ind w:left="498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CE46CE6">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B78CF6A">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0447EBE">
      <w:start w:val="1"/>
      <w:numFmt w:val="lowerRoman"/>
      <w:suff w:val="nothing"/>
      <w:lvlText w:val="%9."/>
      <w:lvlJc w:val="left"/>
      <w:pPr>
        <w:ind w:left="710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5BE708D8"/>
    <w:multiLevelType w:val="hybridMultilevel"/>
    <w:tmpl w:val="0DB43384"/>
    <w:styleLink w:val="Style5import"/>
    <w:lvl w:ilvl="0" w:tplc="D8827FD2">
      <w:start w:val="1"/>
      <w:numFmt w:val="lowerRoman"/>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763C58">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D4A3AEA">
      <w:start w:val="1"/>
      <w:numFmt w:val="lowerRoman"/>
      <w:lvlText w:val="%3."/>
      <w:lvlJc w:val="left"/>
      <w:pPr>
        <w:tabs>
          <w:tab w:val="num" w:pos="2832"/>
        </w:tabs>
        <w:ind w:left="285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7864164E">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0C628C52">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B5A89638">
      <w:start w:val="1"/>
      <w:numFmt w:val="lowerRoman"/>
      <w:lvlText w:val="%6."/>
      <w:lvlJc w:val="left"/>
      <w:pPr>
        <w:tabs>
          <w:tab w:val="num" w:pos="4956"/>
        </w:tabs>
        <w:ind w:left="498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0CA5614">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AD27910">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4CABFFE">
      <w:start w:val="1"/>
      <w:numFmt w:val="lowerRoman"/>
      <w:suff w:val="nothing"/>
      <w:lvlText w:val="%9."/>
      <w:lvlJc w:val="left"/>
      <w:pPr>
        <w:ind w:left="710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5E5D5D1F"/>
    <w:multiLevelType w:val="hybridMultilevel"/>
    <w:tmpl w:val="8EC0D208"/>
    <w:styleLink w:val="Style9import"/>
    <w:lvl w:ilvl="0" w:tplc="1728C40E">
      <w:start w:val="1"/>
      <w:numFmt w:val="bullet"/>
      <w:lvlText w:val="▪"/>
      <w:lvlJc w:val="left"/>
      <w:pPr>
        <w:ind w:left="4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E8C3844">
      <w:start w:val="1"/>
      <w:numFmt w:val="bullet"/>
      <w:lvlText w:val="o"/>
      <w:lvlJc w:val="left"/>
      <w:pPr>
        <w:ind w:left="11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F2B14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D625F4">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82E3558">
      <w:start w:val="1"/>
      <w:numFmt w:val="bullet"/>
      <w:lvlText w:val="o"/>
      <w:lvlJc w:val="left"/>
      <w:pPr>
        <w:ind w:left="33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40CFB5E">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447546">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4E279E">
      <w:start w:val="1"/>
      <w:numFmt w:val="bullet"/>
      <w:lvlText w:val="o"/>
      <w:lvlJc w:val="left"/>
      <w:pPr>
        <w:ind w:left="546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4CC179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5FB577F4"/>
    <w:multiLevelType w:val="hybridMultilevel"/>
    <w:tmpl w:val="33FC94DC"/>
    <w:styleLink w:val="Style10import"/>
    <w:lvl w:ilvl="0" w:tplc="37FC25AE">
      <w:start w:val="1"/>
      <w:numFmt w:val="bullet"/>
      <w:lvlText w:val="·"/>
      <w:lvlPicBulletId w:val="0"/>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164F4E">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7AF7FC">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9ABBD6">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BAEF58">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BC62A4">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A0A17C">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40F288">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58E3AE">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6D4A00B9"/>
    <w:multiLevelType w:val="hybridMultilevel"/>
    <w:tmpl w:val="BBF066C4"/>
    <w:numStyleLink w:val="Style7import"/>
  </w:abstractNum>
  <w:abstractNum w:abstractNumId="20">
    <w:nsid w:val="78301840"/>
    <w:multiLevelType w:val="hybridMultilevel"/>
    <w:tmpl w:val="B9465122"/>
    <w:numStyleLink w:val="Style8import"/>
  </w:abstractNum>
  <w:abstractNum w:abstractNumId="21">
    <w:nsid w:val="79AD2E02"/>
    <w:multiLevelType w:val="hybridMultilevel"/>
    <w:tmpl w:val="AB34575C"/>
    <w:numStyleLink w:val="Style6import"/>
  </w:abstractNum>
  <w:num w:numId="1">
    <w:abstractNumId w:val="0"/>
  </w:num>
  <w:num w:numId="2">
    <w:abstractNumId w:val="6"/>
  </w:num>
  <w:num w:numId="3">
    <w:abstractNumId w:val="6"/>
    <w:lvlOverride w:ilvl="0">
      <w:lvl w:ilvl="0">
        <w:start w:val="1"/>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2"/>
  </w:num>
  <w:num w:numId="6">
    <w:abstractNumId w:val="6"/>
    <w:lvlOverride w:ilvl="0">
      <w:startOverride w:val="4"/>
      <w:lvl w:ilvl="0">
        <w:start w:val="4"/>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1"/>
  </w:num>
  <w:num w:numId="8">
    <w:abstractNumId w:val="2"/>
  </w:num>
  <w:num w:numId="9">
    <w:abstractNumId w:val="6"/>
    <w:lvlOverride w:ilvl="0">
      <w:startOverride w:val="5"/>
      <w:lvl w:ilvl="0">
        <w:start w:val="5"/>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 w:numId="12">
    <w:abstractNumId w:val="16"/>
  </w:num>
  <w:num w:numId="13">
    <w:abstractNumId w:val="4"/>
  </w:num>
  <w:num w:numId="14">
    <w:abstractNumId w:val="8"/>
    <w:lvlOverride w:ilvl="0">
      <w:startOverride w:val="8"/>
    </w:lvlOverride>
  </w:num>
  <w:num w:numId="15">
    <w:abstractNumId w:val="15"/>
  </w:num>
  <w:num w:numId="16">
    <w:abstractNumId w:val="21"/>
  </w:num>
  <w:num w:numId="17">
    <w:abstractNumId w:val="8"/>
    <w:lvlOverride w:ilvl="0">
      <w:startOverride w:val="12"/>
    </w:lvlOverride>
  </w:num>
  <w:num w:numId="18">
    <w:abstractNumId w:val="13"/>
  </w:num>
  <w:num w:numId="19">
    <w:abstractNumId w:val="19"/>
  </w:num>
  <w:num w:numId="20">
    <w:abstractNumId w:val="6"/>
    <w:lvlOverride w:ilvl="0">
      <w:startOverride w:val="6"/>
      <w:lvl w:ilvl="0">
        <w:start w:val="6"/>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6"/>
    <w:lvlOverride w:ilvl="0">
      <w:startOverride w:val="8"/>
      <w:lvl w:ilvl="0">
        <w:start w:val="8"/>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abstractNumId w:val="1"/>
  </w:num>
  <w:num w:numId="23">
    <w:abstractNumId w:val="20"/>
  </w:num>
  <w:num w:numId="24">
    <w:abstractNumId w:val="6"/>
    <w:lvlOverride w:ilvl="0">
      <w:startOverride w:val="9"/>
      <w:lvl w:ilvl="0">
        <w:start w:val="9"/>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
    <w:abstractNumId w:val="17"/>
  </w:num>
  <w:num w:numId="26">
    <w:abstractNumId w:val="3"/>
  </w:num>
  <w:num w:numId="27">
    <w:abstractNumId w:val="6"/>
    <w:lvlOverride w:ilvl="0">
      <w:startOverride w:val="12"/>
      <w:lvl w:ilvl="0">
        <w:start w:val="12"/>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8"/>
  </w:num>
  <w:num w:numId="29">
    <w:abstractNumId w:val="10"/>
  </w:num>
  <w:num w:numId="30">
    <w:abstractNumId w:val="6"/>
    <w:lvlOverride w:ilvl="0">
      <w:startOverride w:val="13"/>
      <w:lvl w:ilvl="0">
        <w:start w:val="13"/>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91"/>
    <w:rsid w:val="00800EB2"/>
    <w:rsid w:val="00A90091"/>
    <w:rsid w:val="00C574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AB0C0-5C6A-477A-A609-934F159D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hAnsi="Calibri" w:cs="Arial Unicode MS"/>
      <w:color w:val="000000"/>
      <w:sz w:val="22"/>
      <w:szCs w:val="22"/>
      <w:u w:color="000000"/>
      <w:lang w:val="fr-FR"/>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styleId="Pieddepage">
    <w:name w:val="footer"/>
    <w:pPr>
      <w:tabs>
        <w:tab w:val="center" w:pos="4536"/>
        <w:tab w:val="right" w:pos="9072"/>
      </w:tabs>
      <w:spacing w:after="200" w:line="276" w:lineRule="auto"/>
    </w:pPr>
    <w:rPr>
      <w:rFonts w:ascii="Calibri" w:hAnsi="Calibri" w:cs="Arial Unicode MS"/>
      <w:color w:val="000000"/>
      <w:sz w:val="22"/>
      <w:szCs w:val="22"/>
      <w:u w:color="000000"/>
      <w:lang w:val="fr-FR"/>
    </w:rPr>
  </w:style>
  <w:style w:type="paragraph" w:customStyle="1" w:styleId="Grillemoyenne21">
    <w:name w:val="Grille moyenne 21"/>
    <w:pPr>
      <w:spacing w:after="200" w:line="276" w:lineRule="auto"/>
    </w:pPr>
    <w:rPr>
      <w:rFonts w:ascii="Calibri" w:hAnsi="Calibri" w:cs="Arial Unicode MS"/>
      <w:color w:val="000000"/>
      <w:sz w:val="22"/>
      <w:szCs w:val="22"/>
      <w:u w:color="000000"/>
      <w:lang w:val="en-US"/>
    </w:rPr>
  </w:style>
  <w:style w:type="character" w:customStyle="1" w:styleId="Hyperlink0">
    <w:name w:val="Hyperlink.0"/>
    <w:basedOn w:val="Aucun"/>
    <w:rPr>
      <w:rFonts w:ascii="Arial" w:hAnsi="Arial"/>
      <w:b/>
      <w:bCs/>
      <w:sz w:val="32"/>
      <w:szCs w:val="32"/>
      <w:lang w:val="fr-FR"/>
    </w:rPr>
  </w:style>
  <w:style w:type="paragraph" w:styleId="Paragraphedeliste">
    <w:name w:val="List Paragraph"/>
    <w:pPr>
      <w:spacing w:after="200" w:line="276" w:lineRule="auto"/>
      <w:ind w:left="720"/>
    </w:pPr>
    <w:rPr>
      <w:rFonts w:ascii="Calibri" w:eastAsia="Calibri" w:hAnsi="Calibri" w:cs="Calibri"/>
      <w:color w:val="000000"/>
      <w:sz w:val="22"/>
      <w:szCs w:val="22"/>
      <w:u w:color="000000"/>
      <w:lang w:val="fr-FR"/>
    </w:rPr>
  </w:style>
  <w:style w:type="numbering" w:customStyle="1" w:styleId="Style1import">
    <w:name w:val="Style 1 importé"/>
    <w:pPr>
      <w:numPr>
        <w:numId w:val="1"/>
      </w:numPr>
    </w:pPr>
  </w:style>
  <w:style w:type="paragraph" w:styleId="Notedebasdepage">
    <w:name w:val="footnote text"/>
    <w:rPr>
      <w:rFonts w:ascii="Calibri" w:eastAsia="Calibri" w:hAnsi="Calibri" w:cs="Calibri"/>
      <w:color w:val="000000"/>
      <w:u w:color="000000"/>
      <w:lang w:val="en-US"/>
    </w:rPr>
  </w:style>
  <w:style w:type="character" w:customStyle="1" w:styleId="FootnoteReferenceFNRefeCharCharCarBVICar16PointBVIfnrFootnoteFootnoteReferenceNumberFootnoteReference1FootnoteReferenceLVL6FootnoteReferenceLVL61FootnoteReferenceLVL62FootnoteReferenceLVL63FootnoteReferenceLVL64fr">
    <w:name w:val="Footnote Reference;FNRefe Char Char Car;BVI Car;16 Point;BVI fnr;Footnote;Footnote Reference Number;Footnote Reference1;Footnote Reference_LVL6;Footnote Reference_LVL61;Footnote Reference_LVL62;Footnote Reference_LVL63;Footnote Reference_LVL64;fr"/>
    <w:basedOn w:val="Aucun"/>
    <w:rPr>
      <w:vertAlign w:val="superscript"/>
      <w:lang w:val="en-US"/>
    </w:rPr>
  </w:style>
  <w:style w:type="numbering" w:customStyle="1" w:styleId="Style2import">
    <w:name w:val="Style 2 importé"/>
    <w:pPr>
      <w:numPr>
        <w:numId w:val="4"/>
      </w:numPr>
    </w:pPr>
  </w:style>
  <w:style w:type="numbering" w:customStyle="1" w:styleId="Style3import">
    <w:name w:val="Style 3 importé"/>
    <w:pPr>
      <w:numPr>
        <w:numId w:val="7"/>
      </w:numPr>
    </w:pPr>
  </w:style>
  <w:style w:type="paragraph" w:customStyle="1" w:styleId="xmsolistparagraph">
    <w:name w:val="x_msolistparagraph"/>
    <w:rPr>
      <w:rFonts w:ascii="Calibri" w:eastAsia="Calibri" w:hAnsi="Calibri" w:cs="Calibri"/>
      <w:color w:val="000000"/>
      <w:sz w:val="22"/>
      <w:szCs w:val="22"/>
      <w:u w:color="000000"/>
      <w:lang w:val="en-US"/>
    </w:rPr>
  </w:style>
  <w:style w:type="character" w:customStyle="1" w:styleId="Lien">
    <w:name w:val="Lien"/>
    <w:rPr>
      <w:outline w:val="0"/>
      <w:color w:val="0563C1"/>
      <w:u w:val="single" w:color="0563C1"/>
    </w:rPr>
  </w:style>
  <w:style w:type="character" w:customStyle="1" w:styleId="Hyperlink1">
    <w:name w:val="Hyperlink.1"/>
    <w:basedOn w:val="Lien"/>
    <w:rPr>
      <w:outline w:val="0"/>
      <w:color w:val="0563C1"/>
      <w:sz w:val="18"/>
      <w:szCs w:val="18"/>
      <w:u w:val="single" w:color="0563C1"/>
      <w:lang w:val="fr-FR"/>
    </w:rPr>
  </w:style>
  <w:style w:type="numbering" w:customStyle="1" w:styleId="Style4import">
    <w:name w:val="Style 4 importé"/>
    <w:pPr>
      <w:numPr>
        <w:numId w:val="10"/>
      </w:numPr>
    </w:pPr>
  </w:style>
  <w:style w:type="numbering" w:customStyle="1" w:styleId="Style5import">
    <w:name w:val="Style 5 importé"/>
    <w:pPr>
      <w:numPr>
        <w:numId w:val="12"/>
      </w:numPr>
    </w:pPr>
  </w:style>
  <w:style w:type="numbering" w:customStyle="1" w:styleId="Style6import">
    <w:name w:val="Style 6 importé"/>
    <w:pPr>
      <w:numPr>
        <w:numId w:val="15"/>
      </w:numPr>
    </w:pPr>
  </w:style>
  <w:style w:type="numbering" w:customStyle="1" w:styleId="Style7import">
    <w:name w:val="Style 7 importé"/>
    <w:pPr>
      <w:numPr>
        <w:numId w:val="18"/>
      </w:numPr>
    </w:pPr>
  </w:style>
  <w:style w:type="numbering" w:customStyle="1" w:styleId="Style8import">
    <w:name w:val="Style 8 importé"/>
    <w:pPr>
      <w:numPr>
        <w:numId w:val="22"/>
      </w:numPr>
    </w:pPr>
  </w:style>
  <w:style w:type="numbering" w:customStyle="1" w:styleId="Style9import">
    <w:name w:val="Style 9 importé"/>
    <w:pPr>
      <w:numPr>
        <w:numId w:val="25"/>
      </w:numPr>
    </w:pPr>
  </w:style>
  <w:style w:type="numbering" w:customStyle="1" w:styleId="Style10import">
    <w:name w:val="Style 10 importé"/>
    <w:pPr>
      <w:numPr>
        <w:numId w:val="28"/>
      </w:numPr>
    </w:pPr>
  </w:style>
  <w:style w:type="numbering" w:customStyle="1" w:styleId="Style11import">
    <w:name w:val="Style 11 importé"/>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orldbankgroup.sharepoint.com/sites/wbunits/opcs/Knowledge%2520Base/Public%2520Consultations%2520in%2520WB%2520Operations.pdf" TargetMode="External"/><Relationship Id="rId1" Type="http://schemas.openxmlformats.org/officeDocument/2006/relationships/hyperlink" Target="https://thedocs.worldbank.org/en/doc/b3e4f9273f676308274e8831538d9f91-0290032023/original/SEA-SH-Civil-Works-GPN-Third-Edition-French-translatio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4800</Words>
  <Characters>26400</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3PLMek</dc:creator>
  <cp:lastModifiedBy>3PLMek</cp:lastModifiedBy>
  <cp:revision>2</cp:revision>
  <dcterms:created xsi:type="dcterms:W3CDTF">2023-06-27T15:43:00Z</dcterms:created>
  <dcterms:modified xsi:type="dcterms:W3CDTF">2023-06-27T15:43:00Z</dcterms:modified>
</cp:coreProperties>
</file>