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7FF6" w14:textId="6B918963" w:rsidR="00F34AA9" w:rsidRPr="001E7D0F" w:rsidRDefault="56D7C112" w:rsidP="56D7C112">
      <w:pPr>
        <w:tabs>
          <w:tab w:val="left" w:pos="4230"/>
          <w:tab w:val="left" w:pos="4320"/>
        </w:tabs>
        <w:jc w:val="center"/>
        <w:rPr>
          <w:b/>
          <w:bCs/>
        </w:rPr>
      </w:pPr>
      <w:bookmarkStart w:id="0" w:name="wp1144487"/>
      <w:bookmarkStart w:id="1" w:name="wp1144380"/>
      <w:bookmarkStart w:id="2" w:name="wp1144488"/>
      <w:bookmarkStart w:id="3" w:name="wp1144489"/>
      <w:bookmarkStart w:id="4" w:name="wp1144421"/>
      <w:bookmarkStart w:id="5" w:name="wp1144442"/>
      <w:bookmarkStart w:id="6" w:name="wp1144475"/>
      <w:bookmarkStart w:id="7" w:name="wp1144478"/>
      <w:bookmarkEnd w:id="0"/>
      <w:bookmarkEnd w:id="1"/>
      <w:bookmarkEnd w:id="2"/>
      <w:bookmarkEnd w:id="3"/>
      <w:bookmarkEnd w:id="4"/>
      <w:bookmarkEnd w:id="5"/>
      <w:bookmarkEnd w:id="6"/>
      <w:bookmarkEnd w:id="7"/>
      <w:r w:rsidRPr="56D7C112">
        <w:rPr>
          <w:b/>
          <w:bCs/>
          <w:lang w:val="fr-CA"/>
        </w:rPr>
        <w:t>Modèle Demande de Proposition (DP ou RFP)</w:t>
      </w:r>
    </w:p>
    <w:p w14:paraId="3C7DEDB0" w14:textId="1487BE21" w:rsidR="00F34AA9" w:rsidRPr="001E7D0F" w:rsidRDefault="6CE1C39B" w:rsidP="0DE0DBFD">
      <w:pPr>
        <w:spacing w:after="0"/>
        <w:rPr>
          <w:b/>
          <w:bCs/>
          <w:lang w:val="fr-CA"/>
        </w:rPr>
      </w:pPr>
      <w:r w:rsidRPr="6CE1C39B">
        <w:rPr>
          <w:lang w:val="fr-CA"/>
        </w:rPr>
        <w:t>Date d'émission :</w:t>
      </w:r>
      <w:r w:rsidR="00F34AA9">
        <w:tab/>
      </w:r>
      <w:r w:rsidR="00F34AA9">
        <w:tab/>
      </w:r>
      <w:r w:rsidR="00F34AA9">
        <w:tab/>
      </w:r>
      <w:r w:rsidR="00F34AA9">
        <w:tab/>
      </w:r>
      <w:r w:rsidRPr="6CE1C39B">
        <w:rPr>
          <w:b/>
          <w:bCs/>
          <w:lang w:val="fr-CA"/>
        </w:rPr>
        <w:t>07/11/2024</w:t>
      </w:r>
    </w:p>
    <w:p w14:paraId="4614534D" w14:textId="129F1ED9" w:rsidR="00F34AA9" w:rsidRPr="001E7D0F" w:rsidRDefault="68DD82D6" w:rsidP="0DE0DBFD">
      <w:pPr>
        <w:spacing w:after="0"/>
        <w:rPr>
          <w:b/>
          <w:bCs/>
          <w:lang w:val="fr-CA"/>
        </w:rPr>
      </w:pPr>
      <w:r w:rsidRPr="68DD82D6">
        <w:rPr>
          <w:lang w:val="fr-CA"/>
        </w:rPr>
        <w:t>Date de clôture des Questions :</w:t>
      </w:r>
      <w:r w:rsidR="00F34AA9">
        <w:tab/>
      </w:r>
      <w:r w:rsidR="00F34AA9">
        <w:tab/>
      </w:r>
      <w:r w:rsidRPr="68DD82D6">
        <w:rPr>
          <w:b/>
          <w:bCs/>
          <w:lang w:val="fr-CA"/>
        </w:rPr>
        <w:t>15/11/2024 à 16h30 heure de Kinshasa</w:t>
      </w:r>
    </w:p>
    <w:p w14:paraId="6404898E" w14:textId="07F0C2BF" w:rsidR="00F34AA9" w:rsidRPr="001E7D0F" w:rsidRDefault="65678AB8" w:rsidP="0DE0DBFD">
      <w:pPr>
        <w:spacing w:after="0"/>
        <w:rPr>
          <w:b/>
          <w:bCs/>
          <w:lang w:val="fr-CA"/>
        </w:rPr>
      </w:pPr>
      <w:r w:rsidRPr="65678AB8">
        <w:rPr>
          <w:lang w:val="fr-CA"/>
        </w:rPr>
        <w:t>Date limite de soumission de proposition :</w:t>
      </w:r>
      <w:r w:rsidR="00F34AA9">
        <w:tab/>
      </w:r>
      <w:r w:rsidRPr="65678AB8">
        <w:rPr>
          <w:b/>
          <w:bCs/>
          <w:lang w:val="fr-CA"/>
        </w:rPr>
        <w:t>28/11/2024</w:t>
      </w:r>
      <w:r w:rsidRPr="65678AB8">
        <w:rPr>
          <w:lang w:val="fr-CA"/>
        </w:rPr>
        <w:t xml:space="preserve"> </w:t>
      </w:r>
      <w:r w:rsidRPr="65678AB8">
        <w:rPr>
          <w:b/>
          <w:bCs/>
          <w:lang w:val="fr-CA"/>
        </w:rPr>
        <w:t>à 16h 30 heure de Kinshasa</w:t>
      </w:r>
    </w:p>
    <w:p w14:paraId="14CC8D10" w14:textId="0DEC88C9" w:rsidR="00F34AA9" w:rsidRPr="001E7D0F" w:rsidRDefault="00F34AA9" w:rsidP="0DE0DBFD">
      <w:pPr>
        <w:spacing w:after="0"/>
        <w:rPr>
          <w:lang w:val="fr-CA"/>
        </w:rPr>
      </w:pPr>
    </w:p>
    <w:p w14:paraId="064C5B5C" w14:textId="250A430C" w:rsidR="00F34AA9" w:rsidRPr="001E7D0F" w:rsidRDefault="4671A974" w:rsidP="00F34AA9">
      <w:pPr>
        <w:spacing w:after="0"/>
        <w:ind w:left="4230" w:hanging="4230"/>
      </w:pPr>
      <w:r w:rsidRPr="4671A974">
        <w:rPr>
          <w:lang w:val="fr-CA"/>
        </w:rPr>
        <w:t xml:space="preserve">Objet :  </w:t>
      </w:r>
      <w:r w:rsidR="00F34AA9">
        <w:tab/>
      </w:r>
      <w:r w:rsidRPr="4671A974">
        <w:rPr>
          <w:lang w:val="fr-CA"/>
        </w:rPr>
        <w:t xml:space="preserve">ARD </w:t>
      </w:r>
      <w:proofErr w:type="spellStart"/>
      <w:r w:rsidRPr="4671A974">
        <w:rPr>
          <w:lang w:val="fr-CA"/>
        </w:rPr>
        <w:t>Inc</w:t>
      </w:r>
      <w:proofErr w:type="spellEnd"/>
      <w:r w:rsidRPr="4671A974">
        <w:rPr>
          <w:lang w:val="fr-CA"/>
        </w:rPr>
        <w:t xml:space="preserve"> </w:t>
      </w:r>
      <w:r w:rsidRPr="4671A974">
        <w:rPr>
          <w:b/>
          <w:bCs/>
          <w:lang w:val="fr-CA"/>
        </w:rPr>
        <w:t>Demande de proposition n° 009</w:t>
      </w:r>
      <w:r w:rsidRPr="4671A974">
        <w:rPr>
          <w:lang w:val="fr-CA"/>
        </w:rPr>
        <w:t>/Élaboration de la stratégie nationale de lutte contre la criminalité faunique</w:t>
      </w:r>
    </w:p>
    <w:p w14:paraId="3A5982E8" w14:textId="77777777" w:rsidR="00F34AA9" w:rsidRPr="001E7D0F" w:rsidRDefault="00F34AA9" w:rsidP="00F34AA9">
      <w:pPr>
        <w:spacing w:after="0"/>
      </w:pPr>
    </w:p>
    <w:p w14:paraId="16FFD7C0" w14:textId="77777777" w:rsidR="00F34AA9" w:rsidRPr="001E7D0F" w:rsidRDefault="00F34AA9" w:rsidP="00F34AA9">
      <w:pPr>
        <w:spacing w:after="0"/>
      </w:pPr>
      <w:r w:rsidRPr="001E7D0F">
        <w:rPr>
          <w:lang w:val="fr-CA"/>
        </w:rPr>
        <w:t>Cher Monsieur/ Madame,</w:t>
      </w:r>
    </w:p>
    <w:p w14:paraId="70048F94" w14:textId="77777777" w:rsidR="00F34AA9" w:rsidRPr="001E7D0F" w:rsidRDefault="00F34AA9" w:rsidP="00F34AA9">
      <w:pPr>
        <w:spacing w:after="0"/>
      </w:pPr>
    </w:p>
    <w:p w14:paraId="7A050EC2" w14:textId="42922B9A" w:rsidR="00F34AA9" w:rsidRPr="001E7D0F" w:rsidRDefault="65678AB8" w:rsidP="65678AB8">
      <w:pPr>
        <w:spacing w:after="0"/>
        <w:rPr>
          <w:b/>
          <w:bCs/>
          <w:highlight w:val="lightGray"/>
          <w:lang w:val="fr-CA"/>
        </w:rPr>
      </w:pPr>
      <w:r w:rsidRPr="65678AB8">
        <w:rPr>
          <w:lang w:val="fr-CA"/>
        </w:rPr>
        <w:t xml:space="preserve">Vous êtes cordialement invités à soumettre une proposition technique et financière relative à </w:t>
      </w:r>
      <w:r w:rsidRPr="65678AB8">
        <w:rPr>
          <w:b/>
          <w:bCs/>
          <w:lang w:val="fr-CA"/>
        </w:rPr>
        <w:t xml:space="preserve">ARD Inc. Demande de proposition n° 009 : </w:t>
      </w:r>
      <w:r w:rsidRPr="65678AB8">
        <w:rPr>
          <w:lang w:val="fr-CA"/>
        </w:rPr>
        <w:t>Élaboration de la stratégie nationale de lutte contre la criminalité faunique.</w:t>
      </w:r>
    </w:p>
    <w:p w14:paraId="2F141B31" w14:textId="77777777" w:rsidR="00F34AA9" w:rsidRPr="001E7D0F" w:rsidRDefault="00F34AA9" w:rsidP="00F34AA9">
      <w:pPr>
        <w:spacing w:after="0"/>
      </w:pPr>
    </w:p>
    <w:p w14:paraId="3164043D" w14:textId="60A36FD6" w:rsidR="00F34AA9" w:rsidRPr="001E7D0F" w:rsidRDefault="001C05D8" w:rsidP="006C3B8F">
      <w:pPr>
        <w:pStyle w:val="Paragraphedeliste"/>
        <w:numPr>
          <w:ilvl w:val="0"/>
          <w:numId w:val="6"/>
        </w:numPr>
        <w:spacing w:after="0"/>
      </w:pPr>
      <w:r w:rsidRPr="001C05D8">
        <w:rPr>
          <w:bCs/>
          <w:lang w:val="fr-CA"/>
        </w:rPr>
        <w:t xml:space="preserve">ARD </w:t>
      </w:r>
      <w:proofErr w:type="spellStart"/>
      <w:r w:rsidRPr="001C05D8">
        <w:rPr>
          <w:bCs/>
          <w:lang w:val="fr-CA"/>
        </w:rPr>
        <w:t>Inc</w:t>
      </w:r>
      <w:proofErr w:type="spellEnd"/>
      <w:r w:rsidRPr="001E7D0F">
        <w:rPr>
          <w:lang w:val="fr-CA"/>
        </w:rPr>
        <w:t xml:space="preserve"> </w:t>
      </w:r>
      <w:r w:rsidR="00F34AA9" w:rsidRPr="001E7D0F">
        <w:rPr>
          <w:lang w:val="fr-CA"/>
        </w:rPr>
        <w:t xml:space="preserve">a l'intention d'émettre un </w:t>
      </w:r>
      <w:r w:rsidR="00F34AA9" w:rsidRPr="001E7D0F">
        <w:rPr>
          <w:b/>
          <w:highlight w:val="lightGray"/>
          <w:lang w:val="fr-CA"/>
        </w:rPr>
        <w:t xml:space="preserve">contrat à prix fixe </w:t>
      </w:r>
      <w:r w:rsidR="00F34AA9" w:rsidRPr="001E7D0F">
        <w:rPr>
          <w:lang w:val="fr-CA"/>
        </w:rPr>
        <w:t>pour ce travail</w:t>
      </w:r>
    </w:p>
    <w:p w14:paraId="65035F0A" w14:textId="77777777" w:rsidR="00F34AA9" w:rsidRPr="001E7D0F" w:rsidRDefault="00F34AA9" w:rsidP="006C3B8F">
      <w:pPr>
        <w:pStyle w:val="Paragraphedeliste"/>
        <w:numPr>
          <w:ilvl w:val="0"/>
          <w:numId w:val="6"/>
        </w:numPr>
        <w:spacing w:after="0"/>
      </w:pPr>
      <w:r w:rsidRPr="001E7D0F">
        <w:rPr>
          <w:lang w:val="fr-CA"/>
        </w:rPr>
        <w:t>Les coûts engagés par les répondants pour la préparation d'une proposition et de la négociation du contrat ne sont pas remboursables.</w:t>
      </w:r>
    </w:p>
    <w:p w14:paraId="4D61FC64" w14:textId="30C72C19" w:rsidR="00F34AA9" w:rsidRPr="001E7D0F" w:rsidRDefault="001C05D8" w:rsidP="006C3B8F">
      <w:pPr>
        <w:pStyle w:val="Paragraphedeliste"/>
        <w:numPr>
          <w:ilvl w:val="0"/>
          <w:numId w:val="6"/>
        </w:numPr>
        <w:spacing w:after="0"/>
      </w:pPr>
      <w:r w:rsidRPr="001C05D8">
        <w:rPr>
          <w:bCs/>
          <w:lang w:val="fr-CA"/>
        </w:rPr>
        <w:t xml:space="preserve">ARD </w:t>
      </w:r>
      <w:proofErr w:type="spellStart"/>
      <w:r w:rsidRPr="001C05D8">
        <w:rPr>
          <w:bCs/>
          <w:lang w:val="fr-CA"/>
        </w:rPr>
        <w:t>Inc</w:t>
      </w:r>
      <w:proofErr w:type="spellEnd"/>
      <w:r w:rsidRPr="001E7D0F">
        <w:rPr>
          <w:lang w:val="fr-CA"/>
        </w:rPr>
        <w:t xml:space="preserve"> </w:t>
      </w:r>
      <w:r w:rsidR="00F34AA9" w:rsidRPr="001E7D0F">
        <w:rPr>
          <w:lang w:val="fr-CA"/>
        </w:rPr>
        <w:t>ne doit pas nécessairement accepter n'importe laquelle des propositions soumises.</w:t>
      </w:r>
    </w:p>
    <w:p w14:paraId="431C6889" w14:textId="3DD7F9AF" w:rsidR="00F34AA9" w:rsidRPr="001E7D0F" w:rsidRDefault="001C05D8" w:rsidP="006C3B8F">
      <w:pPr>
        <w:pStyle w:val="Paragraphedeliste"/>
        <w:numPr>
          <w:ilvl w:val="0"/>
          <w:numId w:val="6"/>
        </w:numPr>
        <w:spacing w:after="0"/>
      </w:pPr>
      <w:r w:rsidRPr="001C05D8">
        <w:rPr>
          <w:bCs/>
          <w:lang w:val="fr-CA"/>
        </w:rPr>
        <w:t xml:space="preserve">ARD </w:t>
      </w:r>
      <w:proofErr w:type="spellStart"/>
      <w:r w:rsidRPr="001C05D8">
        <w:rPr>
          <w:bCs/>
          <w:lang w:val="fr-CA"/>
        </w:rPr>
        <w:t>Inc</w:t>
      </w:r>
      <w:proofErr w:type="spellEnd"/>
      <w:r w:rsidRPr="001E7D0F">
        <w:rPr>
          <w:lang w:val="fr-CA"/>
        </w:rPr>
        <w:t xml:space="preserve"> </w:t>
      </w:r>
      <w:r w:rsidR="00F34AA9" w:rsidRPr="001E7D0F">
        <w:rPr>
          <w:lang w:val="fr-CA"/>
        </w:rPr>
        <w:t>se réserve le droit d'accepter une proposition d'offre sans autre discussion.</w:t>
      </w:r>
    </w:p>
    <w:p w14:paraId="33E3324D" w14:textId="0E6E11D6" w:rsidR="00F34AA9" w:rsidRPr="001E7D0F" w:rsidRDefault="001C05D8" w:rsidP="006C3B8F">
      <w:pPr>
        <w:pStyle w:val="Paragraphedeliste"/>
        <w:numPr>
          <w:ilvl w:val="0"/>
          <w:numId w:val="6"/>
        </w:numPr>
        <w:spacing w:after="0"/>
        <w:rPr>
          <w:highlight w:val="lightGray"/>
        </w:rPr>
      </w:pPr>
      <w:r w:rsidRPr="001C05D8">
        <w:rPr>
          <w:bCs/>
          <w:lang w:val="fr-CA"/>
        </w:rPr>
        <w:t xml:space="preserve">ARD </w:t>
      </w:r>
      <w:proofErr w:type="spellStart"/>
      <w:r w:rsidRPr="001C05D8">
        <w:rPr>
          <w:bCs/>
          <w:lang w:val="fr-CA"/>
        </w:rPr>
        <w:t>Inc</w:t>
      </w:r>
      <w:proofErr w:type="spellEnd"/>
      <w:r w:rsidRPr="001E7D0F">
        <w:rPr>
          <w:lang w:val="fr-CA"/>
        </w:rPr>
        <w:t xml:space="preserve"> </w:t>
      </w:r>
      <w:r w:rsidR="00F34AA9" w:rsidRPr="001E7D0F">
        <w:rPr>
          <w:lang w:val="fr-CA"/>
        </w:rPr>
        <w:t xml:space="preserve">évaluera uniquement les propositions d'entreprises qualifiées et enregistrées sous licence pour exécuter et mettre en œuvre les travaux dans le cadre de ce projet. </w:t>
      </w:r>
    </w:p>
    <w:p w14:paraId="2E0D8858" w14:textId="77777777" w:rsidR="00F34AA9" w:rsidRPr="001E7D0F" w:rsidRDefault="00F34AA9" w:rsidP="006C3B8F">
      <w:pPr>
        <w:pStyle w:val="Paragraphedeliste"/>
        <w:numPr>
          <w:ilvl w:val="0"/>
          <w:numId w:val="6"/>
        </w:numPr>
        <w:spacing w:after="0"/>
      </w:pPr>
      <w:r w:rsidRPr="001E7D0F">
        <w:rPr>
          <w:lang w:val="fr-CA"/>
        </w:rPr>
        <w:t xml:space="preserve">Les soumissionnaires sont tenus d’obtenir l’assurance DBA avant le début des services. </w:t>
      </w:r>
      <w:r w:rsidRPr="001C05D8">
        <w:rPr>
          <w:b/>
          <w:bCs/>
          <w:i/>
          <w:iCs/>
          <w:lang w:val="fr-CA"/>
        </w:rPr>
        <w:t>Voir la section 3</w:t>
      </w:r>
      <w:r w:rsidRPr="001E7D0F">
        <w:rPr>
          <w:lang w:val="fr-CA"/>
        </w:rPr>
        <w:t xml:space="preserve">. Proposition financière pour plus d’information. </w:t>
      </w:r>
    </w:p>
    <w:p w14:paraId="58345FAD" w14:textId="15F21115" w:rsidR="00F34AA9" w:rsidRPr="001E7D0F" w:rsidRDefault="3428699D" w:rsidP="006C3B8F">
      <w:pPr>
        <w:pStyle w:val="Paragraphedeliste"/>
        <w:numPr>
          <w:ilvl w:val="0"/>
          <w:numId w:val="6"/>
        </w:numPr>
        <w:spacing w:after="0"/>
      </w:pPr>
      <w:r w:rsidRPr="3428699D">
        <w:rPr>
          <w:lang w:val="fr-CA"/>
        </w:rPr>
        <w:t xml:space="preserve">Les offres doivent être en mesure de compléter tous les éléments indiqués dans l'énoncé des travaux de la </w:t>
      </w:r>
      <w:r w:rsidRPr="3428699D">
        <w:rPr>
          <w:b/>
          <w:bCs/>
          <w:i/>
          <w:iCs/>
          <w:lang w:val="fr-CA"/>
        </w:rPr>
        <w:t>pièce jointe A</w:t>
      </w:r>
      <w:r w:rsidRPr="3428699D">
        <w:rPr>
          <w:lang w:val="fr-CA"/>
        </w:rPr>
        <w:t>.</w:t>
      </w:r>
    </w:p>
    <w:p w14:paraId="04E8A1DD" w14:textId="0E67C68B" w:rsidR="00F34AA9" w:rsidRPr="001E7D0F" w:rsidRDefault="00F34AA9" w:rsidP="006C3B8F">
      <w:pPr>
        <w:pStyle w:val="Paragraphedeliste"/>
        <w:numPr>
          <w:ilvl w:val="0"/>
          <w:numId w:val="6"/>
        </w:numPr>
        <w:ind w:left="994"/>
        <w:rPr>
          <w:b/>
          <w:bCs/>
          <w:u w:val="single"/>
        </w:rPr>
      </w:pPr>
      <w:r w:rsidRPr="001E7D0F">
        <w:rPr>
          <w:b/>
          <w:bCs/>
        </w:rPr>
        <w:t>Code géographique autorisé de l'USAID</w:t>
      </w:r>
      <w:r w:rsidRPr="001E7D0F">
        <w:t xml:space="preserve">-Tous les biens et services offerts dans le cadre de cette sollicitation ou fournis dans le cadre d'une attribution résultante doivent respecter </w:t>
      </w:r>
      <w:r w:rsidRPr="001E7D0F">
        <w:rPr>
          <w:b/>
          <w:bCs/>
        </w:rPr>
        <w:t xml:space="preserve">le code géographique de l'USAID </w:t>
      </w:r>
      <w:r w:rsidRPr="001E7D0F">
        <w:rPr>
          <w:b/>
          <w:bCs/>
          <w:color w:val="FF0000"/>
          <w:highlight w:val="lightGray"/>
        </w:rPr>
        <w:t>935 ]</w:t>
      </w:r>
      <w:r w:rsidRPr="001E7D0F">
        <w:rPr>
          <w:color w:val="FF0000"/>
        </w:rPr>
        <w:t xml:space="preserve"> </w:t>
      </w:r>
      <w:r w:rsidRPr="001E7D0F">
        <w:t xml:space="preserve">conformément au Code des règlements fédéraux des États-Unis (CFR), </w:t>
      </w:r>
      <w:r>
        <w:fldChar w:fldCharType="begin"/>
      </w:r>
      <w:r>
        <w:instrText>HYPERLINK "https://nam10.safelinks.protection.outlook.com/?url=http%3A%2F%2Fwww.gpo.gov%2Ffdsys%2Fpkg%2FCFR-2012-title22-vol1%2Fpdf%2FCFR-2012-title22-vol1-part228.pdf&amp;data=04%7C01%7CKristin.Seiffert%40tetratech.com%7Ce295fcebc9ad4dd3384d08d93b36db95%7Ca40fe4baabc748fe8792b43889936400%7C0%7C0%7C637605929058979145%7CUnknown%7CTWFpbGZsb3d8eyJWIjoiMC4wLjAwMDAiLCJQIjoiV2luMzIiLCJBTiI6Ik1haWwiLCJXVCI6Mn0%3D%7C1000&amp;sdata=SBE58VwmUIkRNOxQs2wLyUdA5ABMZolBkWVjhUyo2Kc%3D&amp;reserved=0"</w:instrText>
      </w:r>
      <w:r>
        <w:fldChar w:fldCharType="separate"/>
      </w:r>
      <w:r w:rsidRPr="001E7D0F">
        <w:rPr>
          <w:rStyle w:val="Lienhypertexte"/>
        </w:rPr>
        <w:t>22 CFR §228</w:t>
      </w:r>
      <w:r>
        <w:rPr>
          <w:rStyle w:val="Lienhypertexte"/>
        </w:rPr>
        <w:fldChar w:fldCharType="end"/>
      </w:r>
      <w:r w:rsidRPr="001E7D0F">
        <w:t>. Les Soumissionnaires ne peuvent pas offrir ou fournir des marchandises ou des services qui sont fabriqués ou assemblés dans l'un des pays suivants, ou qui sont expédiés ou transportés par l'un de ces pays, ou qui impliquent l'un de ces pays : Cuba, Iran, Corée du Nord, Soudan (Nord), Syrie.</w:t>
      </w:r>
    </w:p>
    <w:p w14:paraId="6B965BA5" w14:textId="77777777" w:rsidR="00F34AA9" w:rsidRPr="001E7D0F" w:rsidRDefault="00F34AA9" w:rsidP="006C3B8F">
      <w:pPr>
        <w:pStyle w:val="Paragraphedeliste"/>
        <w:numPr>
          <w:ilvl w:val="0"/>
          <w:numId w:val="6"/>
        </w:numPr>
        <w:spacing w:after="0"/>
      </w:pPr>
      <w:r w:rsidRPr="001E7D0F">
        <w:rPr>
          <w:lang w:val="fr-CA"/>
        </w:rPr>
        <w:t xml:space="preserve">Les Soumissionnaires NE DOIVENT PAS fournir de biens et/ou de services qui utilisent des produits de télécommunications et de vidéosurveillance des sociétés suivantes : Huawei Technologies </w:t>
      </w:r>
      <w:proofErr w:type="spellStart"/>
      <w:r w:rsidRPr="001E7D0F">
        <w:rPr>
          <w:lang w:val="fr-CA"/>
        </w:rPr>
        <w:t>Company</w:t>
      </w:r>
      <w:proofErr w:type="spellEnd"/>
      <w:r w:rsidRPr="001E7D0F">
        <w:rPr>
          <w:lang w:val="fr-CA"/>
        </w:rPr>
        <w:t xml:space="preserve">, ZTE Corporation, </w:t>
      </w:r>
      <w:proofErr w:type="spellStart"/>
      <w:r w:rsidRPr="001E7D0F">
        <w:rPr>
          <w:lang w:val="fr-CA"/>
        </w:rPr>
        <w:t>Hytera</w:t>
      </w:r>
      <w:proofErr w:type="spellEnd"/>
      <w:r w:rsidRPr="001E7D0F">
        <w:rPr>
          <w:lang w:val="fr-CA"/>
        </w:rPr>
        <w:t xml:space="preserve"> Communications Corporation, Hangzhou </w:t>
      </w:r>
      <w:proofErr w:type="spellStart"/>
      <w:r w:rsidRPr="001E7D0F">
        <w:rPr>
          <w:lang w:val="fr-CA"/>
        </w:rPr>
        <w:t>Hikvision</w:t>
      </w:r>
      <w:proofErr w:type="spellEnd"/>
      <w:r w:rsidRPr="001E7D0F">
        <w:rPr>
          <w:lang w:val="fr-CA"/>
        </w:rPr>
        <w:t xml:space="preserve"> Digital </w:t>
      </w:r>
      <w:proofErr w:type="spellStart"/>
      <w:r w:rsidRPr="001E7D0F">
        <w:rPr>
          <w:lang w:val="fr-CA"/>
        </w:rPr>
        <w:t>Technology</w:t>
      </w:r>
      <w:proofErr w:type="spellEnd"/>
      <w:r w:rsidRPr="001E7D0F">
        <w:rPr>
          <w:lang w:val="fr-CA"/>
        </w:rPr>
        <w:t xml:space="preserve"> </w:t>
      </w:r>
      <w:proofErr w:type="spellStart"/>
      <w:r w:rsidRPr="001E7D0F">
        <w:rPr>
          <w:lang w:val="fr-CA"/>
        </w:rPr>
        <w:t>Company</w:t>
      </w:r>
      <w:proofErr w:type="spellEnd"/>
      <w:r w:rsidRPr="001E7D0F">
        <w:rPr>
          <w:lang w:val="fr-CA"/>
        </w:rPr>
        <w:t xml:space="preserve">, ou Dahua </w:t>
      </w:r>
      <w:proofErr w:type="spellStart"/>
      <w:r w:rsidRPr="001E7D0F">
        <w:rPr>
          <w:lang w:val="fr-CA"/>
        </w:rPr>
        <w:t>Technology</w:t>
      </w:r>
      <w:proofErr w:type="spellEnd"/>
      <w:r w:rsidRPr="001E7D0F">
        <w:rPr>
          <w:lang w:val="fr-CA"/>
        </w:rPr>
        <w:t xml:space="preserve"> </w:t>
      </w:r>
      <w:proofErr w:type="spellStart"/>
      <w:r w:rsidRPr="001E7D0F">
        <w:rPr>
          <w:lang w:val="fr-CA"/>
        </w:rPr>
        <w:t>Company</w:t>
      </w:r>
      <w:proofErr w:type="spellEnd"/>
      <w:r w:rsidRPr="001E7D0F">
        <w:rPr>
          <w:lang w:val="fr-CA"/>
        </w:rPr>
        <w:t xml:space="preserve">, ou toute filiale ou affiliée de celles-ci, conformément à la réglementation FAR 52.204-25, acronyme de  </w:t>
      </w:r>
      <w:proofErr w:type="spellStart"/>
      <w:r w:rsidRPr="001E7D0F">
        <w:rPr>
          <w:lang w:val="fr-CA"/>
        </w:rPr>
        <w:t>Federal</w:t>
      </w:r>
      <w:proofErr w:type="spellEnd"/>
      <w:r w:rsidRPr="001E7D0F">
        <w:rPr>
          <w:lang w:val="fr-CA"/>
        </w:rPr>
        <w:t xml:space="preserve"> Acquisition </w:t>
      </w:r>
      <w:proofErr w:type="spellStart"/>
      <w:r w:rsidRPr="001E7D0F">
        <w:rPr>
          <w:lang w:val="fr-CA"/>
        </w:rPr>
        <w:t>Regulation</w:t>
      </w:r>
      <w:proofErr w:type="spellEnd"/>
      <w:r w:rsidRPr="001E7D0F">
        <w:rPr>
          <w:lang w:val="fr-CA"/>
        </w:rPr>
        <w:t xml:space="preserve"> (Règlement sur les acquisitions fédérales).</w:t>
      </w:r>
    </w:p>
    <w:p w14:paraId="0246CA46" w14:textId="77777777" w:rsidR="00F34AA9" w:rsidRPr="001E7D0F" w:rsidRDefault="00F34AA9" w:rsidP="00F34AA9">
      <w:pPr>
        <w:pStyle w:val="Paragraphedeliste"/>
        <w:spacing w:after="0"/>
        <w:ind w:left="994"/>
        <w:rPr>
          <w:highlight w:val="yellow"/>
        </w:rPr>
      </w:pPr>
    </w:p>
    <w:p w14:paraId="70CA8052" w14:textId="77777777" w:rsidR="00F34AA9" w:rsidRPr="001E7D0F" w:rsidRDefault="00F34AA9" w:rsidP="00F34AA9">
      <w:pPr>
        <w:spacing w:after="0"/>
        <w:rPr>
          <w:b/>
          <w:bCs/>
          <w:u w:val="single"/>
        </w:rPr>
      </w:pPr>
    </w:p>
    <w:p w14:paraId="23A9C008" w14:textId="11007412" w:rsidR="00F34AA9" w:rsidRPr="001E7D0F" w:rsidRDefault="1B2029E6" w:rsidP="00F34AA9">
      <w:pPr>
        <w:spacing w:after="0"/>
      </w:pPr>
      <w:r w:rsidRPr="1B2029E6">
        <w:rPr>
          <w:b/>
          <w:bCs/>
          <w:u w:val="single"/>
          <w:lang w:val="fr-CA"/>
        </w:rPr>
        <w:t xml:space="preserve">Notez qu'en soumettant une réponse à cette DP, le Soumissionnaire comprend que l'USAID ne fait pas partie de cette sollicitation et que le Soumissionnaire accepte que toute contestation en vertu des présentes </w:t>
      </w:r>
      <w:proofErr w:type="gramStart"/>
      <w:r w:rsidRPr="1B2029E6">
        <w:rPr>
          <w:b/>
          <w:bCs/>
          <w:u w:val="single"/>
          <w:lang w:val="fr-CA"/>
        </w:rPr>
        <w:t>doit</w:t>
      </w:r>
      <w:proofErr w:type="gramEnd"/>
      <w:r w:rsidRPr="1B2029E6">
        <w:rPr>
          <w:b/>
          <w:bCs/>
          <w:u w:val="single"/>
          <w:lang w:val="fr-CA"/>
        </w:rPr>
        <w:t xml:space="preserve"> être présentée, par écrit avec une explication complète, à Tetra Tech ARD pour examen, car l'USAID ne tiendra pas compte </w:t>
      </w:r>
      <w:r w:rsidRPr="1B2029E6">
        <w:rPr>
          <w:b/>
          <w:bCs/>
          <w:u w:val="single"/>
          <w:lang w:val="fr-CA"/>
        </w:rPr>
        <w:lastRenderedPageBreak/>
        <w:t>des contestations concernant les achats effectués par les partenaires d'exécution. Tetra Tech ARD, à sa seule discrétion, prendra une décision finale sur la contestation concernant ces achats.</w:t>
      </w:r>
    </w:p>
    <w:p w14:paraId="4238AF39" w14:textId="77777777" w:rsidR="00F34AA9" w:rsidRPr="001E7D0F" w:rsidRDefault="00F34AA9" w:rsidP="00F34AA9">
      <w:pPr>
        <w:spacing w:after="0"/>
      </w:pPr>
    </w:p>
    <w:p w14:paraId="13A70004" w14:textId="77777777" w:rsidR="00F34AA9" w:rsidRPr="001C05D8" w:rsidRDefault="00F34AA9" w:rsidP="00F34AA9">
      <w:pPr>
        <w:pStyle w:val="Titre2"/>
        <w:rPr>
          <w:lang w:val="fr-FR"/>
        </w:rPr>
      </w:pPr>
      <w:r w:rsidRPr="001C05D8">
        <w:rPr>
          <w:lang w:val="fr-FR"/>
        </w:rPr>
        <w:t>Questions</w:t>
      </w:r>
    </w:p>
    <w:p w14:paraId="23380371" w14:textId="1F62647C" w:rsidR="00F34AA9" w:rsidRPr="001E7D0F" w:rsidRDefault="705F9CEB" w:rsidP="00F34AA9">
      <w:pPr>
        <w:spacing w:after="0"/>
      </w:pPr>
      <w:r w:rsidRPr="705F9CEB">
        <w:rPr>
          <w:lang w:val="fr-CA"/>
        </w:rPr>
        <w:t xml:space="preserve">Toutes les questions et demandes de renseignements relatives à cette demande doivent être soumises avant la date de clôture pour les questions indiquées ci-dessus pour cette demande de propositions. "Tous les soumissionnaires" doivent soumettre leurs questions à ARD </w:t>
      </w:r>
      <w:proofErr w:type="spellStart"/>
      <w:r w:rsidRPr="705F9CEB">
        <w:rPr>
          <w:lang w:val="fr-CA"/>
        </w:rPr>
        <w:t>Inc</w:t>
      </w:r>
      <w:proofErr w:type="spellEnd"/>
      <w:r w:rsidRPr="705F9CEB">
        <w:rPr>
          <w:lang w:val="fr-CA"/>
        </w:rPr>
        <w:t xml:space="preserve"> via l'adresse e-mail ci-dessous : </w:t>
      </w:r>
      <w:hyperlink r:id="rId11">
        <w:r w:rsidRPr="705F9CEB">
          <w:rPr>
            <w:rStyle w:val="Lienhypertexte"/>
            <w:b/>
            <w:bCs/>
            <w:lang w:val="fr-CA"/>
          </w:rPr>
          <w:t>ard.fabs.subcontracts@tetratech.com</w:t>
        </w:r>
      </w:hyperlink>
      <w:r w:rsidRPr="705F9CEB">
        <w:rPr>
          <w:b/>
          <w:bCs/>
          <w:lang w:val="fr-CA"/>
        </w:rPr>
        <w:t xml:space="preserve">; </w:t>
      </w:r>
    </w:p>
    <w:p w14:paraId="36E8D83F" w14:textId="77777777" w:rsidR="00F34AA9" w:rsidRPr="001E7D0F" w:rsidRDefault="00F34AA9" w:rsidP="00F34AA9">
      <w:pPr>
        <w:spacing w:after="0"/>
      </w:pPr>
    </w:p>
    <w:p w14:paraId="1DBCCCB2" w14:textId="0FA86F6E" w:rsidR="00F34AA9" w:rsidRPr="001E7D0F" w:rsidRDefault="00F34AA9" w:rsidP="00F34AA9">
      <w:pPr>
        <w:spacing w:after="0"/>
        <w:rPr>
          <w:b/>
        </w:rPr>
      </w:pPr>
      <w:r w:rsidRPr="001E7D0F">
        <w:rPr>
          <w:lang w:val="fr-CA"/>
        </w:rPr>
        <w:t>La ligne d’objet doit avoir : "</w:t>
      </w:r>
      <w:r w:rsidRPr="001E7D0F">
        <w:rPr>
          <w:b/>
          <w:lang w:val="fr-CA"/>
        </w:rPr>
        <w:t xml:space="preserve">Questions sur </w:t>
      </w:r>
      <w:bookmarkStart w:id="8" w:name="_Hlk179362636"/>
      <w:r w:rsidRPr="001E7D0F">
        <w:rPr>
          <w:b/>
          <w:lang w:val="fr-CA"/>
        </w:rPr>
        <w:t xml:space="preserve">DP </w:t>
      </w:r>
      <w:r w:rsidR="008B0323" w:rsidRPr="008B0323">
        <w:rPr>
          <w:b/>
          <w:lang w:val="fr-CA"/>
        </w:rPr>
        <w:t>n° 009 </w:t>
      </w:r>
      <w:r w:rsidR="008B0323">
        <w:rPr>
          <w:b/>
          <w:lang w:val="fr-CA"/>
        </w:rPr>
        <w:t>« </w:t>
      </w:r>
      <w:r w:rsidR="008B0323" w:rsidRPr="008B0323">
        <w:rPr>
          <w:b/>
          <w:lang w:val="fr-CA"/>
        </w:rPr>
        <w:t>Élaboration de la stratégie nationale de lutte contre la criminalité faunique</w:t>
      </w:r>
      <w:r w:rsidR="008B0323">
        <w:rPr>
          <w:b/>
          <w:lang w:val="fr-CA"/>
        </w:rPr>
        <w:t> »</w:t>
      </w:r>
    </w:p>
    <w:bookmarkEnd w:id="8"/>
    <w:p w14:paraId="6F057A0A" w14:textId="277AF383" w:rsidR="00F34AA9" w:rsidRPr="001E7D0F" w:rsidRDefault="00F34AA9" w:rsidP="00F34AA9">
      <w:pPr>
        <w:spacing w:after="0"/>
      </w:pPr>
      <w:r w:rsidRPr="001E7D0F">
        <w:rPr>
          <w:lang w:val="fr-CA"/>
        </w:rPr>
        <w:t xml:space="preserve">Conformément à la procédure standard, toutes les demandes de renseignements et les commentaires seront partagés avec le reste des soumissionnaires ainsi que la réponse de </w:t>
      </w:r>
      <w:r w:rsidR="008B0323" w:rsidRPr="008B0323">
        <w:rPr>
          <w:bCs/>
          <w:lang w:val="fr-CA"/>
        </w:rPr>
        <w:t>ARD Inc</w:t>
      </w:r>
      <w:r w:rsidRPr="008B0323">
        <w:rPr>
          <w:lang w:val="fr-CA"/>
        </w:rPr>
        <w:t xml:space="preserve">. </w:t>
      </w:r>
      <w:r w:rsidRPr="001E7D0F">
        <w:rPr>
          <w:lang w:val="fr-CA"/>
        </w:rPr>
        <w:t>Les Questions reçues après la date de clôture pour les Questions peuvent ne pas recevoir de réponse.</w:t>
      </w:r>
    </w:p>
    <w:p w14:paraId="4027C65F" w14:textId="77777777" w:rsidR="00F34AA9" w:rsidRPr="001E7D0F" w:rsidRDefault="00F34AA9" w:rsidP="00F34AA9">
      <w:pPr>
        <w:spacing w:after="0"/>
      </w:pPr>
    </w:p>
    <w:p w14:paraId="50F2045A" w14:textId="77777777" w:rsidR="00F34AA9" w:rsidRPr="001E7D0F" w:rsidRDefault="00F34AA9" w:rsidP="00F34AA9">
      <w:pPr>
        <w:pStyle w:val="Titre2"/>
      </w:pPr>
      <w:r w:rsidRPr="001E7D0F">
        <w:t xml:space="preserve">Exigences de </w:t>
      </w:r>
      <w:proofErr w:type="spellStart"/>
      <w:proofErr w:type="gramStart"/>
      <w:r w:rsidRPr="001E7D0F">
        <w:t>présentation</w:t>
      </w:r>
      <w:proofErr w:type="spellEnd"/>
      <w:r w:rsidRPr="001E7D0F">
        <w:t> :</w:t>
      </w:r>
      <w:proofErr w:type="gramEnd"/>
    </w:p>
    <w:p w14:paraId="6F9DC25D" w14:textId="67C33F15" w:rsidR="00F34AA9" w:rsidRPr="001E7D0F" w:rsidRDefault="1B2029E6" w:rsidP="006C3B8F">
      <w:pPr>
        <w:pStyle w:val="Paragraphedeliste"/>
        <w:numPr>
          <w:ilvl w:val="0"/>
          <w:numId w:val="7"/>
        </w:numPr>
        <w:spacing w:after="0"/>
        <w:rPr>
          <w:lang w:val="fr-CA"/>
        </w:rPr>
      </w:pPr>
      <w:r w:rsidRPr="1B2029E6">
        <w:rPr>
          <w:lang w:val="fr-CA"/>
        </w:rPr>
        <w:t xml:space="preserve">Les propositions doivent être soumises par e-mail à l’adresse suivant : </w:t>
      </w:r>
      <w:hyperlink r:id="rId12">
        <w:r w:rsidRPr="1B2029E6">
          <w:rPr>
            <w:rStyle w:val="Lienhypertexte"/>
            <w:b/>
            <w:bCs/>
            <w:lang w:val="fr-CA"/>
          </w:rPr>
          <w:t>ard.fabs.subcontracts@tetratech.com</w:t>
        </w:r>
      </w:hyperlink>
      <w:r w:rsidRPr="1B2029E6">
        <w:rPr>
          <w:b/>
          <w:bCs/>
          <w:lang w:val="fr-CA"/>
        </w:rPr>
        <w:t xml:space="preserve">; </w:t>
      </w:r>
    </w:p>
    <w:p w14:paraId="1236698B" w14:textId="6649BD85" w:rsidR="00F34AA9" w:rsidRPr="008B0323" w:rsidRDefault="0DE0DBFD" w:rsidP="006C3B8F">
      <w:pPr>
        <w:pStyle w:val="Paragraphedeliste"/>
        <w:numPr>
          <w:ilvl w:val="0"/>
          <w:numId w:val="7"/>
        </w:numPr>
        <w:rPr>
          <w:b/>
          <w:bCs/>
        </w:rPr>
      </w:pPr>
      <w:r w:rsidRPr="0DE0DBFD">
        <w:rPr>
          <w:lang w:val="fr-CA"/>
        </w:rPr>
        <w:t>L'objet de l'e-mail doit indiquer : "</w:t>
      </w:r>
      <w:r w:rsidRPr="0DE0DBFD">
        <w:rPr>
          <w:b/>
          <w:bCs/>
          <w:lang w:val="fr-CA"/>
        </w:rPr>
        <w:t>Proposition de DP n° 009 « Élaboration de la stratégie nationale de lutte contre la criminalité faunique »</w:t>
      </w:r>
    </w:p>
    <w:p w14:paraId="4C7BA16F" w14:textId="3071F9F3" w:rsidR="00F34AA9" w:rsidRPr="001E7D0F" w:rsidRDefault="6E5C8044" w:rsidP="006C3B8F">
      <w:pPr>
        <w:pStyle w:val="Paragraphedeliste"/>
        <w:numPr>
          <w:ilvl w:val="0"/>
          <w:numId w:val="7"/>
        </w:numPr>
        <w:spacing w:after="0"/>
      </w:pPr>
      <w:r w:rsidRPr="6E5C8044">
        <w:rPr>
          <w:lang w:val="fr-CA"/>
        </w:rPr>
        <w:t xml:space="preserve"> Les propositions reçues après l'heure exacte spécifiée pour la réception de l'offre sont considérées comme en retard et ne seront considérées qu'à la discrétion de ARD In.</w:t>
      </w:r>
    </w:p>
    <w:p w14:paraId="3DECF20C" w14:textId="77777777" w:rsidR="00F34AA9" w:rsidRPr="001E7D0F" w:rsidRDefault="00F34AA9" w:rsidP="00F34AA9">
      <w:pPr>
        <w:tabs>
          <w:tab w:val="left" w:pos="2865"/>
        </w:tabs>
        <w:spacing w:after="0"/>
        <w:ind w:left="360"/>
      </w:pPr>
      <w:r w:rsidRPr="001E7D0F">
        <w:tab/>
      </w:r>
    </w:p>
    <w:p w14:paraId="460E7E37" w14:textId="2DCC663E" w:rsidR="00F34AA9" w:rsidRPr="001E7D0F" w:rsidRDefault="27233426" w:rsidP="00F34AA9">
      <w:pPr>
        <w:spacing w:after="0"/>
      </w:pPr>
      <w:r w:rsidRPr="27233426">
        <w:rPr>
          <w:lang w:val="fr-CA"/>
        </w:rPr>
        <w:t>Les soumissionnaires doivent recevoir un courriel reconnaissant que leur proposition a été reçue lors de sa soumission.</w:t>
      </w:r>
    </w:p>
    <w:p w14:paraId="350CE53D" w14:textId="77777777" w:rsidR="00F34AA9" w:rsidRPr="001E7D0F" w:rsidRDefault="00F34AA9" w:rsidP="00F34AA9">
      <w:pPr>
        <w:spacing w:after="0"/>
      </w:pPr>
    </w:p>
    <w:p w14:paraId="4AC32628" w14:textId="77777777" w:rsidR="00F34AA9" w:rsidRPr="001C05D8" w:rsidRDefault="00F34AA9" w:rsidP="00F34AA9">
      <w:pPr>
        <w:pStyle w:val="Titre2"/>
        <w:rPr>
          <w:lang w:val="fr-FR"/>
        </w:rPr>
      </w:pPr>
      <w:r w:rsidRPr="001C05D8">
        <w:rPr>
          <w:lang w:val="fr-FR"/>
        </w:rPr>
        <w:t>Instructions relatives à la proposition et format requis</w:t>
      </w:r>
    </w:p>
    <w:p w14:paraId="3B9BB3EF" w14:textId="62CB7301" w:rsidR="00F34AA9" w:rsidRPr="001E7D0F" w:rsidRDefault="00F34AA9" w:rsidP="00F34AA9">
      <w:r w:rsidRPr="001E7D0F">
        <w:rPr>
          <w:lang w:val="fr-CA"/>
        </w:rPr>
        <w:t xml:space="preserve">Il est demandé aux Soumissionnaires d'organiser leurs propositions techniques et financières comme indiqué ci-dessous. Cette demande vise à faciliter l'examen des documents soumis à </w:t>
      </w:r>
      <w:r w:rsidR="008B0323" w:rsidRPr="008B0323">
        <w:rPr>
          <w:lang w:val="fr-CA"/>
        </w:rPr>
        <w:t xml:space="preserve">ARD </w:t>
      </w:r>
      <w:proofErr w:type="spellStart"/>
      <w:r w:rsidR="008B0323" w:rsidRPr="008B0323">
        <w:rPr>
          <w:lang w:val="fr-CA"/>
        </w:rPr>
        <w:t>Inc</w:t>
      </w:r>
      <w:proofErr w:type="spellEnd"/>
      <w:r w:rsidRPr="001E7D0F">
        <w:rPr>
          <w:lang w:val="fr-CA"/>
        </w:rPr>
        <w:t xml:space="preserve">, ce qui permettra une décision et un processus contractuel rapides. </w:t>
      </w:r>
    </w:p>
    <w:p w14:paraId="5F52A4C6" w14:textId="77777777" w:rsidR="00F34AA9" w:rsidRPr="001E7D0F" w:rsidRDefault="00F34AA9" w:rsidP="00F34AA9">
      <w:pPr>
        <w:spacing w:after="0"/>
      </w:pPr>
      <w:r w:rsidRPr="001E7D0F">
        <w:rPr>
          <w:lang w:val="fr-CA"/>
        </w:rPr>
        <w:t>Le Soumissionnaire doit soumettre son offre ou sa proposition au meilleur prix pour compléter le l’énoncé des travaux dans l’Annexe A. Cette soumission doit contenir les informations suivantes détaillées dans les sections 1 à 4 ci-dessous :</w:t>
      </w:r>
    </w:p>
    <w:p w14:paraId="00882EAE" w14:textId="77777777" w:rsidR="00F34AA9" w:rsidRPr="001E7D0F" w:rsidRDefault="00F34AA9" w:rsidP="00F34AA9">
      <w:pPr>
        <w:spacing w:after="0"/>
      </w:pPr>
    </w:p>
    <w:p w14:paraId="03736829" w14:textId="77777777" w:rsidR="00F34AA9" w:rsidRPr="001C05D8" w:rsidRDefault="00F34AA9" w:rsidP="00F34AA9">
      <w:pPr>
        <w:pStyle w:val="Titre3"/>
        <w:rPr>
          <w:lang w:val="fr-FR"/>
        </w:rPr>
      </w:pPr>
      <w:r w:rsidRPr="001C05D8">
        <w:rPr>
          <w:lang w:val="fr-FR"/>
        </w:rPr>
        <w:t>Lettre d'accompagnement de la proposition :</w:t>
      </w:r>
    </w:p>
    <w:p w14:paraId="7D6FA10B" w14:textId="77777777" w:rsidR="00F34AA9" w:rsidRPr="001E7D0F" w:rsidRDefault="27233426" w:rsidP="27233426">
      <w:r w:rsidRPr="27233426">
        <w:rPr>
          <w:lang w:val="fr-CA"/>
        </w:rPr>
        <w:t>La lettre de d'accompagnement de la proposition doit être signée par un représentant autorisé.</w:t>
      </w:r>
    </w:p>
    <w:p w14:paraId="1FF361BD" w14:textId="18F73018" w:rsidR="00F34AA9" w:rsidRPr="008B0323" w:rsidRDefault="00F34AA9" w:rsidP="008B0323">
      <w:pPr>
        <w:pStyle w:val="Titre3"/>
        <w:rPr>
          <w:lang w:val="fr-FR"/>
        </w:rPr>
      </w:pPr>
      <w:r w:rsidRPr="001C05D8">
        <w:rPr>
          <w:lang w:val="fr-FR"/>
        </w:rPr>
        <w:t xml:space="preserve">Proposition Technique : </w:t>
      </w:r>
    </w:p>
    <w:p w14:paraId="56F944B5" w14:textId="6DFBCC92" w:rsidR="00F34AA9" w:rsidRPr="001E7D0F" w:rsidRDefault="00F34AA9" w:rsidP="00F34AA9">
      <w:pPr>
        <w:widowControl w:val="0"/>
        <w:tabs>
          <w:tab w:val="left" w:pos="540"/>
        </w:tabs>
        <w:suppressAutoHyphens/>
        <w:spacing w:after="0"/>
        <w:rPr>
          <w:spacing w:val="-3"/>
        </w:rPr>
      </w:pPr>
      <w:r w:rsidRPr="001E7D0F">
        <w:rPr>
          <w:lang w:val="fr-CA"/>
        </w:rPr>
        <w:t>La proposition technique doit être rédigée en</w:t>
      </w:r>
      <w:r w:rsidR="008B0323">
        <w:rPr>
          <w:lang w:val="fr-CA"/>
        </w:rPr>
        <w:t xml:space="preserve"> français</w:t>
      </w:r>
      <w:r w:rsidRPr="001E7D0F">
        <w:rPr>
          <w:lang w:val="fr-CA"/>
        </w:rPr>
        <w:t>. Il doit y avoir un maximum de 10 pages dactylographiées, à l'exclusion des pièces jointes/documents justificatifs, avec un maximum de 3 pages couvrant l’énoncé des travaux dans l’</w:t>
      </w:r>
      <w:r w:rsidRPr="008B0323">
        <w:rPr>
          <w:b/>
          <w:bCs/>
          <w:lang w:val="fr-CA"/>
        </w:rPr>
        <w:t>Annexe A</w:t>
      </w:r>
      <w:r w:rsidRPr="001E7D0F">
        <w:rPr>
          <w:lang w:val="fr-CA"/>
        </w:rPr>
        <w:t xml:space="preserve">. Renseignement sur l'entreprise et le budget dans </w:t>
      </w:r>
      <w:r w:rsidRPr="008B0323">
        <w:rPr>
          <w:b/>
          <w:bCs/>
          <w:lang w:val="fr-CA"/>
        </w:rPr>
        <w:t>l’Annexe B</w:t>
      </w:r>
      <w:r w:rsidRPr="001E7D0F">
        <w:rPr>
          <w:lang w:val="fr-CA"/>
        </w:rPr>
        <w:t xml:space="preserve">. Les capacités de l'entreprise et le rendement antérieur. (Format souhaité - Type: Times New Roman, Taille de police 11, Marges: 1 pouce de de chaque côté). </w:t>
      </w:r>
    </w:p>
    <w:p w14:paraId="33CDC4AC" w14:textId="77777777" w:rsidR="00F34AA9" w:rsidRPr="001E7D0F" w:rsidRDefault="00F34AA9" w:rsidP="00F34AA9">
      <w:pPr>
        <w:pStyle w:val="Paragraphedeliste"/>
        <w:widowControl w:val="0"/>
        <w:tabs>
          <w:tab w:val="left" w:pos="540"/>
        </w:tabs>
        <w:suppressAutoHyphens/>
        <w:spacing w:after="0"/>
        <w:rPr>
          <w:spacing w:val="-3"/>
        </w:rPr>
      </w:pPr>
    </w:p>
    <w:p w14:paraId="77FECA0E" w14:textId="77777777" w:rsidR="00F34AA9" w:rsidRPr="001E7D0F" w:rsidRDefault="00F34AA9" w:rsidP="00F34AA9">
      <w:pPr>
        <w:widowControl w:val="0"/>
        <w:tabs>
          <w:tab w:val="left" w:pos="540"/>
        </w:tabs>
        <w:suppressAutoHyphens/>
        <w:spacing w:after="0"/>
      </w:pPr>
      <w:r w:rsidRPr="001E7D0F">
        <w:rPr>
          <w:spacing w:val="-3"/>
          <w:lang w:val="fr-CA"/>
        </w:rPr>
        <w:lastRenderedPageBreak/>
        <w:t>La proposition technique aborde les sujets suivants:</w:t>
      </w:r>
    </w:p>
    <w:p w14:paraId="049A778C" w14:textId="77777777" w:rsidR="00F34AA9" w:rsidRPr="001E7D0F" w:rsidRDefault="00F34AA9" w:rsidP="00F34AA9">
      <w:pPr>
        <w:pStyle w:val="Paragraphedeliste"/>
        <w:spacing w:after="0"/>
        <w:ind w:left="1440"/>
      </w:pPr>
    </w:p>
    <w:p w14:paraId="34E8DE19" w14:textId="77777777" w:rsidR="00F34AA9" w:rsidRPr="001E7D0F" w:rsidRDefault="00F34AA9" w:rsidP="00F34AA9">
      <w:pPr>
        <w:spacing w:after="0"/>
        <w:ind w:firstLine="720"/>
        <w:rPr>
          <w:b/>
        </w:rPr>
      </w:pPr>
      <w:r w:rsidRPr="001E7D0F">
        <w:rPr>
          <w:b/>
          <w:lang w:val="fr-CA"/>
        </w:rPr>
        <w:t>A. Renseignements sur l'entreprise</w:t>
      </w:r>
    </w:p>
    <w:p w14:paraId="7CE033CB" w14:textId="30E5489E" w:rsidR="00F34AA9" w:rsidRPr="00D00B81" w:rsidRDefault="6F3D0ACD" w:rsidP="006C3B8F">
      <w:pPr>
        <w:pStyle w:val="Paragraphedeliste"/>
        <w:numPr>
          <w:ilvl w:val="0"/>
          <w:numId w:val="8"/>
        </w:numPr>
        <w:spacing w:after="0"/>
        <w:rPr>
          <w:highlight w:val="yellow"/>
          <w:lang w:val="fr-FR"/>
        </w:rPr>
      </w:pPr>
      <w:r w:rsidRPr="6F3D0ACD">
        <w:rPr>
          <w:lang w:val="fr-CA"/>
        </w:rPr>
        <w:t xml:space="preserve">Indiquer </w:t>
      </w:r>
      <w:r>
        <w:t>le nom, l'adresse et inclure une copie de l'enregistrement de votre entreprise</w:t>
      </w:r>
      <w:r w:rsidRPr="6F3D0ACD">
        <w:rPr>
          <w:lang w:val="fr-FR"/>
        </w:rPr>
        <w:t xml:space="preserve"> </w:t>
      </w:r>
      <w:r w:rsidRPr="6F3D0ACD">
        <w:rPr>
          <w:highlight w:val="yellow"/>
          <w:lang w:val="fr-FR"/>
        </w:rPr>
        <w:t>(</w:t>
      </w:r>
      <w:proofErr w:type="gramStart"/>
      <w:r w:rsidRPr="6F3D0ACD">
        <w:rPr>
          <w:highlight w:val="yellow"/>
          <w:lang w:val="fr-FR"/>
        </w:rPr>
        <w:t>RCCM,...</w:t>
      </w:r>
      <w:proofErr w:type="gramEnd"/>
      <w:r w:rsidRPr="6F3D0ACD">
        <w:rPr>
          <w:highlight w:val="yellow"/>
          <w:lang w:val="fr-FR"/>
        </w:rPr>
        <w:t>)</w:t>
      </w:r>
    </w:p>
    <w:p w14:paraId="402FFBDD" w14:textId="77777777" w:rsidR="00F34AA9" w:rsidRPr="001E7D0F" w:rsidRDefault="00F34AA9" w:rsidP="006C3B8F">
      <w:pPr>
        <w:pStyle w:val="Paragraphedeliste"/>
        <w:numPr>
          <w:ilvl w:val="0"/>
          <w:numId w:val="8"/>
        </w:numPr>
        <w:spacing w:after="0"/>
        <w:ind w:left="1440"/>
        <w:contextualSpacing w:val="0"/>
      </w:pPr>
      <w:r w:rsidRPr="001E7D0F">
        <w:rPr>
          <w:lang w:val="fr-CA"/>
        </w:rPr>
        <w:t>Si vous envisagez de sous-traiter une partie des travaux demandés à d'autres entreprises ou institutions, veuillez fournir les renseignements ci-dessus pour chaque partenaire et le pourcentage des travaux qu'il effectuera.</w:t>
      </w:r>
    </w:p>
    <w:p w14:paraId="0BDE36B6" w14:textId="77777777" w:rsidR="00F34AA9" w:rsidRPr="001E7D0F" w:rsidRDefault="00F34AA9" w:rsidP="006C3B8F">
      <w:pPr>
        <w:pStyle w:val="Paragraphedeliste"/>
        <w:numPr>
          <w:ilvl w:val="0"/>
          <w:numId w:val="8"/>
        </w:numPr>
        <w:spacing w:after="0"/>
        <w:ind w:left="1440"/>
        <w:contextualSpacing w:val="0"/>
      </w:pPr>
      <w:r w:rsidRPr="001E7D0F">
        <w:rPr>
          <w:lang w:val="fr-CA"/>
        </w:rPr>
        <w:t xml:space="preserve">Décrire la structure de gestion de votre entreprise; énumérer tous les propriétaires. </w:t>
      </w:r>
    </w:p>
    <w:p w14:paraId="66E5AD65" w14:textId="77777777" w:rsidR="00F34AA9" w:rsidRPr="001E7D0F" w:rsidRDefault="00F34AA9" w:rsidP="00F34AA9">
      <w:pPr>
        <w:spacing w:after="0"/>
        <w:ind w:left="900"/>
      </w:pPr>
    </w:p>
    <w:p w14:paraId="1439EE42" w14:textId="77777777" w:rsidR="00F34AA9" w:rsidRPr="001E7D0F" w:rsidRDefault="00F34AA9" w:rsidP="00F34AA9">
      <w:pPr>
        <w:tabs>
          <w:tab w:val="left" w:pos="540"/>
          <w:tab w:val="left" w:pos="630"/>
          <w:tab w:val="left" w:pos="990"/>
          <w:tab w:val="left" w:pos="1080"/>
        </w:tabs>
        <w:spacing w:after="0"/>
        <w:ind w:left="720"/>
        <w:rPr>
          <w:b/>
        </w:rPr>
      </w:pPr>
      <w:r w:rsidRPr="001E7D0F">
        <w:rPr>
          <w:b/>
          <w:lang w:val="fr-CA"/>
        </w:rPr>
        <w:t>B. Capacités de l'entreprises et rendement antérieur</w:t>
      </w:r>
    </w:p>
    <w:p w14:paraId="0D762967" w14:textId="77777777" w:rsidR="00F34AA9" w:rsidRPr="001E7D0F" w:rsidRDefault="00F34AA9" w:rsidP="006C3B8F">
      <w:pPr>
        <w:pStyle w:val="Paragraphedeliste"/>
        <w:numPr>
          <w:ilvl w:val="0"/>
          <w:numId w:val="32"/>
        </w:numPr>
        <w:spacing w:after="0"/>
        <w:rPr>
          <w:rFonts w:eastAsia="Times New Roman"/>
        </w:rPr>
      </w:pPr>
      <w:r w:rsidRPr="001E7D0F">
        <w:rPr>
          <w:rFonts w:eastAsia="Times New Roman"/>
          <w:lang w:val="fr-CA"/>
        </w:rPr>
        <w:t>Résumé des capacités de l'entreprise.</w:t>
      </w:r>
    </w:p>
    <w:p w14:paraId="091F1C94" w14:textId="6AA6DF41" w:rsidR="00F34AA9" w:rsidRPr="001E7D0F" w:rsidRDefault="295EFFB9" w:rsidP="006C3B8F">
      <w:pPr>
        <w:pStyle w:val="Paragraphedeliste"/>
        <w:numPr>
          <w:ilvl w:val="0"/>
          <w:numId w:val="32"/>
        </w:numPr>
        <w:spacing w:after="0"/>
        <w:rPr>
          <w:rFonts w:eastAsia="Times New Roman"/>
        </w:rPr>
      </w:pPr>
      <w:r w:rsidRPr="295EFFB9">
        <w:rPr>
          <w:rFonts w:eastAsia="Times New Roman"/>
          <w:lang w:val="fr-CA"/>
        </w:rPr>
        <w:t xml:space="preserve">Résumé de l’expérience antérieure pertinente de votre entreprise dans l'exécution de travaux similaires à ceux décrits dans </w:t>
      </w:r>
      <w:r w:rsidRPr="295EFFB9">
        <w:rPr>
          <w:rFonts w:eastAsia="Times New Roman"/>
          <w:b/>
          <w:bCs/>
          <w:i/>
          <w:iCs/>
          <w:lang w:val="fr-CA"/>
        </w:rPr>
        <w:t>l’Annexe A,</w:t>
      </w:r>
      <w:r w:rsidRPr="295EFFB9">
        <w:rPr>
          <w:rFonts w:eastAsia="Times New Roman"/>
          <w:lang w:val="fr-CA"/>
        </w:rPr>
        <w:t xml:space="preserve"> </w:t>
      </w:r>
      <w:proofErr w:type="spellStart"/>
      <w:r w:rsidRPr="295EFFB9">
        <w:rPr>
          <w:rFonts w:eastAsia="Times New Roman"/>
          <w:lang w:val="fr-CA"/>
        </w:rPr>
        <w:t>Enoncé</w:t>
      </w:r>
      <w:proofErr w:type="spellEnd"/>
      <w:r w:rsidRPr="295EFFB9">
        <w:rPr>
          <w:rFonts w:eastAsia="Times New Roman"/>
          <w:lang w:val="fr-CA"/>
        </w:rPr>
        <w:t xml:space="preserve"> des travaux.</w:t>
      </w:r>
    </w:p>
    <w:p w14:paraId="09980A2C" w14:textId="77777777" w:rsidR="00F34AA9" w:rsidRPr="001E7D0F" w:rsidRDefault="00F34AA9" w:rsidP="006C3B8F">
      <w:pPr>
        <w:pStyle w:val="Paragraphedeliste"/>
        <w:numPr>
          <w:ilvl w:val="0"/>
          <w:numId w:val="32"/>
        </w:numPr>
        <w:spacing w:after="0"/>
        <w:rPr>
          <w:rFonts w:eastAsia="Times New Roman"/>
        </w:rPr>
      </w:pPr>
      <w:r w:rsidRPr="001E7D0F">
        <w:rPr>
          <w:rFonts w:eastAsia="Times New Roman"/>
          <w:lang w:val="fr-CA"/>
        </w:rPr>
        <w:t xml:space="preserve">Références de mise en </w:t>
      </w:r>
      <w:proofErr w:type="spellStart"/>
      <w:r w:rsidRPr="001E7D0F">
        <w:rPr>
          <w:rFonts w:eastAsia="Times New Roman"/>
          <w:lang w:val="fr-CA"/>
        </w:rPr>
        <w:t>oeuvre</w:t>
      </w:r>
      <w:proofErr w:type="spellEnd"/>
      <w:r w:rsidRPr="001E7D0F">
        <w:rPr>
          <w:rFonts w:eastAsia="Times New Roman"/>
          <w:lang w:val="fr-CA"/>
        </w:rPr>
        <w:t xml:space="preserve"> des projets similaires. </w:t>
      </w:r>
    </w:p>
    <w:p w14:paraId="28CAFA80" w14:textId="0E4D3F8D" w:rsidR="00F34AA9" w:rsidRPr="001E7D0F" w:rsidRDefault="10D5156D" w:rsidP="00F34AA9">
      <w:pPr>
        <w:pStyle w:val="Paragraphedeliste"/>
        <w:spacing w:after="0"/>
        <w:ind w:left="1440"/>
        <w:rPr>
          <w:rFonts w:eastAsia="Times New Roman"/>
        </w:rPr>
      </w:pPr>
      <w:r w:rsidRPr="10D5156D">
        <w:rPr>
          <w:u w:val="single"/>
          <w:lang w:val="fr-CA"/>
        </w:rPr>
        <w:t>Pour chaque projet, veuillez inclure le nom du client et ses coordonnées (informations à jour et les plus récentes requises, au cours des trois dernières années</w:t>
      </w:r>
      <w:r w:rsidRPr="10D5156D">
        <w:rPr>
          <w:lang w:val="fr-CA"/>
        </w:rPr>
        <w:t xml:space="preserve">). ARD </w:t>
      </w:r>
      <w:proofErr w:type="spellStart"/>
      <w:r w:rsidRPr="10D5156D">
        <w:rPr>
          <w:lang w:val="fr-CA"/>
        </w:rPr>
        <w:t>Inc</w:t>
      </w:r>
      <w:proofErr w:type="spellEnd"/>
      <w:r w:rsidRPr="10D5156D">
        <w:rPr>
          <w:lang w:val="fr-CA"/>
        </w:rPr>
        <w:t xml:space="preserve"> a l'intention de contacter certains de ces clients pour obtenir des témoignages sur la performance de votre entreprise dans les domaines suivants:</w:t>
      </w:r>
    </w:p>
    <w:p w14:paraId="0DF8C30A" w14:textId="77777777" w:rsidR="00F34AA9" w:rsidRPr="001E7D0F" w:rsidRDefault="00F34AA9" w:rsidP="006C3B8F">
      <w:pPr>
        <w:pStyle w:val="Paragraphedeliste"/>
        <w:numPr>
          <w:ilvl w:val="2"/>
          <w:numId w:val="9"/>
        </w:numPr>
        <w:tabs>
          <w:tab w:val="left" w:pos="1440"/>
        </w:tabs>
        <w:spacing w:after="0"/>
        <w:contextualSpacing w:val="0"/>
      </w:pPr>
      <w:r w:rsidRPr="001E7D0F">
        <w:rPr>
          <w:lang w:val="fr-CA"/>
        </w:rPr>
        <w:t>La qualité du travail effectué par le Soumissionnaire.</w:t>
      </w:r>
    </w:p>
    <w:p w14:paraId="1B5F1580" w14:textId="77777777" w:rsidR="00F34AA9" w:rsidRPr="001E7D0F" w:rsidRDefault="00F34AA9" w:rsidP="006C3B8F">
      <w:pPr>
        <w:pStyle w:val="Paragraphedeliste"/>
        <w:numPr>
          <w:ilvl w:val="2"/>
          <w:numId w:val="9"/>
        </w:numPr>
        <w:tabs>
          <w:tab w:val="left" w:pos="1440"/>
        </w:tabs>
        <w:spacing w:after="0"/>
        <w:contextualSpacing w:val="0"/>
      </w:pPr>
      <w:r w:rsidRPr="001E7D0F">
        <w:rPr>
          <w:lang w:val="fr-CA"/>
        </w:rPr>
        <w:t>La rapidité des travaux effectués par le Soumissionnaire, et</w:t>
      </w:r>
    </w:p>
    <w:p w14:paraId="29C89230" w14:textId="77777777" w:rsidR="00F34AA9" w:rsidRPr="001E7D0F" w:rsidRDefault="00F34AA9" w:rsidP="006C3B8F">
      <w:pPr>
        <w:pStyle w:val="Paragraphedeliste"/>
        <w:numPr>
          <w:ilvl w:val="2"/>
          <w:numId w:val="9"/>
        </w:numPr>
        <w:tabs>
          <w:tab w:val="left" w:pos="1440"/>
        </w:tabs>
        <w:spacing w:after="0"/>
        <w:contextualSpacing w:val="0"/>
      </w:pPr>
      <w:r w:rsidRPr="001E7D0F">
        <w:rPr>
          <w:lang w:val="fr-CA"/>
        </w:rPr>
        <w:t>Savoir si le client ferait appel aux services du Soumissionnaire s'il a des besoins similaires à l'avenir.</w:t>
      </w:r>
    </w:p>
    <w:p w14:paraId="0E9D083E" w14:textId="77777777" w:rsidR="00F34AA9" w:rsidRPr="001E7D0F" w:rsidRDefault="00F34AA9" w:rsidP="00F34AA9">
      <w:pPr>
        <w:spacing w:after="0"/>
        <w:ind w:left="180"/>
        <w:rPr>
          <w:b/>
        </w:rPr>
      </w:pPr>
    </w:p>
    <w:p w14:paraId="3951ECF8" w14:textId="77777777" w:rsidR="00F34AA9" w:rsidRPr="001E7D0F" w:rsidRDefault="00F34AA9" w:rsidP="006C3B8F">
      <w:pPr>
        <w:pStyle w:val="Paragraphedeliste"/>
        <w:numPr>
          <w:ilvl w:val="0"/>
          <w:numId w:val="10"/>
        </w:numPr>
        <w:tabs>
          <w:tab w:val="left" w:pos="1440"/>
        </w:tabs>
        <w:spacing w:after="0"/>
        <w:ind w:left="1080"/>
        <w:contextualSpacing w:val="0"/>
        <w:rPr>
          <w:b/>
        </w:rPr>
      </w:pPr>
      <w:r w:rsidRPr="001E7D0F">
        <w:rPr>
          <w:b/>
          <w:lang w:val="fr-CA"/>
        </w:rPr>
        <w:t>Approche Technique</w:t>
      </w:r>
    </w:p>
    <w:p w14:paraId="16FCB3A6" w14:textId="77777777" w:rsidR="00F34AA9" w:rsidRPr="001E7D0F" w:rsidRDefault="00F34AA9" w:rsidP="006C3B8F">
      <w:pPr>
        <w:pStyle w:val="Paragraphedeliste"/>
        <w:numPr>
          <w:ilvl w:val="0"/>
          <w:numId w:val="33"/>
        </w:numPr>
        <w:tabs>
          <w:tab w:val="left" w:pos="1440"/>
        </w:tabs>
        <w:spacing w:after="0"/>
        <w:rPr>
          <w:b/>
          <w:bCs/>
          <w:u w:val="single"/>
        </w:rPr>
      </w:pPr>
      <w:r w:rsidRPr="001E7D0F">
        <w:rPr>
          <w:lang w:val="fr-CA"/>
        </w:rPr>
        <w:t xml:space="preserve">Veuillez soumettre une description technique détaillée de la stratégie de mise en œuvre et de gestion envisagée pour ce projet détaillé à </w:t>
      </w:r>
      <w:r w:rsidRPr="00D00B81">
        <w:rPr>
          <w:b/>
          <w:bCs/>
          <w:i/>
          <w:iCs/>
          <w:lang w:val="fr-CA"/>
        </w:rPr>
        <w:t>l'annexe A</w:t>
      </w:r>
      <w:r w:rsidRPr="001E7D0F">
        <w:rPr>
          <w:lang w:val="fr-CA"/>
        </w:rPr>
        <w:t xml:space="preserve">. </w:t>
      </w:r>
    </w:p>
    <w:p w14:paraId="77849AB4" w14:textId="780A5954" w:rsidR="00F34AA9" w:rsidRPr="00D00B81" w:rsidRDefault="00F34AA9" w:rsidP="006C3B8F">
      <w:pPr>
        <w:pStyle w:val="Paragraphedeliste"/>
        <w:numPr>
          <w:ilvl w:val="0"/>
          <w:numId w:val="33"/>
        </w:numPr>
        <w:tabs>
          <w:tab w:val="left" w:pos="1440"/>
        </w:tabs>
        <w:spacing w:after="0"/>
        <w:rPr>
          <w:b/>
          <w:bCs/>
          <w:highlight w:val="lightGray"/>
          <w:u w:val="single"/>
        </w:rPr>
      </w:pPr>
      <w:r w:rsidRPr="00D00B81">
        <w:rPr>
          <w:highlight w:val="lightGray"/>
          <w:lang w:val="fr-CA"/>
        </w:rPr>
        <w:t>Un calendrier Excel, un diagramme de Gantt (Gantt chart) ou un document similaire doit être inclus comme exigence.</w:t>
      </w:r>
    </w:p>
    <w:p w14:paraId="352FDC75" w14:textId="77777777" w:rsidR="00F34AA9" w:rsidRPr="001E7D0F" w:rsidRDefault="00F34AA9" w:rsidP="006C3B8F">
      <w:pPr>
        <w:pStyle w:val="Paragraphedeliste"/>
        <w:numPr>
          <w:ilvl w:val="0"/>
          <w:numId w:val="33"/>
        </w:numPr>
        <w:spacing w:after="0"/>
        <w:contextualSpacing w:val="0"/>
      </w:pPr>
      <w:r w:rsidRPr="001E7D0F">
        <w:rPr>
          <w:lang w:val="fr-CA"/>
        </w:rPr>
        <w:t xml:space="preserve">Identifiez le personnel clé qui travaillerait sur ce projet en supposant qu'il a été attribué. Veuillez inclure un bref commentaire sur leurs capacités et leur expérience. Fournissez des CV.   </w:t>
      </w:r>
    </w:p>
    <w:p w14:paraId="08295218" w14:textId="77777777" w:rsidR="00F34AA9" w:rsidRPr="001E7D0F" w:rsidRDefault="00F34AA9" w:rsidP="00F34AA9">
      <w:pPr>
        <w:tabs>
          <w:tab w:val="left" w:pos="1440"/>
        </w:tabs>
        <w:spacing w:after="0"/>
        <w:ind w:left="720"/>
        <w:rPr>
          <w:b/>
          <w:u w:val="single"/>
        </w:rPr>
      </w:pPr>
    </w:p>
    <w:p w14:paraId="343F112D" w14:textId="77777777" w:rsidR="00F34AA9" w:rsidRPr="001E7D0F" w:rsidRDefault="00F34AA9" w:rsidP="00F34AA9">
      <w:pPr>
        <w:pStyle w:val="Titre3"/>
        <w:rPr>
          <w:rFonts w:eastAsia="Times New Roman"/>
        </w:rPr>
      </w:pPr>
      <w:r w:rsidRPr="001E7D0F">
        <w:t xml:space="preserve">Proposition Financière </w:t>
      </w:r>
    </w:p>
    <w:p w14:paraId="7282B67F" w14:textId="77777777" w:rsidR="00F34AA9" w:rsidRPr="001E7D0F" w:rsidRDefault="00F34AA9" w:rsidP="00F34AA9">
      <w:pPr>
        <w:pStyle w:val="Paragraphedeliste"/>
        <w:ind w:left="360"/>
      </w:pPr>
      <w:r w:rsidRPr="001E7D0F">
        <w:rPr>
          <w:lang w:val="fr-CA"/>
        </w:rPr>
        <w:t>La proposition financière faite par le Soumissionnaire doit représenter le meilleur rapport qualité-prix en réponse à la demande de soumission et doit contenir les éléments suivants :</w:t>
      </w:r>
    </w:p>
    <w:p w14:paraId="1BA02D76" w14:textId="66895BFF" w:rsidR="00F34AA9" w:rsidRPr="001E7D0F" w:rsidRDefault="1B5ECB45" w:rsidP="006C3B8F">
      <w:pPr>
        <w:pStyle w:val="Paragraphedeliste"/>
        <w:numPr>
          <w:ilvl w:val="1"/>
          <w:numId w:val="31"/>
        </w:numPr>
        <w:spacing w:after="0"/>
        <w:rPr>
          <w:rFonts w:eastAsia="Times New Roman"/>
        </w:rPr>
      </w:pPr>
      <w:r w:rsidRPr="1B5ECB45">
        <w:rPr>
          <w:rFonts w:eastAsia="Times New Roman"/>
          <w:b/>
          <w:bCs/>
          <w:lang w:val="fr-CA"/>
        </w:rPr>
        <w:t xml:space="preserve">Le budget </w:t>
      </w:r>
      <w:r w:rsidRPr="1B5ECB45">
        <w:rPr>
          <w:rFonts w:eastAsia="Times New Roman"/>
          <w:lang w:val="fr-CA"/>
        </w:rPr>
        <w:t xml:space="preserve">Les soumissionnaires doivent utiliser le modèle de budget de </w:t>
      </w:r>
      <w:r w:rsidRPr="1B5ECB45">
        <w:rPr>
          <w:rFonts w:eastAsia="Times New Roman"/>
          <w:b/>
          <w:bCs/>
          <w:i/>
          <w:iCs/>
          <w:lang w:val="fr-CA"/>
        </w:rPr>
        <w:t>l’Annexe B</w:t>
      </w:r>
      <w:r w:rsidRPr="1B5ECB45">
        <w:rPr>
          <w:rFonts w:eastAsia="Times New Roman"/>
          <w:lang w:val="fr-CA"/>
        </w:rPr>
        <w:t>.</w:t>
      </w:r>
    </w:p>
    <w:p w14:paraId="6AFCBD24" w14:textId="77777777" w:rsidR="00F34AA9" w:rsidRPr="001E7D0F" w:rsidRDefault="00F34AA9" w:rsidP="006C3B8F">
      <w:pPr>
        <w:pStyle w:val="Paragraphedeliste"/>
        <w:numPr>
          <w:ilvl w:val="1"/>
          <w:numId w:val="31"/>
        </w:numPr>
        <w:spacing w:after="0"/>
        <w:rPr>
          <w:rFonts w:eastAsia="Times New Roman"/>
        </w:rPr>
      </w:pPr>
      <w:r w:rsidRPr="001E7D0F">
        <w:rPr>
          <w:rFonts w:eastAsia="Times New Roman"/>
          <w:b/>
          <w:bCs/>
          <w:lang w:val="fr-CA"/>
        </w:rPr>
        <w:t xml:space="preserve">La description du budget. </w:t>
      </w:r>
      <w:r w:rsidRPr="001E7D0F">
        <w:rPr>
          <w:lang w:val="fr-CA"/>
        </w:rPr>
        <w:t>Un exposé détaillé décrivant la base sur laquelle les coûts ont été calculés devrait être fourni pour permettre une analyse complète du rapport coût/prix du Soumissionnaire.</w:t>
      </w:r>
    </w:p>
    <w:p w14:paraId="7CF0ED89" w14:textId="77777777" w:rsidR="00F34AA9" w:rsidRPr="001E7D0F" w:rsidRDefault="00F34AA9" w:rsidP="00F34AA9">
      <w:pPr>
        <w:pStyle w:val="Paragraphedeliste"/>
        <w:spacing w:after="0"/>
        <w:ind w:left="1080"/>
      </w:pPr>
    </w:p>
    <w:p w14:paraId="382EE901" w14:textId="77777777" w:rsidR="00F34AA9" w:rsidRPr="001E7D0F" w:rsidRDefault="00F34AA9" w:rsidP="00F34AA9">
      <w:pPr>
        <w:pStyle w:val="Paragraphedeliste"/>
        <w:spacing w:after="0"/>
        <w:rPr>
          <w:lang w:val="fr-CA"/>
        </w:rPr>
      </w:pPr>
      <w:r w:rsidRPr="001E7D0F">
        <w:rPr>
          <w:b/>
          <w:bCs/>
          <w:lang w:val="fr-CA"/>
        </w:rPr>
        <w:t>Assurance DBA :</w:t>
      </w:r>
      <w:r w:rsidRPr="001E7D0F">
        <w:rPr>
          <w:lang w:val="fr-CA"/>
        </w:rPr>
        <w:t xml:space="preserve"> Veuillez noter que, conformément à la réglementation de l'USAID, les soumissionnaires doivent prévoir un budget pour l'assurance contre les accidents du travail auprès de AON Risk </w:t>
      </w:r>
      <w:proofErr w:type="spellStart"/>
      <w:r w:rsidRPr="001E7D0F">
        <w:rPr>
          <w:lang w:val="fr-CA"/>
        </w:rPr>
        <w:t>Insurance</w:t>
      </w:r>
      <w:proofErr w:type="spellEnd"/>
      <w:r w:rsidRPr="001E7D0F">
        <w:rPr>
          <w:lang w:val="fr-CA"/>
        </w:rPr>
        <w:t xml:space="preserve">, le fournisseur d'assurance DBA approuvé par </w:t>
      </w:r>
      <w:r w:rsidRPr="001E7D0F">
        <w:rPr>
          <w:lang w:val="fr-CA"/>
        </w:rPr>
        <w:lastRenderedPageBreak/>
        <w:t xml:space="preserve">l'USAID. Les détails et le prix de l'assurance DBA sont disponibles ici: </w:t>
      </w:r>
      <w:hyperlink r:id="rId13" w:history="1">
        <w:r w:rsidRPr="001E7D0F">
          <w:rPr>
            <w:lang w:val="fr-CA"/>
          </w:rPr>
          <w:t>https://www.usaid.gov/sites/default/files/documents/1868/AAPD17-01-Revised.pdf.</w:t>
        </w:r>
      </w:hyperlink>
    </w:p>
    <w:p w14:paraId="7AAD8E0C" w14:textId="32E19C80" w:rsidR="00F34AA9" w:rsidRPr="001E7D0F" w:rsidRDefault="47E899D4" w:rsidP="00F34AA9">
      <w:pPr>
        <w:pStyle w:val="Paragraphedeliste"/>
        <w:spacing w:after="0"/>
      </w:pPr>
      <w:r w:rsidRPr="47E899D4">
        <w:rPr>
          <w:lang w:val="fr-CA"/>
        </w:rPr>
        <w:t>Les Soumissionnaires sont priés d'inclure dans le budget une ligne sous ODC pour l'assurance DBA pour le personnel inscrit au budget (long et court terme), et peuvent inclure les frais liés au paiement par virement bancaire. Pour rappel, l'assurance DBA n'est appliquée qu'en tant que pourcentage du salaire de base réel d'un individu, et non en tant que pourcentage du taux journalier toutes charges comprises.</w:t>
      </w:r>
    </w:p>
    <w:p w14:paraId="6F2F5586" w14:textId="77777777" w:rsidR="00F34AA9" w:rsidRPr="001E7D0F" w:rsidRDefault="00F34AA9" w:rsidP="00F34AA9">
      <w:pPr>
        <w:pStyle w:val="Paragraphedeliste"/>
        <w:spacing w:after="0"/>
      </w:pPr>
    </w:p>
    <w:p w14:paraId="05F0D691" w14:textId="77777777" w:rsidR="00F34AA9" w:rsidRPr="001E7D0F" w:rsidRDefault="00F34AA9" w:rsidP="00F34AA9">
      <w:pPr>
        <w:pStyle w:val="Paragraphedeliste"/>
        <w:spacing w:after="0"/>
        <w:rPr>
          <w:lang w:val="fr-CA"/>
        </w:rPr>
      </w:pPr>
      <w:r w:rsidRPr="001E7D0F">
        <w:rPr>
          <w:lang w:val="fr-CA"/>
        </w:rPr>
        <w:t xml:space="preserve">De plus, veuillez noter que le soumissionnaire sélectionné devra s'assurer d'obtenir une police d'assurance DBA auprès d'AON Risk </w:t>
      </w:r>
      <w:proofErr w:type="spellStart"/>
      <w:r w:rsidRPr="001E7D0F">
        <w:rPr>
          <w:lang w:val="fr-CA"/>
        </w:rPr>
        <w:t>Insurance</w:t>
      </w:r>
      <w:proofErr w:type="spellEnd"/>
      <w:r w:rsidRPr="001E7D0F">
        <w:rPr>
          <w:lang w:val="fr-CA"/>
        </w:rPr>
        <w:t>. Le premier document exigé de tout contrat de sous-traitance attribué sera la soumission de documents attestant que l'assurance DBA a été souscrite.</w:t>
      </w:r>
    </w:p>
    <w:p w14:paraId="036426E9" w14:textId="77777777" w:rsidR="00F34AA9" w:rsidRPr="001E7D0F" w:rsidRDefault="00F34AA9" w:rsidP="00F34AA9">
      <w:pPr>
        <w:pStyle w:val="Paragraphedeliste"/>
        <w:spacing w:after="0"/>
        <w:rPr>
          <w:highlight w:val="yellow"/>
          <w:lang w:val="fr-CA"/>
        </w:rPr>
      </w:pPr>
    </w:p>
    <w:p w14:paraId="0CAA97FB" w14:textId="08705AD2" w:rsidR="00F34AA9" w:rsidRPr="00EE2BC9" w:rsidRDefault="00F34AA9" w:rsidP="00EE2BC9">
      <w:pPr>
        <w:pStyle w:val="Paragraphedeliste"/>
        <w:rPr>
          <w:lang w:val="fr-FR"/>
        </w:rPr>
      </w:pPr>
      <w:r w:rsidRPr="001E7D0F">
        <w:t>L'accord dans le cadre duquel cette sollicitation est financée n'autorise pas le financement des taxes, de la TVA, des tarifs, des droits ou autres prélèvements imposés par les lois en vigueur dans le pays coopérant.  Aucun de ces impôts, TVA, frais, tarifs, droits ou prélèvements du pays coopérant ne sera payé dans le cadre d'une commande résultant de cette demande de proposition.</w:t>
      </w:r>
    </w:p>
    <w:p w14:paraId="07952598" w14:textId="77777777" w:rsidR="00F34AA9" w:rsidRPr="001E7D0F" w:rsidRDefault="00F34AA9" w:rsidP="00F34AA9">
      <w:pPr>
        <w:spacing w:after="0"/>
        <w:rPr>
          <w:b/>
        </w:rPr>
      </w:pPr>
    </w:p>
    <w:p w14:paraId="7FCFEE8A" w14:textId="77777777" w:rsidR="00F34AA9" w:rsidRPr="001C05D8" w:rsidRDefault="00F34AA9" w:rsidP="00F34AA9">
      <w:pPr>
        <w:pStyle w:val="Titre3"/>
        <w:rPr>
          <w:lang w:val="fr-FR"/>
        </w:rPr>
      </w:pPr>
      <w:r w:rsidRPr="001C05D8">
        <w:rPr>
          <w:lang w:val="fr-FR"/>
        </w:rPr>
        <w:t>Attestations requises</w:t>
      </w:r>
    </w:p>
    <w:p w14:paraId="66FF186B" w14:textId="7E16F828" w:rsidR="00F34AA9" w:rsidRPr="001E7D0F" w:rsidRDefault="00F34AA9" w:rsidP="00F34AA9">
      <w:pPr>
        <w:spacing w:after="0"/>
        <w:ind w:left="720"/>
        <w:rPr>
          <w:bCs/>
        </w:rPr>
      </w:pPr>
      <w:r w:rsidRPr="001E7D0F">
        <w:rPr>
          <w:bCs/>
          <w:lang w:val="fr-CA"/>
        </w:rPr>
        <w:t xml:space="preserve">Le Soumissionnaire doit soumettre les attestations signées requises, tel qu'indiqué à </w:t>
      </w:r>
    </w:p>
    <w:p w14:paraId="6358BD7A" w14:textId="77777777" w:rsidR="00F34AA9" w:rsidRPr="001E7D0F" w:rsidRDefault="00F34AA9" w:rsidP="00F34AA9">
      <w:pPr>
        <w:spacing w:after="0"/>
      </w:pPr>
    </w:p>
    <w:p w14:paraId="5E69CDC8" w14:textId="77777777" w:rsidR="00F34AA9" w:rsidRPr="001E7D0F" w:rsidRDefault="00F34AA9" w:rsidP="00F34AA9">
      <w:pPr>
        <w:spacing w:after="0"/>
        <w:rPr>
          <w:b/>
          <w:bCs/>
          <w:u w:val="single"/>
        </w:rPr>
      </w:pPr>
      <w:r w:rsidRPr="001E7D0F">
        <w:rPr>
          <w:b/>
          <w:bCs/>
          <w:u w:val="single"/>
        </w:rPr>
        <w:t>Liste des Annexes</w:t>
      </w:r>
    </w:p>
    <w:p w14:paraId="1C08510B" w14:textId="77777777" w:rsidR="00F34AA9" w:rsidRPr="001E7D0F" w:rsidRDefault="00F34AA9" w:rsidP="00F34AA9">
      <w:pPr>
        <w:spacing w:after="0"/>
      </w:pPr>
      <w:r w:rsidRPr="001E7D0F">
        <w:rPr>
          <w:lang w:val="fr-CA"/>
        </w:rPr>
        <w:t xml:space="preserve">Annexe A : </w:t>
      </w:r>
      <w:r w:rsidRPr="001E7D0F">
        <w:rPr>
          <w:lang w:val="fr-CA"/>
        </w:rPr>
        <w:tab/>
        <w:t>Cahier de charges/Énoncé des travaux</w:t>
      </w:r>
    </w:p>
    <w:p w14:paraId="0619CF3E" w14:textId="77777777" w:rsidR="00F34AA9" w:rsidRPr="001E7D0F" w:rsidRDefault="00F34AA9" w:rsidP="00F34AA9">
      <w:pPr>
        <w:spacing w:after="0"/>
      </w:pPr>
      <w:r w:rsidRPr="001E7D0F">
        <w:rPr>
          <w:lang w:val="fr-CA"/>
        </w:rPr>
        <w:t>Annexe B :</w:t>
      </w:r>
      <w:r w:rsidRPr="001E7D0F">
        <w:rPr>
          <w:lang w:val="fr-CA"/>
        </w:rPr>
        <w:tab/>
        <w:t>Le modèle de budget</w:t>
      </w:r>
    </w:p>
    <w:p w14:paraId="27303280" w14:textId="77777777" w:rsidR="00F34AA9" w:rsidRPr="001E7D0F" w:rsidRDefault="00F34AA9" w:rsidP="00F34AA9">
      <w:pPr>
        <w:spacing w:after="0"/>
      </w:pPr>
      <w:r w:rsidRPr="001E7D0F">
        <w:rPr>
          <w:lang w:val="fr-CA"/>
        </w:rPr>
        <w:t>Annexe C :</w:t>
      </w:r>
      <w:r w:rsidRPr="001E7D0F">
        <w:rPr>
          <w:lang w:val="fr-CA"/>
        </w:rPr>
        <w:tab/>
        <w:t>Critères d'évaluation des propositions</w:t>
      </w:r>
    </w:p>
    <w:p w14:paraId="7F0E1C15" w14:textId="77777777" w:rsidR="00F34AA9" w:rsidRPr="001E7D0F" w:rsidRDefault="00F34AA9" w:rsidP="00F34AA9">
      <w:pPr>
        <w:spacing w:after="0"/>
      </w:pPr>
      <w:r w:rsidRPr="001E7D0F">
        <w:rPr>
          <w:lang w:val="fr-CA"/>
        </w:rPr>
        <w:t>Annexe D :</w:t>
      </w:r>
      <w:r w:rsidRPr="001E7D0F">
        <w:rPr>
          <w:lang w:val="fr-CA"/>
        </w:rPr>
        <w:tab/>
        <w:t xml:space="preserve">La certification requise </w:t>
      </w:r>
    </w:p>
    <w:p w14:paraId="5B584BB0" w14:textId="77777777" w:rsidR="00F34AA9" w:rsidRPr="001E7D0F" w:rsidRDefault="00F34AA9" w:rsidP="00F34AA9">
      <w:pPr>
        <w:spacing w:after="0"/>
      </w:pPr>
    </w:p>
    <w:p w14:paraId="655C74BA" w14:textId="77777777" w:rsidR="00F34AA9" w:rsidRPr="001E7D0F" w:rsidRDefault="00F34AA9" w:rsidP="00F34AA9"/>
    <w:p w14:paraId="26F702F3" w14:textId="77777777" w:rsidR="00F34AA9" w:rsidRPr="001C05D8" w:rsidRDefault="00F34AA9" w:rsidP="00F34AA9">
      <w:pPr>
        <w:spacing w:after="200" w:line="276" w:lineRule="auto"/>
        <w:rPr>
          <w:b/>
          <w:color w:val="0069AA"/>
          <w:sz w:val="24"/>
          <w:lang w:val="fr-FR"/>
        </w:rPr>
      </w:pPr>
      <w:r>
        <w:br w:type="page"/>
      </w:r>
    </w:p>
    <w:p w14:paraId="571142AB" w14:textId="719290C6" w:rsidR="00F34AA9" w:rsidRPr="001C05D8" w:rsidRDefault="748606F6" w:rsidP="495F687C">
      <w:pPr>
        <w:pStyle w:val="Titre2"/>
        <w:rPr>
          <w:lang w:val="fr-FR"/>
        </w:rPr>
      </w:pPr>
      <w:r w:rsidRPr="748606F6">
        <w:rPr>
          <w:lang w:val="fr-FR"/>
        </w:rPr>
        <w:lastRenderedPageBreak/>
        <w:t>L'annexe (A)</w:t>
      </w:r>
      <w:proofErr w:type="gramStart"/>
      <w:r w:rsidRPr="748606F6">
        <w:rPr>
          <w:lang w:val="fr-FR"/>
        </w:rPr>
        <w:t> :Termes</w:t>
      </w:r>
      <w:proofErr w:type="gramEnd"/>
      <w:r w:rsidRPr="748606F6">
        <w:rPr>
          <w:lang w:val="fr-FR"/>
        </w:rPr>
        <w:t xml:space="preserve"> de Référence</w:t>
      </w:r>
    </w:p>
    <w:p w14:paraId="1703AF27" w14:textId="7502765D" w:rsidR="00F34AA9" w:rsidRPr="001C05D8" w:rsidRDefault="748606F6" w:rsidP="748606F6">
      <w:pPr>
        <w:spacing w:after="120"/>
        <w:jc w:val="both"/>
        <w:rPr>
          <w:rFonts w:eastAsia="Arial"/>
          <w:color w:val="0069AA"/>
          <w:sz w:val="24"/>
          <w:szCs w:val="24"/>
          <w:lang w:val="fr"/>
        </w:rPr>
      </w:pPr>
      <w:r w:rsidRPr="748606F6">
        <w:rPr>
          <w:rFonts w:eastAsia="Arial"/>
          <w:b/>
          <w:bCs/>
          <w:color w:val="0069AA"/>
          <w:sz w:val="24"/>
          <w:szCs w:val="24"/>
          <w:lang w:val="fr-FR"/>
        </w:rPr>
        <w:t xml:space="preserve">1.0 </w:t>
      </w:r>
      <w:r w:rsidR="00F34AA9">
        <w:tab/>
      </w:r>
      <w:r w:rsidRPr="748606F6">
        <w:rPr>
          <w:rFonts w:eastAsia="Arial"/>
          <w:b/>
          <w:bCs/>
          <w:color w:val="0069AA"/>
          <w:sz w:val="24"/>
          <w:szCs w:val="24"/>
          <w:lang w:val="fr-FR"/>
        </w:rPr>
        <w:t>Contexte</w:t>
      </w:r>
    </w:p>
    <w:p w14:paraId="605C6E6B" w14:textId="537B8A07"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t>L’objectif de l’Activité de Soutien aux Forêts et à la Biodiversité (FABS pour son sigle en anglais) de l’USAID est d’appuyer le Programme régional pour l’environnement en Afrique centrale (CARPE) et d’autres acteurs environnementaux en Afrique centrale à mettre en œuvre des stratégies et des actions qui s’attaquent aux menaces à grande échelle à la conservation de la biodiversité et à la gestion des forêts. FABS met l’accent sur trois Résultats Intermédiaires (</w:t>
      </w:r>
      <w:r w:rsidRPr="748606F6">
        <w:rPr>
          <w:rFonts w:eastAsia="Arial"/>
          <w:b/>
          <w:bCs/>
          <w:color w:val="000000" w:themeColor="text1"/>
          <w:lang w:val="fr-FR"/>
        </w:rPr>
        <w:t>RI</w:t>
      </w:r>
      <w:r w:rsidRPr="748606F6">
        <w:rPr>
          <w:rFonts w:eastAsia="Arial"/>
          <w:color w:val="000000" w:themeColor="text1"/>
          <w:lang w:val="fr-FR"/>
        </w:rPr>
        <w:t>) interconnectés :</w:t>
      </w:r>
    </w:p>
    <w:p w14:paraId="366AE173" w14:textId="6721C0D4" w:rsidR="00F34AA9" w:rsidRPr="001C05D8" w:rsidRDefault="00F34AA9" w:rsidP="748606F6">
      <w:pPr>
        <w:spacing w:after="0"/>
        <w:jc w:val="both"/>
        <w:rPr>
          <w:rFonts w:eastAsia="Arial"/>
          <w:color w:val="000000" w:themeColor="text1"/>
          <w:lang w:val="fr"/>
        </w:rPr>
      </w:pPr>
    </w:p>
    <w:p w14:paraId="777E8086" w14:textId="002D0F72" w:rsidR="00F34AA9" w:rsidRPr="001C05D8" w:rsidRDefault="748606F6" w:rsidP="006C3B8F">
      <w:pPr>
        <w:pStyle w:val="Paragraphedeliste"/>
        <w:numPr>
          <w:ilvl w:val="0"/>
          <w:numId w:val="5"/>
        </w:numPr>
        <w:spacing w:beforeAutospacing="1" w:after="0" w:afterAutospacing="1"/>
        <w:jc w:val="both"/>
        <w:rPr>
          <w:rFonts w:eastAsia="Arial"/>
          <w:color w:val="000000" w:themeColor="text1"/>
          <w:lang w:val="fr"/>
        </w:rPr>
      </w:pPr>
      <w:r w:rsidRPr="748606F6">
        <w:rPr>
          <w:rFonts w:eastAsia="Arial"/>
          <w:color w:val="000000" w:themeColor="text1"/>
          <w:lang w:val="fr-FR"/>
        </w:rPr>
        <w:t>Renforcement du leadership et de la participation de diverses organisations locales et du secteur privé.</w:t>
      </w:r>
    </w:p>
    <w:p w14:paraId="617C00D1" w14:textId="1B5D8CDA" w:rsidR="00F34AA9" w:rsidRPr="001C05D8" w:rsidRDefault="748606F6" w:rsidP="006C3B8F">
      <w:pPr>
        <w:pStyle w:val="Paragraphedeliste"/>
        <w:numPr>
          <w:ilvl w:val="0"/>
          <w:numId w:val="5"/>
        </w:numPr>
        <w:spacing w:beforeAutospacing="1" w:after="0" w:afterAutospacing="1"/>
        <w:jc w:val="both"/>
        <w:rPr>
          <w:rFonts w:eastAsia="Arial"/>
          <w:color w:val="000000" w:themeColor="text1"/>
          <w:lang w:val="fr"/>
        </w:rPr>
      </w:pPr>
      <w:r w:rsidRPr="748606F6">
        <w:rPr>
          <w:rFonts w:eastAsia="Arial"/>
          <w:color w:val="000000" w:themeColor="text1"/>
          <w:lang w:val="fr-FR"/>
        </w:rPr>
        <w:t>Amélioration de l’environnement politique, réglementaire et favorable.</w:t>
      </w:r>
    </w:p>
    <w:p w14:paraId="5B34D807" w14:textId="6FC380C2" w:rsidR="00F34AA9" w:rsidRPr="001C05D8" w:rsidRDefault="748606F6" w:rsidP="006C3B8F">
      <w:pPr>
        <w:pStyle w:val="Paragraphedeliste"/>
        <w:numPr>
          <w:ilvl w:val="0"/>
          <w:numId w:val="5"/>
        </w:numPr>
        <w:spacing w:beforeAutospacing="1" w:after="160" w:afterAutospacing="1" w:line="259" w:lineRule="auto"/>
        <w:jc w:val="both"/>
        <w:rPr>
          <w:rFonts w:eastAsia="Arial"/>
          <w:color w:val="000000" w:themeColor="text1"/>
          <w:lang w:val="fr"/>
        </w:rPr>
      </w:pPr>
      <w:r w:rsidRPr="748606F6">
        <w:rPr>
          <w:rFonts w:eastAsia="Arial"/>
          <w:color w:val="000000" w:themeColor="text1"/>
          <w:lang w:val="fr-FR"/>
        </w:rPr>
        <w:t>Adoption et institutionnalisation d'approches novatrices fondées sur des données probantes dans les secteurs de la conservation et des forêts.</w:t>
      </w:r>
    </w:p>
    <w:p w14:paraId="2DE76D1A" w14:textId="2A689C4E" w:rsidR="00F34AA9" w:rsidRPr="001C05D8" w:rsidRDefault="00F34AA9" w:rsidP="748606F6">
      <w:pPr>
        <w:spacing w:beforeAutospacing="1" w:after="160" w:afterAutospacing="1" w:line="259" w:lineRule="auto"/>
        <w:ind w:left="720"/>
        <w:jc w:val="both"/>
        <w:rPr>
          <w:rFonts w:eastAsia="Arial"/>
          <w:color w:val="000000" w:themeColor="text1"/>
          <w:lang w:val="fr"/>
        </w:rPr>
      </w:pPr>
    </w:p>
    <w:p w14:paraId="12524A99" w14:textId="677D29A0" w:rsidR="00F34AA9" w:rsidRPr="001C05D8" w:rsidRDefault="748606F6" w:rsidP="748606F6">
      <w:pPr>
        <w:spacing w:beforeAutospacing="1" w:after="0" w:afterAutospacing="1"/>
        <w:jc w:val="both"/>
        <w:rPr>
          <w:rFonts w:eastAsia="Arial"/>
          <w:color w:val="000000" w:themeColor="text1"/>
          <w:lang w:val="fr"/>
        </w:rPr>
      </w:pPr>
      <w:r w:rsidRPr="748606F6">
        <w:rPr>
          <w:rFonts w:eastAsia="Arial"/>
          <w:color w:val="000000" w:themeColor="text1"/>
          <w:lang w:val="fr-FR"/>
        </w:rPr>
        <w:t xml:space="preserve">Dans le cadre du travail fourni dans le </w:t>
      </w:r>
      <w:r w:rsidRPr="748606F6">
        <w:rPr>
          <w:rFonts w:eastAsia="Arial"/>
          <w:b/>
          <w:bCs/>
          <w:color w:val="000000" w:themeColor="text1"/>
          <w:lang w:val="fr-FR"/>
        </w:rPr>
        <w:t>RI2</w:t>
      </w:r>
      <w:r w:rsidRPr="748606F6">
        <w:rPr>
          <w:rFonts w:eastAsia="Arial"/>
          <w:color w:val="000000" w:themeColor="text1"/>
          <w:lang w:val="fr-FR"/>
        </w:rPr>
        <w:t xml:space="preserve"> et avec l’objectif de contribuer à la préservation des forêts et de la biodiversité de la République Démocratique du Congo (RDC), le programme FABS s’est engagé d’appuyer l’élaboration d’une Stratégie Nationale sur la Criminalité Faunique (SNCF). Le trafic des produits issus de la faune sauvage en RDC, et plus largement en Afrique centrale, alimente à la fois les marchés nationaux et internationaux, créant de sérieuses menaces pour des populations de faune sauvage déjà incapables de faire face à cette demande croissante. Malgré des investissements considérables dans des initiatives visant à réduire la criminalité faunique, les résultats obtenus restent insuffisants, ce qui indique la nécessité de nouvelles approches et interventions. En raison des lacunes dans le cadre institutionnel nationale et des faiblesses dans l'application des lois, il devient urgent de collaborer étroitement avec le gouvernement Congolais pour renforcer le contrôle, la surveillance et la protection des ressources fauniques nationales. Il est tout aussi essentiel d’intégrer à ce processus, une collaboration étroite avec des autres partenaires clés, entre autres, les communautés locales, les organisations de la société civile, les institutions de recherche, le secteur privé et les potentiels partenaires techniques et financières.</w:t>
      </w:r>
    </w:p>
    <w:p w14:paraId="5BBB6C30" w14:textId="472996C2" w:rsidR="00F34AA9" w:rsidRPr="001C05D8" w:rsidRDefault="00F34AA9" w:rsidP="748606F6">
      <w:pPr>
        <w:spacing w:beforeAutospacing="1" w:after="0" w:afterAutospacing="1"/>
        <w:jc w:val="both"/>
        <w:rPr>
          <w:rFonts w:eastAsia="Arial"/>
          <w:color w:val="000000" w:themeColor="text1"/>
          <w:lang w:val="fr"/>
        </w:rPr>
      </w:pPr>
    </w:p>
    <w:p w14:paraId="62A9AA92" w14:textId="156A7FF7"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t xml:space="preserve">En avril 2021, l'Office des Nations unies contre la Drogue et le Crime (ONUDC) et l'Institut Congolais pour la Conservation de la Nature (ICCN) ont organisé une réunion interministérielle pour renforcer la collaboration entre les agences luttant contre le trafic des ressources naturelles en RDC. Cette réunion a abouti à des recommandations pour réformer le code de procédure pénale, modifier la législation et renforcer les capacités des magistrats et enquêteurs. En juillet 2021, à la demande de l'ICCN, l'ONUDC a introduit le cadre d'indicateurs du Consortium international de lutte contre la criminalité liée aux espèces de faune sauvage (ICCWC) pour évaluer et améliorer la réponse nationale à ces crimes. Par ailleurs, une évaluation approfondie réalisée en 2020 par l’USAID a mis en évidence des lacunes critiques dans la lutte contre la criminalité liée à la faune sauvage en RDC. Cette évaluation a recommandé l’élaboration d’une </w:t>
      </w:r>
      <w:r w:rsidRPr="748606F6">
        <w:rPr>
          <w:rFonts w:eastAsia="Arial"/>
          <w:color w:val="000000" w:themeColor="text1"/>
          <w:lang w:val="fr-FR"/>
        </w:rPr>
        <w:lastRenderedPageBreak/>
        <w:t>stratégie nationale qui :</w:t>
      </w:r>
      <w:r w:rsidR="00F34AA9">
        <w:br/>
      </w:r>
    </w:p>
    <w:p w14:paraId="32E72FA2" w14:textId="7EB08814" w:rsidR="00F34AA9" w:rsidRPr="001C05D8" w:rsidRDefault="748606F6" w:rsidP="006C3B8F">
      <w:pPr>
        <w:pStyle w:val="Paragraphedeliste"/>
        <w:numPr>
          <w:ilvl w:val="0"/>
          <w:numId w:val="4"/>
        </w:numPr>
        <w:spacing w:after="0" w:line="259" w:lineRule="auto"/>
        <w:rPr>
          <w:rFonts w:eastAsia="Arial"/>
          <w:color w:val="000000" w:themeColor="text1"/>
          <w:lang w:val="fr"/>
        </w:rPr>
      </w:pPr>
      <w:r w:rsidRPr="748606F6">
        <w:rPr>
          <w:rFonts w:eastAsia="Arial"/>
          <w:color w:val="000000" w:themeColor="text1"/>
          <w:lang w:val="fr-FR"/>
        </w:rPr>
        <w:t>Priorise et décrit les mesures visant à réduire la criminalité et le trafic d’espèces de la faune sauvage, tout en améliorant l’application de la loi et les réponses judiciaires.</w:t>
      </w:r>
    </w:p>
    <w:p w14:paraId="0ED9649C" w14:textId="7D3F90AC" w:rsidR="00F34AA9" w:rsidRPr="001C05D8" w:rsidRDefault="00F34AA9" w:rsidP="748606F6">
      <w:pPr>
        <w:spacing w:after="0" w:line="259" w:lineRule="auto"/>
        <w:ind w:left="720"/>
        <w:rPr>
          <w:rFonts w:eastAsia="Arial"/>
          <w:color w:val="000000" w:themeColor="text1"/>
          <w:lang w:val="fr"/>
        </w:rPr>
      </w:pPr>
    </w:p>
    <w:p w14:paraId="4ADB10D4" w14:textId="368AB1A7" w:rsidR="00F34AA9" w:rsidRPr="001C05D8" w:rsidRDefault="748606F6" w:rsidP="006C3B8F">
      <w:pPr>
        <w:pStyle w:val="Paragraphedeliste"/>
        <w:numPr>
          <w:ilvl w:val="0"/>
          <w:numId w:val="4"/>
        </w:numPr>
        <w:spacing w:after="0" w:line="259" w:lineRule="auto"/>
        <w:rPr>
          <w:rFonts w:eastAsia="Arial"/>
          <w:color w:val="000000" w:themeColor="text1"/>
          <w:lang w:val="fr"/>
        </w:rPr>
      </w:pPr>
      <w:r w:rsidRPr="748606F6">
        <w:rPr>
          <w:rFonts w:eastAsia="Arial"/>
          <w:color w:val="000000" w:themeColor="text1"/>
          <w:lang w:val="fr-FR"/>
        </w:rPr>
        <w:t>Clarifie les mandats et les responsabilités des agences, qui sont confus et se chevauchent, en favorisant une répartition claire des rôles et responsabilités.</w:t>
      </w:r>
    </w:p>
    <w:p w14:paraId="3B72F223" w14:textId="612AC04F" w:rsidR="00F34AA9" w:rsidRPr="001C05D8" w:rsidRDefault="00F34AA9" w:rsidP="748606F6">
      <w:pPr>
        <w:spacing w:after="0"/>
        <w:rPr>
          <w:rFonts w:eastAsia="Arial"/>
          <w:color w:val="000000" w:themeColor="text1"/>
          <w:lang w:val="fr"/>
        </w:rPr>
      </w:pPr>
    </w:p>
    <w:p w14:paraId="2989B206" w14:textId="647A796C" w:rsidR="00F34AA9" w:rsidRPr="001C05D8" w:rsidRDefault="748606F6" w:rsidP="006C3B8F">
      <w:pPr>
        <w:pStyle w:val="Paragraphedeliste"/>
        <w:numPr>
          <w:ilvl w:val="0"/>
          <w:numId w:val="4"/>
        </w:numPr>
        <w:spacing w:after="0" w:line="259" w:lineRule="auto"/>
        <w:rPr>
          <w:rFonts w:eastAsia="Arial"/>
          <w:color w:val="000000" w:themeColor="text1"/>
          <w:lang w:val="fr"/>
        </w:rPr>
      </w:pPr>
      <w:r w:rsidRPr="748606F6">
        <w:rPr>
          <w:rFonts w:eastAsia="Arial"/>
          <w:color w:val="000000" w:themeColor="text1"/>
          <w:lang w:val="fr-FR"/>
        </w:rPr>
        <w:t>Propose des bonnes pratiques pour améliorer la coordination entre les agences nationales, régionales et internationales.</w:t>
      </w:r>
    </w:p>
    <w:p w14:paraId="469EEFFC" w14:textId="71E24837" w:rsidR="00F34AA9" w:rsidRPr="001C05D8" w:rsidRDefault="00F34AA9" w:rsidP="748606F6">
      <w:pPr>
        <w:spacing w:after="0" w:line="259" w:lineRule="auto"/>
        <w:ind w:left="720"/>
        <w:rPr>
          <w:rFonts w:eastAsia="Arial"/>
          <w:color w:val="000000" w:themeColor="text1"/>
          <w:lang w:val="fr"/>
        </w:rPr>
      </w:pPr>
    </w:p>
    <w:p w14:paraId="0568021B" w14:textId="20CE107E" w:rsidR="00F34AA9" w:rsidRPr="001C05D8" w:rsidRDefault="748606F6" w:rsidP="006C3B8F">
      <w:pPr>
        <w:pStyle w:val="Paragraphedeliste"/>
        <w:numPr>
          <w:ilvl w:val="0"/>
          <w:numId w:val="4"/>
        </w:numPr>
        <w:spacing w:beforeAutospacing="1" w:after="0" w:line="259" w:lineRule="auto"/>
        <w:jc w:val="both"/>
        <w:rPr>
          <w:rFonts w:eastAsia="Arial"/>
          <w:color w:val="000000" w:themeColor="text1"/>
          <w:lang w:val="fr"/>
        </w:rPr>
      </w:pPr>
      <w:r w:rsidRPr="748606F6">
        <w:rPr>
          <w:rFonts w:eastAsia="Arial"/>
          <w:color w:val="000000" w:themeColor="text1"/>
          <w:lang w:val="fr-FR"/>
        </w:rPr>
        <w:t>Promeut la sensibilisation aux impacts de la criminalité liée à la faune sauvages sur la biodiversité et l'économie du pays.</w:t>
      </w:r>
    </w:p>
    <w:p w14:paraId="35010E2B" w14:textId="1334F862" w:rsidR="00F34AA9" w:rsidRPr="001C05D8" w:rsidRDefault="00F34AA9" w:rsidP="748606F6">
      <w:pPr>
        <w:spacing w:beforeAutospacing="1" w:after="0" w:line="259" w:lineRule="auto"/>
        <w:ind w:left="720"/>
        <w:jc w:val="both"/>
        <w:rPr>
          <w:rFonts w:eastAsia="Arial"/>
          <w:color w:val="000000" w:themeColor="text1"/>
          <w:lang w:val="fr"/>
        </w:rPr>
      </w:pPr>
    </w:p>
    <w:p w14:paraId="35BA0A45" w14:textId="189FF4DF" w:rsidR="00F34AA9" w:rsidRPr="001C05D8" w:rsidRDefault="748606F6" w:rsidP="748606F6">
      <w:pPr>
        <w:spacing w:beforeAutospacing="1" w:after="0" w:afterAutospacing="1"/>
        <w:jc w:val="both"/>
        <w:rPr>
          <w:rFonts w:eastAsia="Arial"/>
          <w:color w:val="000000" w:themeColor="text1"/>
          <w:lang w:val="fr"/>
        </w:rPr>
      </w:pPr>
      <w:r w:rsidRPr="748606F6">
        <w:rPr>
          <w:rFonts w:eastAsia="Arial"/>
          <w:color w:val="000000" w:themeColor="text1"/>
          <w:lang w:val="fr-FR"/>
        </w:rPr>
        <w:t>Pour atteindre ces objectifs, FABS soutient l'ICCN dans l’élaboration d’une stratégie nationale visant à lutter contre la criminalité faunique en RDC. Ces termes de référence concernent l’appel de propositions pour la sélection d’un sous-contractant qui apportera un appui technique à l’élaboration de cette stratégie. Ce travail sera fait en collaboration un/des expert(s) local(aux) de la Direction Technique et Scientifique de l’ICCN. Bien que l'ICCN soit un acteur clé en raison de son champ d’action et de l'importance de son travail dans le pays, la stratégie souligne la nécessité de collaborer étroitement avec divers acteurs et institutions essentiels de l'État. Cela inclut des ministères tels que la Justice, l'Environnement et Développement durable, l'Économie, et le Tourisme. Il est également crucial d'impliquer les organisations responsables de l'application des lois, notamment la police nationale, le personnel de contrôle aéroportuaire, ainsi que les douanes et les autorités portuaires.</w:t>
      </w:r>
    </w:p>
    <w:p w14:paraId="2573E8CF" w14:textId="5BE95BB0" w:rsidR="00F34AA9" w:rsidRPr="001C05D8" w:rsidRDefault="00F34AA9" w:rsidP="748606F6">
      <w:pPr>
        <w:spacing w:after="0"/>
        <w:jc w:val="both"/>
        <w:rPr>
          <w:rFonts w:eastAsia="Arial"/>
          <w:color w:val="000000" w:themeColor="text1"/>
          <w:sz w:val="20"/>
          <w:szCs w:val="20"/>
          <w:lang w:val="fr"/>
        </w:rPr>
      </w:pPr>
    </w:p>
    <w:p w14:paraId="49582D02" w14:textId="67F44CEA" w:rsidR="00F34AA9" w:rsidRPr="001C05D8" w:rsidRDefault="748606F6" w:rsidP="006C3B8F">
      <w:pPr>
        <w:pStyle w:val="Paragraphedeliste"/>
        <w:numPr>
          <w:ilvl w:val="0"/>
          <w:numId w:val="3"/>
        </w:numPr>
        <w:spacing w:after="120"/>
        <w:jc w:val="both"/>
        <w:rPr>
          <w:rFonts w:eastAsia="Arial"/>
          <w:color w:val="0069AA"/>
          <w:sz w:val="24"/>
          <w:szCs w:val="24"/>
          <w:lang w:val="fr"/>
        </w:rPr>
      </w:pPr>
      <w:r w:rsidRPr="748606F6">
        <w:rPr>
          <w:rFonts w:eastAsia="Arial"/>
          <w:b/>
          <w:bCs/>
          <w:color w:val="0069AA"/>
          <w:sz w:val="24"/>
          <w:szCs w:val="24"/>
          <w:lang w:val="fr-FR"/>
        </w:rPr>
        <w:t>Objectifs</w:t>
      </w:r>
    </w:p>
    <w:p w14:paraId="4B6A6A6A" w14:textId="7418BA12" w:rsidR="00F34AA9" w:rsidRPr="001C05D8" w:rsidRDefault="748606F6" w:rsidP="006C3B8F">
      <w:pPr>
        <w:pStyle w:val="Paragraphedeliste"/>
        <w:numPr>
          <w:ilvl w:val="0"/>
          <w:numId w:val="2"/>
        </w:numPr>
        <w:spacing w:before="240" w:after="160" w:afterAutospacing="1" w:line="259" w:lineRule="auto"/>
        <w:jc w:val="both"/>
        <w:rPr>
          <w:rFonts w:eastAsia="Arial"/>
          <w:color w:val="000000" w:themeColor="text1"/>
          <w:lang w:val="fr"/>
        </w:rPr>
      </w:pPr>
      <w:r w:rsidRPr="748606F6">
        <w:rPr>
          <w:rFonts w:eastAsia="Arial"/>
          <w:color w:val="000000" w:themeColor="text1"/>
          <w:lang w:val="fr-FR"/>
        </w:rPr>
        <w:t>Appuyer l’ICCN à l’élaboration d’une stratégie nationale de lutte contre la criminalité faunique, inclusive et adaptée au contexte spécifique de la RDC.</w:t>
      </w:r>
    </w:p>
    <w:p w14:paraId="20DDDE9B" w14:textId="48310911" w:rsidR="00F34AA9" w:rsidRPr="001C05D8" w:rsidRDefault="748606F6" w:rsidP="006C3B8F">
      <w:pPr>
        <w:pStyle w:val="Paragraphedeliste"/>
        <w:numPr>
          <w:ilvl w:val="0"/>
          <w:numId w:val="2"/>
        </w:numPr>
        <w:spacing w:before="240" w:after="160" w:afterAutospacing="1"/>
        <w:ind w:left="714" w:hanging="357"/>
        <w:jc w:val="both"/>
        <w:rPr>
          <w:rFonts w:eastAsia="Arial"/>
          <w:color w:val="000000" w:themeColor="text1"/>
          <w:lang w:val="fr"/>
        </w:rPr>
      </w:pPr>
      <w:r w:rsidRPr="748606F6">
        <w:rPr>
          <w:rFonts w:eastAsia="Arial"/>
          <w:color w:val="000000" w:themeColor="text1"/>
          <w:lang w:val="fr-FR"/>
        </w:rPr>
        <w:t xml:space="preserve">Proposer une série de recommandations concrètes à mettre en œuvre pour contribuer à l’application effective des cadres politiques, stratégiques et juridiques en matière de lutte contre la criminalité faunique. </w:t>
      </w:r>
    </w:p>
    <w:p w14:paraId="19FD46C2" w14:textId="476CF265" w:rsidR="00F34AA9" w:rsidRPr="001C05D8" w:rsidRDefault="00F34AA9" w:rsidP="748606F6">
      <w:pPr>
        <w:spacing w:before="240" w:after="160" w:afterAutospacing="1"/>
        <w:ind w:left="714"/>
        <w:jc w:val="both"/>
        <w:rPr>
          <w:rFonts w:eastAsia="Arial"/>
          <w:color w:val="000000" w:themeColor="text1"/>
          <w:lang w:val="fr"/>
        </w:rPr>
      </w:pPr>
    </w:p>
    <w:p w14:paraId="034BA036" w14:textId="692E728A" w:rsidR="00F34AA9" w:rsidRPr="001C05D8" w:rsidRDefault="748606F6" w:rsidP="006C3B8F">
      <w:pPr>
        <w:pStyle w:val="Paragraphedeliste"/>
        <w:numPr>
          <w:ilvl w:val="0"/>
          <w:numId w:val="3"/>
        </w:numPr>
        <w:spacing w:after="120"/>
        <w:jc w:val="both"/>
        <w:rPr>
          <w:rFonts w:eastAsia="Arial"/>
          <w:color w:val="0069AA"/>
          <w:sz w:val="24"/>
          <w:szCs w:val="24"/>
          <w:lang w:val="fr"/>
        </w:rPr>
      </w:pPr>
      <w:r w:rsidRPr="748606F6">
        <w:rPr>
          <w:rFonts w:eastAsia="Arial"/>
          <w:b/>
          <w:bCs/>
          <w:color w:val="0069AA"/>
          <w:sz w:val="24"/>
          <w:szCs w:val="24"/>
          <w:lang w:val="fr-FR"/>
        </w:rPr>
        <w:t>Tâches</w:t>
      </w:r>
    </w:p>
    <w:p w14:paraId="4F8C0901" w14:textId="4E938AF8" w:rsidR="00F34AA9" w:rsidRPr="001C05D8" w:rsidRDefault="748606F6" w:rsidP="748606F6">
      <w:pPr>
        <w:spacing w:beforeAutospacing="1" w:after="0"/>
        <w:jc w:val="both"/>
        <w:rPr>
          <w:rFonts w:eastAsia="Arial"/>
          <w:color w:val="000000" w:themeColor="text1"/>
          <w:lang w:val="fr"/>
        </w:rPr>
      </w:pPr>
      <w:r w:rsidRPr="748606F6">
        <w:rPr>
          <w:rFonts w:eastAsia="Arial"/>
          <w:color w:val="000000" w:themeColor="text1"/>
          <w:lang w:val="fr-FR"/>
        </w:rPr>
        <w:t>Dans le cadre de l’élaboration de la stratégie nationale de lutte contre la criminalité faunique, le sous-contractant, en collaboration avec l’ICCN, réalisera les tâches suivantes afin de garantir un processus à la fois méthodique et inclusif.</w:t>
      </w:r>
    </w:p>
    <w:p w14:paraId="4E2CA155" w14:textId="517E7384" w:rsidR="00F34AA9" w:rsidRPr="001C05D8" w:rsidRDefault="00F34AA9" w:rsidP="748606F6">
      <w:pPr>
        <w:spacing w:beforeAutospacing="1" w:after="0"/>
        <w:jc w:val="both"/>
        <w:rPr>
          <w:rFonts w:eastAsia="Arial"/>
          <w:color w:val="000000" w:themeColor="text1"/>
          <w:lang w:val="fr"/>
        </w:rPr>
      </w:pPr>
    </w:p>
    <w:p w14:paraId="2018FEB6" w14:textId="700B5A65" w:rsidR="00F34AA9" w:rsidRPr="001C05D8" w:rsidRDefault="748606F6" w:rsidP="748606F6">
      <w:pPr>
        <w:spacing w:beforeAutospacing="1" w:after="0"/>
        <w:jc w:val="both"/>
        <w:rPr>
          <w:rFonts w:eastAsia="Arial"/>
          <w:color w:val="000000" w:themeColor="text1"/>
          <w:lang w:val="fr"/>
        </w:rPr>
      </w:pPr>
      <w:r w:rsidRPr="748606F6">
        <w:rPr>
          <w:rFonts w:eastAsia="Arial"/>
          <w:b/>
          <w:bCs/>
          <w:color w:val="000000" w:themeColor="text1"/>
          <w:lang w:val="fr-FR"/>
        </w:rPr>
        <w:lastRenderedPageBreak/>
        <w:t>Tâche 1 : Elaborer une méthodologie de travail avec calendrier</w:t>
      </w:r>
    </w:p>
    <w:p w14:paraId="1DB39866" w14:textId="6352B3D1" w:rsidR="00F34AA9" w:rsidRPr="001C05D8" w:rsidRDefault="748606F6" w:rsidP="748606F6">
      <w:pPr>
        <w:spacing w:beforeAutospacing="1" w:after="0"/>
        <w:jc w:val="both"/>
        <w:rPr>
          <w:rFonts w:eastAsia="Arial"/>
          <w:color w:val="000000" w:themeColor="text1"/>
          <w:lang w:val="fr"/>
        </w:rPr>
      </w:pPr>
      <w:r w:rsidRPr="748606F6">
        <w:rPr>
          <w:rFonts w:eastAsia="Arial"/>
          <w:color w:val="000000" w:themeColor="text1"/>
          <w:lang w:val="fr-FR"/>
        </w:rPr>
        <w:t xml:space="preserve">Le sous-contractant devra développer une méthodologie de travail détaillée pour accomplir les objectives de l’étude (Voir point 2.0. Objectifs du présent document). Cette méthodologie devra préciser les sources d’information, les outils d’analyse, les modalités de consultation et de participation des parties prenantes ainsi que les outils qui serviront de base pour la validation et le suivi de l’appropriation de la stratégie nationale sur la lutte contre la criminalité faunique par le gouvernement national. Le sous-contractant élaborera le plan en collaboration avec ICCN et d’autres institutions pertinentes en tenant compte des contextes local et les enjeux sur le terrain. Cette méthodologie devra également inclure un calendrier comportant les dates précises de </w:t>
      </w:r>
      <w:r w:rsidRPr="748606F6">
        <w:rPr>
          <w:rFonts w:eastAsia="Arial"/>
          <w:b/>
          <w:bCs/>
          <w:color w:val="000000" w:themeColor="text1"/>
          <w:lang w:val="fr-FR"/>
        </w:rPr>
        <w:t>toutes les activités</w:t>
      </w:r>
      <w:r w:rsidRPr="748606F6">
        <w:rPr>
          <w:rFonts w:eastAsia="Arial"/>
          <w:color w:val="000000" w:themeColor="text1"/>
          <w:lang w:val="fr-FR"/>
        </w:rPr>
        <w:t xml:space="preserve"> en détaillant les missions potentielles, les ateliers et les échéances de livraison des livrables. Le sous-contractant élaborera cette méthodologie en collaboration avec ICCN et d’autres institutions pertinentes. </w:t>
      </w:r>
    </w:p>
    <w:p w14:paraId="1960A524" w14:textId="30AC0416" w:rsidR="00F34AA9" w:rsidRPr="001C05D8" w:rsidRDefault="748606F6" w:rsidP="748606F6">
      <w:pPr>
        <w:spacing w:beforeAutospacing="1" w:after="0"/>
        <w:jc w:val="both"/>
        <w:rPr>
          <w:rFonts w:eastAsia="Arial"/>
          <w:color w:val="000000" w:themeColor="text1"/>
          <w:lang w:val="fr"/>
        </w:rPr>
      </w:pPr>
      <w:r w:rsidRPr="748606F6">
        <w:rPr>
          <w:rFonts w:eastAsia="Arial"/>
          <w:b/>
          <w:bCs/>
          <w:color w:val="000000" w:themeColor="text1"/>
          <w:lang w:val="fr-FR"/>
        </w:rPr>
        <w:t>Tâche 2 : Élaboration des termes de référence pour l’Atelier 1 d’ouverture du processus de création de la stratégie de lutte contre la criminalité faunique.</w:t>
      </w:r>
    </w:p>
    <w:p w14:paraId="185B02BC" w14:textId="4793BF9D" w:rsidR="00F34AA9" w:rsidRPr="001C05D8" w:rsidRDefault="748606F6" w:rsidP="748606F6">
      <w:pPr>
        <w:spacing w:beforeAutospacing="1" w:after="0"/>
        <w:jc w:val="both"/>
        <w:rPr>
          <w:rFonts w:eastAsia="Arial"/>
          <w:color w:val="000000" w:themeColor="text1"/>
          <w:lang w:val="fr"/>
        </w:rPr>
      </w:pPr>
      <w:r w:rsidRPr="748606F6">
        <w:rPr>
          <w:rFonts w:eastAsia="Arial"/>
          <w:color w:val="000000" w:themeColor="text1"/>
          <w:lang w:val="fr-FR"/>
        </w:rPr>
        <w:t>Le sous-contractant, doit rédiger les termes de référence pour l'atelier d'ouverture de la stratégie de lutte contre la criminalité faunique, incluant le lancement du Recueil d'Instruments Juridiques sur la Conservation en RDC. Le sous-traitant sera également responsable de l'organisation de l’atelier 1.</w:t>
      </w:r>
    </w:p>
    <w:p w14:paraId="73677949" w14:textId="28CF7445" w:rsidR="00F34AA9" w:rsidRPr="001C05D8" w:rsidRDefault="748606F6" w:rsidP="748606F6">
      <w:pPr>
        <w:spacing w:beforeAutospacing="1" w:after="0"/>
        <w:jc w:val="both"/>
        <w:rPr>
          <w:rFonts w:eastAsia="Arial"/>
          <w:color w:val="000000" w:themeColor="text1"/>
          <w:lang w:val="fr"/>
        </w:rPr>
      </w:pPr>
      <w:r w:rsidRPr="748606F6">
        <w:rPr>
          <w:rFonts w:eastAsia="Arial"/>
          <w:b/>
          <w:bCs/>
          <w:color w:val="000000" w:themeColor="text1"/>
          <w:lang w:val="fr-FR"/>
        </w:rPr>
        <w:t xml:space="preserve">Tâche 3 : Concevoir et mettre en œuvre des processus de consultation inclusifs </w:t>
      </w:r>
    </w:p>
    <w:p w14:paraId="702CD514" w14:textId="45BAB64A" w:rsidR="00F34AA9" w:rsidRPr="001C05D8" w:rsidRDefault="748606F6" w:rsidP="748606F6">
      <w:pPr>
        <w:spacing w:beforeAutospacing="1" w:after="0"/>
        <w:jc w:val="both"/>
        <w:rPr>
          <w:rFonts w:eastAsia="Arial"/>
          <w:color w:val="000000" w:themeColor="text1"/>
          <w:lang w:val="fr"/>
        </w:rPr>
      </w:pPr>
      <w:r w:rsidRPr="748606F6">
        <w:rPr>
          <w:rFonts w:eastAsia="Arial"/>
          <w:color w:val="000000" w:themeColor="text1"/>
          <w:lang w:val="fr-FR"/>
        </w:rPr>
        <w:t>Le sous-contractant, en collaboration avec l’ICCN, mènera des consultations avec toutes les parties prenantes engagées dans la lutte contre la criminalité faunique. L’objectif est de recueillir les avis, les expériences, ainsi que les suggestions et recommandations des acteurs clés. Pour cela, il élaborera des processus de consultation inclusifs avec des ateliers et entretiens sur le terrain qui assureront l’implication de toutes les parties concernées. Cette démarche garantira que les perspectives de chacun soient prises en compte, contribuant ainsi à une stratégie nationale plus complète et efficace pour lutter contre la criminalité faunique.</w:t>
      </w:r>
    </w:p>
    <w:p w14:paraId="762B7164" w14:textId="46DB5224" w:rsidR="00F34AA9" w:rsidRPr="001C05D8" w:rsidRDefault="748606F6" w:rsidP="748606F6">
      <w:pPr>
        <w:spacing w:beforeAutospacing="1" w:after="0"/>
        <w:jc w:val="both"/>
        <w:rPr>
          <w:rFonts w:eastAsia="Arial"/>
          <w:color w:val="000000" w:themeColor="text1"/>
          <w:lang w:val="fr"/>
        </w:rPr>
      </w:pPr>
      <w:r w:rsidRPr="748606F6">
        <w:rPr>
          <w:rFonts w:eastAsia="Arial"/>
          <w:b/>
          <w:bCs/>
          <w:color w:val="000000" w:themeColor="text1"/>
          <w:lang w:val="fr-FR"/>
        </w:rPr>
        <w:t xml:space="preserve">Tâche 4 : Élaboration du Draft de la Stratégie Nationale de Lutte contre la Criminalité Faunique et des Termes de Référence pour l'Atelier 2 </w:t>
      </w:r>
    </w:p>
    <w:p w14:paraId="77C1A91C" w14:textId="4374849D" w:rsidR="00F34AA9" w:rsidRPr="001C05D8" w:rsidRDefault="748606F6" w:rsidP="748606F6">
      <w:pPr>
        <w:spacing w:beforeAutospacing="1" w:after="0"/>
        <w:jc w:val="both"/>
        <w:rPr>
          <w:rFonts w:eastAsia="Arial"/>
          <w:color w:val="000000" w:themeColor="text1"/>
          <w:lang w:val="fr"/>
        </w:rPr>
      </w:pPr>
      <w:r w:rsidRPr="748606F6">
        <w:rPr>
          <w:rFonts w:eastAsia="Arial"/>
          <w:color w:val="000000" w:themeColor="text1"/>
          <w:lang w:val="fr-FR"/>
        </w:rPr>
        <w:t>La tâche 4 consiste à élaborer le draft de la stratégie nationale de lutte contre la criminalité faunique en RDC. Simultanément, des termes de référence seront préparés pour l’Atelier 2, où des partenaires techniques se réuniront pour discuter et restituer ce draft. Cet atelier permettra de recueillir des retours et des recommandations, garantissant que la stratégie soit bien adaptée aux besoins du terrain avant sa validation finale. Le sous-traitant sera également responsable de l'organisation de l’atelier 2.</w:t>
      </w:r>
    </w:p>
    <w:p w14:paraId="2770CF31" w14:textId="39FDC7F6" w:rsidR="00F34AA9" w:rsidRPr="001C05D8" w:rsidRDefault="00F34AA9" w:rsidP="748606F6">
      <w:pPr>
        <w:spacing w:beforeAutospacing="1" w:after="0"/>
        <w:jc w:val="both"/>
        <w:rPr>
          <w:rFonts w:eastAsia="Arial"/>
          <w:color w:val="000000" w:themeColor="text1"/>
          <w:lang w:val="fr"/>
        </w:rPr>
      </w:pPr>
    </w:p>
    <w:p w14:paraId="62D4B430" w14:textId="40F559E4" w:rsidR="00F34AA9" w:rsidRPr="001C05D8" w:rsidRDefault="748606F6" w:rsidP="748606F6">
      <w:pPr>
        <w:spacing w:after="0"/>
        <w:jc w:val="both"/>
        <w:rPr>
          <w:rFonts w:eastAsia="Arial"/>
          <w:color w:val="000000" w:themeColor="text1"/>
          <w:lang w:val="fr"/>
        </w:rPr>
      </w:pPr>
      <w:r w:rsidRPr="748606F6">
        <w:rPr>
          <w:rFonts w:eastAsia="Arial"/>
          <w:b/>
          <w:bCs/>
          <w:color w:val="000000" w:themeColor="text1"/>
          <w:lang w:val="fr-FR"/>
        </w:rPr>
        <w:t xml:space="preserve">Tache 5 : Rédiger et valider la stratégie nationale sur la criminalité faunique en RDC. </w:t>
      </w:r>
      <w:r w:rsidRPr="748606F6">
        <w:rPr>
          <w:rFonts w:eastAsia="Arial"/>
          <w:color w:val="000000" w:themeColor="text1"/>
          <w:lang w:val="fr-FR"/>
        </w:rPr>
        <w:t xml:space="preserve">Le sous-contractant devra finaliser la rédaction du document décrivant la stratégie de lutte contre la criminalité faunique, après le processus de consultation. La version finale sera soumise pour validation au Directeur Général de l’ICCN et au Secrétaire Général du Ministère de l’Environnement et Développement Durable. Après validation, cette stratégie devra être présentée pour son lancement officiel. </w:t>
      </w:r>
    </w:p>
    <w:p w14:paraId="72301129" w14:textId="43CB591E"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lastRenderedPageBreak/>
        <w:t>En parallèle, un cadre de suivi et d'évaluation (S&amp;E) sera mis en place pour mesurer l’efficacité de la stratégie et collecter des leçons apprises tout au long du processus. Cela permettra d'adapter les futures initiatives de lutte contre la criminalité faunique.</w:t>
      </w:r>
    </w:p>
    <w:p w14:paraId="7E333E3F" w14:textId="63E2ECD2" w:rsidR="00F34AA9" w:rsidRPr="001C05D8" w:rsidRDefault="00F34AA9" w:rsidP="748606F6">
      <w:pPr>
        <w:spacing w:after="0"/>
        <w:jc w:val="both"/>
        <w:rPr>
          <w:rFonts w:eastAsia="Arial"/>
          <w:color w:val="000000" w:themeColor="text1"/>
          <w:lang w:val="fr"/>
        </w:rPr>
      </w:pPr>
    </w:p>
    <w:p w14:paraId="1EB63B11" w14:textId="1EC9BC28" w:rsidR="00F34AA9" w:rsidRPr="001C05D8" w:rsidRDefault="748606F6" w:rsidP="748606F6">
      <w:pPr>
        <w:spacing w:after="0"/>
        <w:jc w:val="both"/>
        <w:rPr>
          <w:rFonts w:eastAsia="Arial"/>
          <w:color w:val="000000" w:themeColor="text1"/>
          <w:lang w:val="fr"/>
        </w:rPr>
      </w:pPr>
      <w:r w:rsidRPr="748606F6">
        <w:rPr>
          <w:rFonts w:eastAsia="Arial"/>
          <w:b/>
          <w:bCs/>
          <w:color w:val="000000" w:themeColor="text1"/>
          <w:lang w:val="fr-FR"/>
        </w:rPr>
        <w:t>Tache 6 : Elaborer les termes de référence des Ateliers de validation (Atelier 3) et de lancement public (Atelier 4) de la stratégie de lutte contre la criminalité faunique</w:t>
      </w:r>
    </w:p>
    <w:p w14:paraId="0985CE29" w14:textId="2E819AFB"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t>Élaborer les termes de référence des Ateliers de validation (Atelier 3) et de lancement public (Atelier 4) de la stratégie de lutte contre la criminalité faunique. L'Atelier de validation réunira des représentants clés pour examiner et affiner les propositions stratégiques, afin de garantir leur pertinence et leur faisabilité. Parallèlement, l'Atelier de lancement public visera à présenter la stratégie au grand public et à mobiliser le soutien des communautés et des acteurs concernés. Ces ateliers permettront de recueillir des retours et de favoriser l'engagement autour de la mise en œuvre de la stratégie.</w:t>
      </w:r>
    </w:p>
    <w:p w14:paraId="08A5941E" w14:textId="74BF541A" w:rsidR="00F34AA9" w:rsidRPr="001C05D8" w:rsidRDefault="00F34AA9" w:rsidP="748606F6">
      <w:pPr>
        <w:spacing w:after="0"/>
        <w:jc w:val="both"/>
        <w:rPr>
          <w:rFonts w:eastAsia="Arial"/>
          <w:color w:val="000000" w:themeColor="text1"/>
          <w:lang w:val="fr"/>
        </w:rPr>
      </w:pPr>
    </w:p>
    <w:p w14:paraId="3819C85B" w14:textId="06FA9863"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t xml:space="preserve">Afin de valider les supports de communication avant leur présentation publique, le sous-traitant, en collaboration avec l’ICCN, élaborera divers supports de communication, notamment une </w:t>
      </w:r>
      <w:proofErr w:type="spellStart"/>
      <w:r w:rsidRPr="748606F6">
        <w:rPr>
          <w:rFonts w:eastAsia="Arial"/>
          <w:color w:val="000000" w:themeColor="text1"/>
          <w:lang w:val="fr-FR"/>
        </w:rPr>
        <w:t>factsheet</w:t>
      </w:r>
      <w:proofErr w:type="spellEnd"/>
      <w:r w:rsidRPr="748606F6">
        <w:rPr>
          <w:rFonts w:eastAsia="Arial"/>
          <w:color w:val="000000" w:themeColor="text1"/>
          <w:lang w:val="fr-FR"/>
        </w:rPr>
        <w:t xml:space="preserve"> illustrée et un article de presse au format </w:t>
      </w:r>
      <w:r w:rsidRPr="748606F6">
        <w:rPr>
          <w:rFonts w:eastAsia="Arial"/>
          <w:i/>
          <w:iCs/>
          <w:color w:val="000000" w:themeColor="text1"/>
          <w:lang w:val="fr-FR"/>
        </w:rPr>
        <w:t>blog</w:t>
      </w:r>
      <w:r w:rsidRPr="748606F6">
        <w:rPr>
          <w:rFonts w:eastAsia="Arial"/>
          <w:color w:val="000000" w:themeColor="text1"/>
          <w:lang w:val="fr-FR"/>
        </w:rPr>
        <w:t>. Ces supports résumeront la stratégie nationale de lutte contre la criminalité faunique en RDC et souligneront son importance pour la protection des forêts et de la biodiversité du pays. Ils présenteront les grandes lignes de la stratégie de manière concise, claire et compréhensible. Ces documents devront être finalisés et validés avant la mise en œuvre de l’atelier de lancement de la stratégie de lutte contre la criminalité faunique.</w:t>
      </w:r>
    </w:p>
    <w:p w14:paraId="26A8FE08" w14:textId="55FDD933" w:rsidR="00F34AA9" w:rsidRPr="001C05D8" w:rsidRDefault="00F34AA9" w:rsidP="748606F6">
      <w:pPr>
        <w:spacing w:after="0"/>
        <w:jc w:val="both"/>
        <w:rPr>
          <w:rFonts w:eastAsia="Arial"/>
          <w:color w:val="000000" w:themeColor="text1"/>
          <w:lang w:val="fr"/>
        </w:rPr>
      </w:pPr>
    </w:p>
    <w:p w14:paraId="3E0F08F1" w14:textId="1BDC9C9E" w:rsidR="00F34AA9" w:rsidRPr="001C05D8" w:rsidRDefault="748606F6" w:rsidP="748606F6">
      <w:pPr>
        <w:spacing w:after="0"/>
        <w:jc w:val="both"/>
        <w:rPr>
          <w:rFonts w:eastAsia="Arial"/>
          <w:color w:val="000000" w:themeColor="text1"/>
          <w:lang w:val="fr"/>
        </w:rPr>
      </w:pPr>
      <w:r w:rsidRPr="748606F6">
        <w:rPr>
          <w:rFonts w:eastAsia="Arial"/>
          <w:b/>
          <w:bCs/>
          <w:color w:val="000000" w:themeColor="text1"/>
          <w:lang w:val="fr-FR"/>
        </w:rPr>
        <w:t>Tâche 7 : Restitution des résultats et production des supports de communication</w:t>
      </w:r>
    </w:p>
    <w:p w14:paraId="4FBCD92A" w14:textId="7279099E" w:rsidR="00F34AA9" w:rsidRPr="001C05D8" w:rsidRDefault="748606F6" w:rsidP="748606F6">
      <w:pPr>
        <w:spacing w:after="0"/>
        <w:jc w:val="both"/>
        <w:rPr>
          <w:rFonts w:eastAsia="Arial"/>
          <w:color w:val="000000" w:themeColor="text1"/>
          <w:lang w:val="fr"/>
        </w:rPr>
      </w:pPr>
      <w:r w:rsidRPr="748606F6">
        <w:rPr>
          <w:rFonts w:eastAsia="Arial"/>
          <w:color w:val="000000" w:themeColor="text1"/>
          <w:lang w:val="fr-FR"/>
        </w:rPr>
        <w:t>Le sous-traitant sera également responsable de l'organisation des ateliers 3 et 4 et de toute sa documentation technique.</w:t>
      </w:r>
    </w:p>
    <w:p w14:paraId="14B160B0" w14:textId="24D56AF6" w:rsidR="00F34AA9" w:rsidRPr="001C05D8" w:rsidRDefault="00F34AA9" w:rsidP="748606F6">
      <w:pPr>
        <w:spacing w:after="0"/>
        <w:jc w:val="both"/>
        <w:rPr>
          <w:rFonts w:eastAsia="Arial"/>
          <w:color w:val="000000" w:themeColor="text1"/>
          <w:sz w:val="20"/>
          <w:szCs w:val="20"/>
          <w:lang w:val="fr"/>
        </w:rPr>
      </w:pPr>
    </w:p>
    <w:p w14:paraId="7A8C8985" w14:textId="4FE4608E" w:rsidR="00F34AA9" w:rsidRPr="001C05D8" w:rsidRDefault="748606F6" w:rsidP="748606F6">
      <w:pPr>
        <w:pStyle w:val="Paragraphedeliste"/>
        <w:numPr>
          <w:ilvl w:val="0"/>
          <w:numId w:val="1"/>
        </w:numPr>
        <w:spacing w:after="120" w:line="259" w:lineRule="auto"/>
        <w:jc w:val="both"/>
        <w:rPr>
          <w:rFonts w:eastAsia="Arial"/>
          <w:color w:val="0069AA"/>
          <w:sz w:val="24"/>
          <w:szCs w:val="24"/>
          <w:lang w:val="fr"/>
        </w:rPr>
      </w:pPr>
      <w:r w:rsidRPr="748606F6">
        <w:rPr>
          <w:rFonts w:eastAsia="Arial"/>
          <w:b/>
          <w:bCs/>
          <w:color w:val="0069AA"/>
          <w:sz w:val="24"/>
          <w:szCs w:val="24"/>
          <w:lang w:val="fr-FR"/>
        </w:rPr>
        <w:t>Livrables et timeline</w:t>
      </w:r>
    </w:p>
    <w:p w14:paraId="4375D2C2" w14:textId="184A6184" w:rsidR="00F34AA9" w:rsidRPr="001C05D8" w:rsidRDefault="748606F6" w:rsidP="748606F6">
      <w:pPr>
        <w:spacing w:beforeAutospacing="1" w:after="0" w:afterAutospacing="1"/>
        <w:jc w:val="both"/>
        <w:rPr>
          <w:rFonts w:eastAsia="Arial"/>
          <w:color w:val="000000" w:themeColor="text1"/>
          <w:lang w:val="fr"/>
        </w:rPr>
      </w:pPr>
      <w:r w:rsidRPr="748606F6">
        <w:rPr>
          <w:rFonts w:eastAsia="Arial"/>
          <w:color w:val="000000" w:themeColor="text1"/>
          <w:lang w:val="fr-FR"/>
        </w:rPr>
        <w:t xml:space="preserve">La durée de la mise en œuvre de ces activités est de 120 jours.  </w:t>
      </w:r>
    </w:p>
    <w:tbl>
      <w:tblPr>
        <w:tblStyle w:val="Grilledutablea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65"/>
        <w:gridCol w:w="6795"/>
        <w:gridCol w:w="1770"/>
      </w:tblGrid>
      <w:tr w:rsidR="748606F6" w14:paraId="1EF749BF" w14:textId="77777777" w:rsidTr="748606F6">
        <w:trPr>
          <w:trHeight w:val="210"/>
        </w:trPr>
        <w:tc>
          <w:tcPr>
            <w:tcW w:w="765" w:type="dxa"/>
            <w:tcMar>
              <w:left w:w="105" w:type="dxa"/>
              <w:right w:w="105" w:type="dxa"/>
            </w:tcMar>
          </w:tcPr>
          <w:p w14:paraId="75F1816F" w14:textId="6FA7D01B" w:rsidR="748606F6" w:rsidRDefault="748606F6" w:rsidP="748606F6">
            <w:pPr>
              <w:jc w:val="center"/>
              <w:rPr>
                <w:rFonts w:eastAsia="Arial"/>
                <w:sz w:val="18"/>
                <w:szCs w:val="18"/>
              </w:rPr>
            </w:pPr>
            <w:r w:rsidRPr="748606F6">
              <w:rPr>
                <w:rFonts w:eastAsia="Arial"/>
                <w:b/>
                <w:bCs/>
                <w:sz w:val="18"/>
                <w:szCs w:val="18"/>
                <w:lang w:val="fr-FR"/>
              </w:rPr>
              <w:t>Tache</w:t>
            </w:r>
          </w:p>
        </w:tc>
        <w:tc>
          <w:tcPr>
            <w:tcW w:w="6795" w:type="dxa"/>
            <w:tcMar>
              <w:left w:w="105" w:type="dxa"/>
              <w:right w:w="105" w:type="dxa"/>
            </w:tcMar>
          </w:tcPr>
          <w:p w14:paraId="4BA02168" w14:textId="5EC2E209" w:rsidR="748606F6" w:rsidRDefault="748606F6" w:rsidP="748606F6">
            <w:pPr>
              <w:jc w:val="center"/>
              <w:rPr>
                <w:rFonts w:eastAsia="Arial"/>
                <w:sz w:val="18"/>
                <w:szCs w:val="18"/>
              </w:rPr>
            </w:pPr>
            <w:r w:rsidRPr="748606F6">
              <w:rPr>
                <w:rFonts w:eastAsia="Arial"/>
                <w:b/>
                <w:bCs/>
                <w:sz w:val="18"/>
                <w:szCs w:val="18"/>
                <w:lang w:val="fr-FR"/>
              </w:rPr>
              <w:t>Livrable</w:t>
            </w:r>
          </w:p>
        </w:tc>
        <w:tc>
          <w:tcPr>
            <w:tcW w:w="1770" w:type="dxa"/>
            <w:tcMar>
              <w:left w:w="105" w:type="dxa"/>
              <w:right w:w="105" w:type="dxa"/>
            </w:tcMar>
          </w:tcPr>
          <w:p w14:paraId="0180FD8B" w14:textId="09B93170" w:rsidR="748606F6" w:rsidRDefault="748606F6" w:rsidP="748606F6">
            <w:pPr>
              <w:jc w:val="center"/>
              <w:rPr>
                <w:rFonts w:eastAsia="Arial"/>
                <w:sz w:val="18"/>
                <w:szCs w:val="18"/>
              </w:rPr>
            </w:pPr>
            <w:r w:rsidRPr="748606F6">
              <w:rPr>
                <w:rFonts w:eastAsia="Arial"/>
                <w:b/>
                <w:bCs/>
                <w:sz w:val="18"/>
                <w:szCs w:val="18"/>
                <w:lang w:val="fr-FR"/>
              </w:rPr>
              <w:t>Durée de chaque tache en semaines consécutives</w:t>
            </w:r>
          </w:p>
        </w:tc>
      </w:tr>
      <w:tr w:rsidR="748606F6" w14:paraId="07D5C503" w14:textId="77777777" w:rsidTr="748606F6">
        <w:trPr>
          <w:trHeight w:val="300"/>
        </w:trPr>
        <w:tc>
          <w:tcPr>
            <w:tcW w:w="765" w:type="dxa"/>
            <w:tcMar>
              <w:left w:w="105" w:type="dxa"/>
              <w:right w:w="105" w:type="dxa"/>
            </w:tcMar>
          </w:tcPr>
          <w:p w14:paraId="4328653C" w14:textId="59D8529E" w:rsidR="748606F6" w:rsidRDefault="748606F6" w:rsidP="748606F6">
            <w:pPr>
              <w:jc w:val="center"/>
              <w:rPr>
                <w:rFonts w:eastAsia="Arial"/>
                <w:sz w:val="18"/>
                <w:szCs w:val="18"/>
              </w:rPr>
            </w:pPr>
          </w:p>
          <w:p w14:paraId="598DC27B" w14:textId="2962C070" w:rsidR="748606F6" w:rsidRDefault="748606F6" w:rsidP="748606F6">
            <w:pPr>
              <w:jc w:val="center"/>
              <w:rPr>
                <w:rFonts w:eastAsia="Arial"/>
                <w:sz w:val="18"/>
                <w:szCs w:val="18"/>
              </w:rPr>
            </w:pPr>
            <w:r w:rsidRPr="748606F6">
              <w:rPr>
                <w:rFonts w:eastAsia="Arial"/>
                <w:sz w:val="18"/>
                <w:szCs w:val="18"/>
                <w:lang w:val="fr-FR"/>
              </w:rPr>
              <w:t>1</w:t>
            </w:r>
          </w:p>
        </w:tc>
        <w:tc>
          <w:tcPr>
            <w:tcW w:w="6795" w:type="dxa"/>
            <w:tcMar>
              <w:left w:w="105" w:type="dxa"/>
              <w:right w:w="105" w:type="dxa"/>
            </w:tcMar>
          </w:tcPr>
          <w:p w14:paraId="6C499F5E" w14:textId="16BB8D6C" w:rsidR="748606F6" w:rsidRDefault="748606F6" w:rsidP="748606F6">
            <w:pPr>
              <w:rPr>
                <w:rFonts w:eastAsia="Arial"/>
                <w:sz w:val="18"/>
                <w:szCs w:val="18"/>
              </w:rPr>
            </w:pPr>
            <w:r w:rsidRPr="748606F6">
              <w:rPr>
                <w:rFonts w:eastAsia="Arial"/>
                <w:sz w:val="18"/>
                <w:szCs w:val="18"/>
                <w:lang w:val="fr-FR"/>
              </w:rPr>
              <w:t>Rapport de méthodologie et calendrier. Ce document inclura la méthodologie à suivre pour le développement de la stratégie, ainsi qu'un calendrier détaillant les dates précises de toutes les activités, les missions potentielles, les ateliers, et les échéances de livraison des livrables.</w:t>
            </w:r>
          </w:p>
          <w:p w14:paraId="2B6ED958" w14:textId="7805DC27" w:rsidR="748606F6" w:rsidRDefault="748606F6" w:rsidP="748606F6">
            <w:pPr>
              <w:rPr>
                <w:rFonts w:eastAsia="Arial"/>
                <w:sz w:val="18"/>
                <w:szCs w:val="18"/>
              </w:rPr>
            </w:pPr>
          </w:p>
        </w:tc>
        <w:tc>
          <w:tcPr>
            <w:tcW w:w="1770" w:type="dxa"/>
            <w:tcMar>
              <w:left w:w="105" w:type="dxa"/>
              <w:right w:w="105" w:type="dxa"/>
            </w:tcMar>
          </w:tcPr>
          <w:p w14:paraId="4171DBAA" w14:textId="3C531ADC" w:rsidR="748606F6" w:rsidRDefault="748606F6" w:rsidP="748606F6">
            <w:pPr>
              <w:spacing w:after="100"/>
              <w:rPr>
                <w:rFonts w:eastAsia="Arial"/>
                <w:sz w:val="18"/>
                <w:szCs w:val="18"/>
              </w:rPr>
            </w:pPr>
            <w:r w:rsidRPr="748606F6">
              <w:rPr>
                <w:rFonts w:eastAsia="Arial"/>
                <w:sz w:val="18"/>
                <w:szCs w:val="18"/>
                <w:lang w:val="fr-FR"/>
              </w:rPr>
              <w:t xml:space="preserve">1ère Semaine </w:t>
            </w:r>
          </w:p>
          <w:p w14:paraId="3720C912" w14:textId="19034076" w:rsidR="748606F6" w:rsidRDefault="748606F6" w:rsidP="748606F6">
            <w:pPr>
              <w:spacing w:after="100"/>
              <w:rPr>
                <w:rFonts w:eastAsia="Arial"/>
                <w:sz w:val="18"/>
                <w:szCs w:val="18"/>
              </w:rPr>
            </w:pPr>
            <w:r w:rsidRPr="748606F6">
              <w:rPr>
                <w:rFonts w:eastAsia="Arial"/>
                <w:sz w:val="18"/>
                <w:szCs w:val="18"/>
                <w:lang w:val="fr-FR"/>
              </w:rPr>
              <w:t>(1 semaine)</w:t>
            </w:r>
          </w:p>
        </w:tc>
      </w:tr>
      <w:tr w:rsidR="748606F6" w14:paraId="6FC255ED" w14:textId="77777777" w:rsidTr="748606F6">
        <w:trPr>
          <w:trHeight w:val="1110"/>
        </w:trPr>
        <w:tc>
          <w:tcPr>
            <w:tcW w:w="765" w:type="dxa"/>
            <w:tcMar>
              <w:left w:w="105" w:type="dxa"/>
              <w:right w:w="105" w:type="dxa"/>
            </w:tcMar>
          </w:tcPr>
          <w:p w14:paraId="3CE5CD39" w14:textId="24E5944D" w:rsidR="748606F6" w:rsidRDefault="748606F6" w:rsidP="748606F6">
            <w:pPr>
              <w:jc w:val="center"/>
              <w:rPr>
                <w:rFonts w:eastAsia="Arial"/>
                <w:sz w:val="18"/>
                <w:szCs w:val="18"/>
              </w:rPr>
            </w:pPr>
          </w:p>
          <w:p w14:paraId="5B0CA060" w14:textId="7EE28E76" w:rsidR="748606F6" w:rsidRDefault="748606F6" w:rsidP="748606F6">
            <w:pPr>
              <w:jc w:val="center"/>
              <w:rPr>
                <w:rFonts w:eastAsia="Arial"/>
                <w:sz w:val="18"/>
                <w:szCs w:val="18"/>
              </w:rPr>
            </w:pPr>
            <w:r w:rsidRPr="748606F6">
              <w:rPr>
                <w:rFonts w:eastAsia="Arial"/>
                <w:sz w:val="18"/>
                <w:szCs w:val="18"/>
                <w:lang w:val="fr-FR"/>
              </w:rPr>
              <w:t>2</w:t>
            </w:r>
          </w:p>
        </w:tc>
        <w:tc>
          <w:tcPr>
            <w:tcW w:w="6795" w:type="dxa"/>
            <w:tcMar>
              <w:left w:w="105" w:type="dxa"/>
              <w:right w:w="105" w:type="dxa"/>
            </w:tcMar>
          </w:tcPr>
          <w:p w14:paraId="4887CEC8" w14:textId="5FC5DC2F" w:rsidR="748606F6" w:rsidRDefault="748606F6" w:rsidP="748606F6">
            <w:pPr>
              <w:rPr>
                <w:rFonts w:eastAsia="Arial"/>
                <w:sz w:val="18"/>
                <w:szCs w:val="18"/>
              </w:rPr>
            </w:pPr>
            <w:r w:rsidRPr="748606F6">
              <w:rPr>
                <w:rFonts w:eastAsia="Arial"/>
                <w:sz w:val="18"/>
                <w:szCs w:val="18"/>
                <w:lang w:val="fr-FR"/>
              </w:rPr>
              <w:t>Termes de référence pour l'</w:t>
            </w:r>
            <w:r w:rsidRPr="748606F6">
              <w:rPr>
                <w:rFonts w:eastAsia="Arial"/>
                <w:b/>
                <w:bCs/>
                <w:sz w:val="18"/>
                <w:szCs w:val="18"/>
                <w:lang w:val="fr-FR"/>
              </w:rPr>
              <w:t xml:space="preserve">Atelier 1 </w:t>
            </w:r>
            <w:r w:rsidRPr="748606F6">
              <w:rPr>
                <w:rFonts w:eastAsia="Arial"/>
                <w:sz w:val="18"/>
                <w:szCs w:val="18"/>
                <w:lang w:val="fr-FR"/>
              </w:rPr>
              <w:t>visant à valider le plan de mise en œuvre de la stratégie nationale sur la criminalité faunique en RDC, ainsi qu'à lancer la vulgarisation du Recueil d’instruments juridiques sur la conservation de la nature. Ils incluront la liste des participants, les sujets de discussion, les présentateurs, ainsi que les résultats attendus et le produit final de l'atelier.</w:t>
            </w:r>
          </w:p>
        </w:tc>
        <w:tc>
          <w:tcPr>
            <w:tcW w:w="1770" w:type="dxa"/>
            <w:tcMar>
              <w:left w:w="105" w:type="dxa"/>
              <w:right w:w="105" w:type="dxa"/>
            </w:tcMar>
          </w:tcPr>
          <w:p w14:paraId="484A4629" w14:textId="4A71D831" w:rsidR="748606F6" w:rsidRDefault="748606F6" w:rsidP="748606F6">
            <w:pPr>
              <w:spacing w:after="100"/>
              <w:rPr>
                <w:rFonts w:eastAsia="Arial"/>
                <w:sz w:val="18"/>
                <w:szCs w:val="18"/>
              </w:rPr>
            </w:pPr>
            <w:r w:rsidRPr="748606F6">
              <w:rPr>
                <w:rFonts w:eastAsia="Arial"/>
                <w:sz w:val="18"/>
                <w:szCs w:val="18"/>
                <w:lang w:val="fr-FR"/>
              </w:rPr>
              <w:t xml:space="preserve">2ème </w:t>
            </w:r>
          </w:p>
          <w:p w14:paraId="7E700660" w14:textId="027633DB" w:rsidR="748606F6" w:rsidRDefault="748606F6" w:rsidP="748606F6">
            <w:pPr>
              <w:spacing w:after="100"/>
              <w:rPr>
                <w:rFonts w:eastAsia="Arial"/>
                <w:sz w:val="18"/>
                <w:szCs w:val="18"/>
              </w:rPr>
            </w:pPr>
            <w:r w:rsidRPr="748606F6">
              <w:rPr>
                <w:rFonts w:eastAsia="Arial"/>
                <w:sz w:val="18"/>
                <w:szCs w:val="18"/>
                <w:lang w:val="fr-FR"/>
              </w:rPr>
              <w:t>(1 semaine)</w:t>
            </w:r>
          </w:p>
        </w:tc>
      </w:tr>
      <w:tr w:rsidR="748606F6" w14:paraId="7CCCCA29" w14:textId="77777777" w:rsidTr="748606F6">
        <w:trPr>
          <w:trHeight w:val="1260"/>
        </w:trPr>
        <w:tc>
          <w:tcPr>
            <w:tcW w:w="765" w:type="dxa"/>
            <w:tcMar>
              <w:left w:w="105" w:type="dxa"/>
              <w:right w:w="105" w:type="dxa"/>
            </w:tcMar>
          </w:tcPr>
          <w:p w14:paraId="70CDE1D1" w14:textId="4F95E231" w:rsidR="748606F6" w:rsidRDefault="748606F6" w:rsidP="748606F6">
            <w:pPr>
              <w:jc w:val="center"/>
              <w:rPr>
                <w:rFonts w:eastAsia="Arial"/>
                <w:sz w:val="18"/>
                <w:szCs w:val="18"/>
              </w:rPr>
            </w:pPr>
          </w:p>
          <w:p w14:paraId="4F57C124" w14:textId="7B6DFEE4" w:rsidR="748606F6" w:rsidRDefault="748606F6" w:rsidP="748606F6">
            <w:pPr>
              <w:jc w:val="center"/>
              <w:rPr>
                <w:rFonts w:eastAsia="Arial"/>
                <w:sz w:val="18"/>
                <w:szCs w:val="18"/>
              </w:rPr>
            </w:pPr>
            <w:r w:rsidRPr="748606F6">
              <w:rPr>
                <w:rFonts w:eastAsia="Arial"/>
                <w:sz w:val="18"/>
                <w:szCs w:val="18"/>
                <w:lang w:val="fr-FR"/>
              </w:rPr>
              <w:t>3</w:t>
            </w:r>
          </w:p>
        </w:tc>
        <w:tc>
          <w:tcPr>
            <w:tcW w:w="6795" w:type="dxa"/>
            <w:tcMar>
              <w:left w:w="105" w:type="dxa"/>
              <w:right w:w="105" w:type="dxa"/>
            </w:tcMar>
          </w:tcPr>
          <w:p w14:paraId="3324481A" w14:textId="019E12A2" w:rsidR="748606F6" w:rsidRDefault="748606F6" w:rsidP="748606F6">
            <w:pPr>
              <w:spacing w:after="60"/>
              <w:rPr>
                <w:rFonts w:eastAsia="Arial"/>
                <w:sz w:val="18"/>
                <w:szCs w:val="18"/>
              </w:rPr>
            </w:pPr>
            <w:r w:rsidRPr="748606F6">
              <w:rPr>
                <w:rFonts w:eastAsia="Arial"/>
                <w:sz w:val="18"/>
                <w:szCs w:val="18"/>
                <w:lang w:val="fr-FR"/>
              </w:rPr>
              <w:t>3.1. Rapport de l’</w:t>
            </w:r>
            <w:r w:rsidRPr="748606F6">
              <w:rPr>
                <w:rFonts w:eastAsia="Arial"/>
                <w:b/>
                <w:bCs/>
                <w:sz w:val="18"/>
                <w:szCs w:val="18"/>
                <w:lang w:val="fr-FR"/>
              </w:rPr>
              <w:t>Atelier 1</w:t>
            </w:r>
            <w:r w:rsidRPr="748606F6">
              <w:rPr>
                <w:rFonts w:eastAsia="Arial"/>
                <w:sz w:val="18"/>
                <w:szCs w:val="18"/>
                <w:lang w:val="fr-FR"/>
              </w:rPr>
              <w:t>, comprenant le plan de mise en œuvre et la feuille de route validés, ainsi que les photos, la liste de présence, les recommandations pour la stratégie de lutte contre la criminalité faunique, et le produit de l'atelier.</w:t>
            </w:r>
          </w:p>
          <w:p w14:paraId="7B754409" w14:textId="60FECD7A" w:rsidR="748606F6" w:rsidRDefault="748606F6" w:rsidP="748606F6">
            <w:pPr>
              <w:spacing w:after="60"/>
              <w:rPr>
                <w:rFonts w:eastAsia="Arial"/>
                <w:sz w:val="18"/>
                <w:szCs w:val="18"/>
              </w:rPr>
            </w:pPr>
            <w:r w:rsidRPr="748606F6">
              <w:rPr>
                <w:rFonts w:eastAsia="Arial"/>
                <w:sz w:val="18"/>
                <w:szCs w:val="18"/>
                <w:lang w:val="fr-FR"/>
              </w:rPr>
              <w:t>3.2. Rapport succinct des résultats des ateliers de consultation, incluant les résultats des différentes provinces cibles.</w:t>
            </w:r>
          </w:p>
        </w:tc>
        <w:tc>
          <w:tcPr>
            <w:tcW w:w="1770" w:type="dxa"/>
            <w:tcMar>
              <w:left w:w="105" w:type="dxa"/>
              <w:right w:w="105" w:type="dxa"/>
            </w:tcMar>
          </w:tcPr>
          <w:p w14:paraId="0EAF1A67" w14:textId="6DCD258E" w:rsidR="748606F6" w:rsidRDefault="748606F6" w:rsidP="748606F6">
            <w:pPr>
              <w:rPr>
                <w:rFonts w:eastAsia="Arial"/>
                <w:sz w:val="18"/>
                <w:szCs w:val="18"/>
              </w:rPr>
            </w:pPr>
            <w:r w:rsidRPr="748606F6">
              <w:rPr>
                <w:rFonts w:eastAsia="Arial"/>
                <w:sz w:val="18"/>
                <w:szCs w:val="18"/>
                <w:lang w:val="fr-FR"/>
              </w:rPr>
              <w:t>De la semaine 3 à la semaine 6</w:t>
            </w:r>
          </w:p>
          <w:p w14:paraId="2DD277DB" w14:textId="50910673" w:rsidR="748606F6" w:rsidRDefault="748606F6" w:rsidP="748606F6">
            <w:pPr>
              <w:rPr>
                <w:rFonts w:eastAsia="Arial"/>
                <w:sz w:val="12"/>
                <w:szCs w:val="12"/>
              </w:rPr>
            </w:pPr>
          </w:p>
          <w:p w14:paraId="3008C695" w14:textId="31D56736" w:rsidR="748606F6" w:rsidRDefault="748606F6" w:rsidP="748606F6">
            <w:pPr>
              <w:rPr>
                <w:rFonts w:eastAsia="Arial"/>
                <w:sz w:val="18"/>
                <w:szCs w:val="18"/>
              </w:rPr>
            </w:pPr>
            <w:r w:rsidRPr="748606F6">
              <w:rPr>
                <w:rFonts w:eastAsia="Arial"/>
                <w:sz w:val="18"/>
                <w:szCs w:val="18"/>
                <w:lang w:val="fr-FR"/>
              </w:rPr>
              <w:t>(4 semaines)</w:t>
            </w:r>
          </w:p>
          <w:p w14:paraId="4D47B9C7" w14:textId="2EA1948A" w:rsidR="748606F6" w:rsidRDefault="748606F6" w:rsidP="748606F6">
            <w:pPr>
              <w:rPr>
                <w:rFonts w:eastAsia="Arial"/>
                <w:sz w:val="18"/>
                <w:szCs w:val="18"/>
              </w:rPr>
            </w:pPr>
          </w:p>
        </w:tc>
      </w:tr>
      <w:tr w:rsidR="748606F6" w14:paraId="1595630E" w14:textId="77777777" w:rsidTr="748606F6">
        <w:trPr>
          <w:trHeight w:val="1215"/>
        </w:trPr>
        <w:tc>
          <w:tcPr>
            <w:tcW w:w="765" w:type="dxa"/>
            <w:tcMar>
              <w:left w:w="105" w:type="dxa"/>
              <w:right w:w="105" w:type="dxa"/>
            </w:tcMar>
          </w:tcPr>
          <w:p w14:paraId="63761ECE" w14:textId="2F93E89A" w:rsidR="748606F6" w:rsidRDefault="748606F6" w:rsidP="748606F6">
            <w:pPr>
              <w:jc w:val="center"/>
              <w:rPr>
                <w:rFonts w:eastAsia="Arial"/>
                <w:sz w:val="18"/>
                <w:szCs w:val="18"/>
              </w:rPr>
            </w:pPr>
          </w:p>
          <w:p w14:paraId="5A560C46" w14:textId="13C836AD" w:rsidR="748606F6" w:rsidRDefault="748606F6" w:rsidP="748606F6">
            <w:pPr>
              <w:jc w:val="center"/>
              <w:rPr>
                <w:rFonts w:eastAsia="Arial"/>
                <w:sz w:val="18"/>
                <w:szCs w:val="18"/>
              </w:rPr>
            </w:pPr>
            <w:r w:rsidRPr="748606F6">
              <w:rPr>
                <w:rFonts w:eastAsia="Arial"/>
                <w:sz w:val="18"/>
                <w:szCs w:val="18"/>
                <w:lang w:val="fr-FR"/>
              </w:rPr>
              <w:t>4</w:t>
            </w:r>
          </w:p>
        </w:tc>
        <w:tc>
          <w:tcPr>
            <w:tcW w:w="6795" w:type="dxa"/>
            <w:tcMar>
              <w:left w:w="105" w:type="dxa"/>
              <w:right w:w="105" w:type="dxa"/>
            </w:tcMar>
          </w:tcPr>
          <w:p w14:paraId="56A8F33C" w14:textId="3F00FA24" w:rsidR="748606F6" w:rsidRDefault="748606F6" w:rsidP="748606F6">
            <w:pPr>
              <w:spacing w:after="60"/>
              <w:rPr>
                <w:rFonts w:eastAsia="Arial"/>
                <w:sz w:val="18"/>
                <w:szCs w:val="18"/>
              </w:rPr>
            </w:pPr>
            <w:r w:rsidRPr="748606F6">
              <w:rPr>
                <w:rFonts w:eastAsia="Arial"/>
                <w:sz w:val="18"/>
                <w:szCs w:val="18"/>
                <w:lang w:val="fr-FR"/>
              </w:rPr>
              <w:t>4.1. Draft de la Stratégie nationale sur la criminalité faunique en RDC.</w:t>
            </w:r>
          </w:p>
          <w:p w14:paraId="110C3676" w14:textId="25B58ADC" w:rsidR="748606F6" w:rsidRDefault="748606F6" w:rsidP="748606F6">
            <w:pPr>
              <w:spacing w:after="60"/>
              <w:rPr>
                <w:rFonts w:eastAsia="Arial"/>
                <w:sz w:val="18"/>
                <w:szCs w:val="18"/>
              </w:rPr>
            </w:pPr>
            <w:r w:rsidRPr="748606F6">
              <w:rPr>
                <w:rFonts w:eastAsia="Arial"/>
                <w:sz w:val="18"/>
                <w:szCs w:val="18"/>
                <w:lang w:val="fr-FR"/>
              </w:rPr>
              <w:t>4.2. Termes de référence de l’</w:t>
            </w:r>
            <w:r w:rsidRPr="748606F6">
              <w:rPr>
                <w:rFonts w:eastAsia="Arial"/>
                <w:b/>
                <w:bCs/>
                <w:sz w:val="18"/>
                <w:szCs w:val="18"/>
                <w:lang w:val="fr-FR"/>
              </w:rPr>
              <w:t xml:space="preserve">Atelier 2 </w:t>
            </w:r>
            <w:r w:rsidRPr="748606F6">
              <w:rPr>
                <w:rFonts w:eastAsia="Arial"/>
                <w:sz w:val="18"/>
                <w:szCs w:val="18"/>
                <w:lang w:val="fr-FR"/>
              </w:rPr>
              <w:t>pour la restitution du draft de la stratégie de lutte contre la criminalité faunique avec des partenaires techniques.</w:t>
            </w:r>
          </w:p>
        </w:tc>
        <w:tc>
          <w:tcPr>
            <w:tcW w:w="1770" w:type="dxa"/>
            <w:tcMar>
              <w:left w:w="105" w:type="dxa"/>
              <w:right w:w="105" w:type="dxa"/>
            </w:tcMar>
          </w:tcPr>
          <w:p w14:paraId="1E5EEA5B" w14:textId="54AF6033" w:rsidR="748606F6" w:rsidRDefault="748606F6" w:rsidP="748606F6">
            <w:pPr>
              <w:spacing w:after="100" w:line="259" w:lineRule="auto"/>
              <w:rPr>
                <w:rFonts w:eastAsia="Arial"/>
                <w:sz w:val="18"/>
                <w:szCs w:val="18"/>
              </w:rPr>
            </w:pPr>
            <w:r w:rsidRPr="748606F6">
              <w:rPr>
                <w:rFonts w:eastAsia="Arial"/>
                <w:sz w:val="18"/>
                <w:szCs w:val="18"/>
                <w:lang w:val="fr-FR"/>
              </w:rPr>
              <w:t xml:space="preserve">De la semaine 7 à la semaine 8 </w:t>
            </w:r>
          </w:p>
          <w:p w14:paraId="0FB56442" w14:textId="78FB183A" w:rsidR="748606F6" w:rsidRDefault="748606F6" w:rsidP="748606F6">
            <w:pPr>
              <w:spacing w:after="100" w:line="259" w:lineRule="auto"/>
              <w:rPr>
                <w:rFonts w:eastAsia="Arial"/>
                <w:sz w:val="18"/>
                <w:szCs w:val="18"/>
              </w:rPr>
            </w:pPr>
            <w:r w:rsidRPr="748606F6">
              <w:rPr>
                <w:rFonts w:eastAsia="Arial"/>
                <w:sz w:val="18"/>
                <w:szCs w:val="18"/>
                <w:lang w:val="fr-FR"/>
              </w:rPr>
              <w:t>(2 semaines)</w:t>
            </w:r>
          </w:p>
        </w:tc>
      </w:tr>
      <w:tr w:rsidR="748606F6" w14:paraId="7994E921" w14:textId="77777777" w:rsidTr="748606F6">
        <w:trPr>
          <w:trHeight w:val="855"/>
        </w:trPr>
        <w:tc>
          <w:tcPr>
            <w:tcW w:w="765" w:type="dxa"/>
            <w:tcMar>
              <w:left w:w="105" w:type="dxa"/>
              <w:right w:w="105" w:type="dxa"/>
            </w:tcMar>
          </w:tcPr>
          <w:p w14:paraId="15D43AEB" w14:textId="6FEBAA57" w:rsidR="748606F6" w:rsidRDefault="748606F6" w:rsidP="748606F6">
            <w:pPr>
              <w:jc w:val="center"/>
              <w:rPr>
                <w:rFonts w:eastAsia="Arial"/>
                <w:sz w:val="18"/>
                <w:szCs w:val="18"/>
              </w:rPr>
            </w:pPr>
          </w:p>
          <w:p w14:paraId="19A9D8C5" w14:textId="5D6BDA49" w:rsidR="748606F6" w:rsidRDefault="748606F6" w:rsidP="748606F6">
            <w:pPr>
              <w:jc w:val="center"/>
              <w:rPr>
                <w:rFonts w:eastAsia="Arial"/>
                <w:sz w:val="18"/>
                <w:szCs w:val="18"/>
              </w:rPr>
            </w:pPr>
            <w:r w:rsidRPr="748606F6">
              <w:rPr>
                <w:rFonts w:eastAsia="Arial"/>
                <w:sz w:val="18"/>
                <w:szCs w:val="18"/>
                <w:lang w:val="fr-FR"/>
              </w:rPr>
              <w:t>5</w:t>
            </w:r>
          </w:p>
        </w:tc>
        <w:tc>
          <w:tcPr>
            <w:tcW w:w="6795" w:type="dxa"/>
            <w:tcMar>
              <w:left w:w="105" w:type="dxa"/>
              <w:right w:w="105" w:type="dxa"/>
            </w:tcMar>
          </w:tcPr>
          <w:p w14:paraId="4C4926CC" w14:textId="51FCB41D" w:rsidR="748606F6" w:rsidRDefault="748606F6" w:rsidP="748606F6">
            <w:pPr>
              <w:spacing w:before="60"/>
              <w:rPr>
                <w:rFonts w:eastAsia="Arial"/>
                <w:sz w:val="18"/>
                <w:szCs w:val="18"/>
              </w:rPr>
            </w:pPr>
            <w:r w:rsidRPr="748606F6">
              <w:rPr>
                <w:rFonts w:eastAsia="Arial"/>
                <w:sz w:val="18"/>
                <w:szCs w:val="18"/>
                <w:lang w:val="fr-FR"/>
              </w:rPr>
              <w:t>5.1. Rapport de l’</w:t>
            </w:r>
            <w:r w:rsidRPr="748606F6">
              <w:rPr>
                <w:rFonts w:eastAsia="Arial"/>
                <w:b/>
                <w:bCs/>
                <w:sz w:val="18"/>
                <w:szCs w:val="18"/>
                <w:lang w:val="fr-FR"/>
              </w:rPr>
              <w:t xml:space="preserve">Atelier 2 </w:t>
            </w:r>
            <w:r w:rsidRPr="748606F6">
              <w:rPr>
                <w:rFonts w:eastAsia="Arial"/>
                <w:sz w:val="18"/>
                <w:szCs w:val="18"/>
                <w:lang w:val="fr-FR"/>
              </w:rPr>
              <w:t>(avec base des données photographique et liste de présence des participants) et le procès-verbal de la validation technique de la stratégie en incluant les recommandations de participants pour améliorer la stratégie.</w:t>
            </w:r>
          </w:p>
          <w:p w14:paraId="0AC3F88F" w14:textId="12272268" w:rsidR="748606F6" w:rsidRDefault="748606F6" w:rsidP="748606F6">
            <w:pPr>
              <w:spacing w:before="60" w:after="100"/>
              <w:rPr>
                <w:rFonts w:eastAsia="Arial"/>
                <w:sz w:val="18"/>
                <w:szCs w:val="18"/>
              </w:rPr>
            </w:pPr>
            <w:r w:rsidRPr="748606F6">
              <w:rPr>
                <w:rFonts w:eastAsia="Arial"/>
                <w:sz w:val="18"/>
                <w:szCs w:val="18"/>
                <w:lang w:val="fr-FR"/>
              </w:rPr>
              <w:t>5.2. Plan de suivi et évaluation pour garantir la mise en œuvre effective de la stratégie, incluant des indicateurs clairs pour mesurer le progrès et les résultats.</w:t>
            </w:r>
          </w:p>
          <w:p w14:paraId="062181B4" w14:textId="7A35DE6F" w:rsidR="748606F6" w:rsidRDefault="748606F6" w:rsidP="748606F6">
            <w:pPr>
              <w:spacing w:before="60" w:after="100"/>
              <w:rPr>
                <w:rFonts w:eastAsia="Arial"/>
                <w:sz w:val="18"/>
                <w:szCs w:val="18"/>
              </w:rPr>
            </w:pPr>
            <w:r w:rsidRPr="748606F6">
              <w:rPr>
                <w:rFonts w:eastAsia="Arial"/>
                <w:sz w:val="18"/>
                <w:szCs w:val="18"/>
                <w:lang w:val="fr-FR"/>
              </w:rPr>
              <w:t>5.3. Version finale de la Stratégie validée par FABS, puis soumise pour approbation à l’ICCN et au Secrétaire Général du Ministère de l’Environnement et du Développement Durable.</w:t>
            </w:r>
          </w:p>
        </w:tc>
        <w:tc>
          <w:tcPr>
            <w:tcW w:w="1770" w:type="dxa"/>
            <w:tcMar>
              <w:left w:w="105" w:type="dxa"/>
              <w:right w:w="105" w:type="dxa"/>
            </w:tcMar>
          </w:tcPr>
          <w:p w14:paraId="059AE9A0" w14:textId="00667E52" w:rsidR="748606F6" w:rsidRDefault="748606F6" w:rsidP="748606F6">
            <w:pPr>
              <w:spacing w:after="100"/>
              <w:rPr>
                <w:rFonts w:eastAsia="Arial"/>
                <w:sz w:val="18"/>
                <w:szCs w:val="18"/>
              </w:rPr>
            </w:pPr>
            <w:r w:rsidRPr="748606F6">
              <w:rPr>
                <w:rFonts w:eastAsia="Arial"/>
                <w:sz w:val="18"/>
                <w:szCs w:val="18"/>
                <w:lang w:val="fr-FR"/>
              </w:rPr>
              <w:t>De la semaine 9 à semaine 12</w:t>
            </w:r>
          </w:p>
          <w:p w14:paraId="6D1B7218" w14:textId="30C41B16" w:rsidR="748606F6" w:rsidRDefault="748606F6" w:rsidP="748606F6">
            <w:pPr>
              <w:spacing w:after="100"/>
              <w:rPr>
                <w:rFonts w:eastAsia="Arial"/>
                <w:sz w:val="18"/>
                <w:szCs w:val="18"/>
              </w:rPr>
            </w:pPr>
            <w:r w:rsidRPr="748606F6">
              <w:rPr>
                <w:rFonts w:eastAsia="Arial"/>
                <w:sz w:val="18"/>
                <w:szCs w:val="18"/>
                <w:lang w:val="fr-FR"/>
              </w:rPr>
              <w:t>(4 semaines)</w:t>
            </w:r>
          </w:p>
          <w:p w14:paraId="55384215" w14:textId="0BB7A3B7" w:rsidR="748606F6" w:rsidRDefault="748606F6" w:rsidP="748606F6">
            <w:pPr>
              <w:rPr>
                <w:rFonts w:eastAsia="Arial"/>
                <w:sz w:val="18"/>
                <w:szCs w:val="18"/>
              </w:rPr>
            </w:pPr>
          </w:p>
        </w:tc>
      </w:tr>
      <w:tr w:rsidR="748606F6" w14:paraId="5B136C6E" w14:textId="77777777" w:rsidTr="748606F6">
        <w:trPr>
          <w:trHeight w:val="300"/>
        </w:trPr>
        <w:tc>
          <w:tcPr>
            <w:tcW w:w="765" w:type="dxa"/>
            <w:tcMar>
              <w:left w:w="105" w:type="dxa"/>
              <w:right w:w="105" w:type="dxa"/>
            </w:tcMar>
          </w:tcPr>
          <w:p w14:paraId="5561B780" w14:textId="3A548EB4" w:rsidR="748606F6" w:rsidRDefault="748606F6" w:rsidP="748606F6">
            <w:pPr>
              <w:jc w:val="center"/>
              <w:rPr>
                <w:rFonts w:eastAsia="Arial"/>
                <w:sz w:val="18"/>
                <w:szCs w:val="18"/>
              </w:rPr>
            </w:pPr>
            <w:r w:rsidRPr="748606F6">
              <w:rPr>
                <w:rFonts w:eastAsia="Arial"/>
                <w:sz w:val="18"/>
                <w:szCs w:val="18"/>
                <w:lang w:val="fr-FR"/>
              </w:rPr>
              <w:t>6</w:t>
            </w:r>
          </w:p>
        </w:tc>
        <w:tc>
          <w:tcPr>
            <w:tcW w:w="6795" w:type="dxa"/>
            <w:tcMar>
              <w:left w:w="105" w:type="dxa"/>
              <w:right w:w="105" w:type="dxa"/>
            </w:tcMar>
          </w:tcPr>
          <w:p w14:paraId="1A5D1D26" w14:textId="70D45660" w:rsidR="748606F6" w:rsidRDefault="748606F6" w:rsidP="748606F6">
            <w:pPr>
              <w:spacing w:after="60"/>
              <w:rPr>
                <w:rFonts w:eastAsia="Arial"/>
                <w:sz w:val="18"/>
                <w:szCs w:val="18"/>
              </w:rPr>
            </w:pPr>
            <w:r w:rsidRPr="748606F6">
              <w:rPr>
                <w:rFonts w:eastAsia="Arial"/>
                <w:sz w:val="18"/>
                <w:szCs w:val="18"/>
                <w:lang w:val="fr-FR"/>
              </w:rPr>
              <w:t xml:space="preserve">6.1. Termes de référence des </w:t>
            </w:r>
            <w:r w:rsidRPr="748606F6">
              <w:rPr>
                <w:rFonts w:eastAsia="Arial"/>
                <w:b/>
                <w:bCs/>
                <w:sz w:val="18"/>
                <w:szCs w:val="18"/>
                <w:lang w:val="fr-FR"/>
              </w:rPr>
              <w:t>Atelier 3</w:t>
            </w:r>
            <w:r w:rsidRPr="748606F6">
              <w:rPr>
                <w:rFonts w:eastAsia="Arial"/>
                <w:sz w:val="18"/>
                <w:szCs w:val="18"/>
                <w:lang w:val="fr-FR"/>
              </w:rPr>
              <w:t xml:space="preserve"> (Atelier de validation) de la stratégie de lutte contre la criminalité faunique.</w:t>
            </w:r>
          </w:p>
          <w:p w14:paraId="5E13AE8E" w14:textId="16195E00" w:rsidR="748606F6" w:rsidRDefault="748606F6" w:rsidP="748606F6">
            <w:pPr>
              <w:spacing w:after="60"/>
              <w:rPr>
                <w:rFonts w:eastAsia="Arial"/>
                <w:sz w:val="18"/>
                <w:szCs w:val="18"/>
              </w:rPr>
            </w:pPr>
            <w:r w:rsidRPr="748606F6">
              <w:rPr>
                <w:rFonts w:eastAsia="Arial"/>
                <w:sz w:val="18"/>
                <w:szCs w:val="18"/>
                <w:lang w:val="fr-FR"/>
              </w:rPr>
              <w:t>6.2. Termes de référence de l’</w:t>
            </w:r>
            <w:r w:rsidRPr="748606F6">
              <w:rPr>
                <w:rFonts w:eastAsia="Arial"/>
                <w:b/>
                <w:bCs/>
                <w:sz w:val="18"/>
                <w:szCs w:val="18"/>
                <w:lang w:val="fr-FR"/>
              </w:rPr>
              <w:t>Atelier 4</w:t>
            </w:r>
            <w:r w:rsidRPr="748606F6">
              <w:rPr>
                <w:rFonts w:eastAsia="Arial"/>
                <w:sz w:val="18"/>
                <w:szCs w:val="18"/>
                <w:lang w:val="fr-FR"/>
              </w:rPr>
              <w:t xml:space="preserve"> (Lancement public) de la stratégie de lutte contre la criminalité faunique.  </w:t>
            </w:r>
          </w:p>
          <w:p w14:paraId="064A5760" w14:textId="7707AFBD" w:rsidR="748606F6" w:rsidRDefault="748606F6" w:rsidP="748606F6">
            <w:pPr>
              <w:spacing w:after="60"/>
              <w:rPr>
                <w:rFonts w:eastAsia="Arial"/>
                <w:sz w:val="18"/>
                <w:szCs w:val="18"/>
              </w:rPr>
            </w:pPr>
            <w:r w:rsidRPr="748606F6">
              <w:rPr>
                <w:rFonts w:eastAsia="Arial"/>
                <w:sz w:val="18"/>
                <w:szCs w:val="18"/>
                <w:lang w:val="fr-FR"/>
              </w:rPr>
              <w:t xml:space="preserve">6.3. Supports de communication : Il inclura un article de presse au format </w:t>
            </w:r>
            <w:r w:rsidRPr="748606F6">
              <w:rPr>
                <w:rFonts w:eastAsia="Arial"/>
                <w:i/>
                <w:iCs/>
                <w:sz w:val="18"/>
                <w:szCs w:val="18"/>
                <w:lang w:val="fr-FR"/>
              </w:rPr>
              <w:t>blog</w:t>
            </w:r>
            <w:r w:rsidRPr="748606F6">
              <w:rPr>
                <w:rFonts w:eastAsia="Arial"/>
                <w:sz w:val="18"/>
                <w:szCs w:val="18"/>
                <w:lang w:val="fr-FR"/>
              </w:rPr>
              <w:t xml:space="preserve"> et une </w:t>
            </w:r>
            <w:proofErr w:type="spellStart"/>
            <w:r w:rsidRPr="748606F6">
              <w:rPr>
                <w:rFonts w:eastAsia="Arial"/>
                <w:i/>
                <w:iCs/>
                <w:sz w:val="18"/>
                <w:szCs w:val="18"/>
                <w:lang w:val="fr-FR"/>
              </w:rPr>
              <w:t>factsheet</w:t>
            </w:r>
            <w:proofErr w:type="spellEnd"/>
            <w:r w:rsidRPr="748606F6">
              <w:rPr>
                <w:rFonts w:eastAsia="Arial"/>
                <w:sz w:val="18"/>
                <w:szCs w:val="18"/>
                <w:lang w:val="fr-FR"/>
              </w:rPr>
              <w:t xml:space="preserve"> illustrée pour présenter la stratégie de lutte contre la criminalité faunique.</w:t>
            </w:r>
          </w:p>
        </w:tc>
        <w:tc>
          <w:tcPr>
            <w:tcW w:w="1770" w:type="dxa"/>
            <w:tcMar>
              <w:left w:w="105" w:type="dxa"/>
              <w:right w:w="105" w:type="dxa"/>
            </w:tcMar>
          </w:tcPr>
          <w:p w14:paraId="6929C950" w14:textId="35535738" w:rsidR="748606F6" w:rsidRDefault="748606F6" w:rsidP="748606F6">
            <w:pPr>
              <w:spacing w:after="100" w:line="259" w:lineRule="auto"/>
              <w:rPr>
                <w:rFonts w:eastAsia="Arial"/>
                <w:sz w:val="18"/>
                <w:szCs w:val="18"/>
              </w:rPr>
            </w:pPr>
            <w:r w:rsidRPr="748606F6">
              <w:rPr>
                <w:rFonts w:eastAsia="Arial"/>
                <w:sz w:val="18"/>
                <w:szCs w:val="18"/>
                <w:lang w:val="fr-FR"/>
              </w:rPr>
              <w:t xml:space="preserve">De la semaine 13 à semaine 15 </w:t>
            </w:r>
          </w:p>
          <w:p w14:paraId="16B26216" w14:textId="32A43713" w:rsidR="748606F6" w:rsidRDefault="748606F6" w:rsidP="748606F6">
            <w:pPr>
              <w:spacing w:after="100" w:line="259" w:lineRule="auto"/>
              <w:rPr>
                <w:rFonts w:eastAsia="Arial"/>
                <w:sz w:val="18"/>
                <w:szCs w:val="18"/>
              </w:rPr>
            </w:pPr>
            <w:r w:rsidRPr="748606F6">
              <w:rPr>
                <w:rFonts w:eastAsia="Arial"/>
                <w:sz w:val="18"/>
                <w:szCs w:val="18"/>
                <w:lang w:val="fr-FR"/>
              </w:rPr>
              <w:t>(3 semaines)</w:t>
            </w:r>
          </w:p>
        </w:tc>
      </w:tr>
      <w:tr w:rsidR="748606F6" w14:paraId="474F1BCC" w14:textId="77777777" w:rsidTr="748606F6">
        <w:trPr>
          <w:trHeight w:val="300"/>
        </w:trPr>
        <w:tc>
          <w:tcPr>
            <w:tcW w:w="765" w:type="dxa"/>
            <w:tcMar>
              <w:left w:w="105" w:type="dxa"/>
              <w:right w:w="105" w:type="dxa"/>
            </w:tcMar>
          </w:tcPr>
          <w:p w14:paraId="23393B7A" w14:textId="0A043ED9" w:rsidR="748606F6" w:rsidRDefault="748606F6" w:rsidP="748606F6">
            <w:pPr>
              <w:jc w:val="center"/>
              <w:rPr>
                <w:rFonts w:eastAsia="Arial"/>
                <w:sz w:val="18"/>
                <w:szCs w:val="18"/>
              </w:rPr>
            </w:pPr>
            <w:r w:rsidRPr="748606F6">
              <w:rPr>
                <w:rFonts w:eastAsia="Arial"/>
                <w:sz w:val="18"/>
                <w:szCs w:val="18"/>
                <w:lang w:val="fr-FR"/>
              </w:rPr>
              <w:t>7</w:t>
            </w:r>
          </w:p>
        </w:tc>
        <w:tc>
          <w:tcPr>
            <w:tcW w:w="6795" w:type="dxa"/>
            <w:tcMar>
              <w:left w:w="105" w:type="dxa"/>
              <w:right w:w="105" w:type="dxa"/>
            </w:tcMar>
          </w:tcPr>
          <w:p w14:paraId="0EA4C2D1" w14:textId="1542A85A" w:rsidR="748606F6" w:rsidRDefault="748606F6" w:rsidP="748606F6">
            <w:pPr>
              <w:spacing w:after="100"/>
              <w:rPr>
                <w:rFonts w:eastAsia="Arial"/>
                <w:sz w:val="18"/>
                <w:szCs w:val="18"/>
              </w:rPr>
            </w:pPr>
            <w:r w:rsidRPr="748606F6">
              <w:rPr>
                <w:rFonts w:eastAsia="Arial"/>
                <w:sz w:val="18"/>
                <w:szCs w:val="18"/>
                <w:lang w:val="fr-FR"/>
              </w:rPr>
              <w:t>7.1. Rapport de l’</w:t>
            </w:r>
            <w:r w:rsidRPr="748606F6">
              <w:rPr>
                <w:rFonts w:eastAsia="Arial"/>
                <w:b/>
                <w:bCs/>
                <w:sz w:val="18"/>
                <w:szCs w:val="18"/>
                <w:lang w:val="fr-FR"/>
              </w:rPr>
              <w:t xml:space="preserve">Atelier 3 </w:t>
            </w:r>
            <w:r w:rsidRPr="748606F6">
              <w:rPr>
                <w:rFonts w:eastAsia="Arial"/>
                <w:sz w:val="18"/>
                <w:szCs w:val="18"/>
                <w:lang w:val="fr-FR"/>
              </w:rPr>
              <w:t xml:space="preserve">(avec base des données photographique et liste de présence des participants). </w:t>
            </w:r>
          </w:p>
          <w:p w14:paraId="0753E070" w14:textId="2125B0AC" w:rsidR="748606F6" w:rsidRDefault="748606F6" w:rsidP="748606F6">
            <w:pPr>
              <w:spacing w:after="100"/>
              <w:rPr>
                <w:rFonts w:eastAsia="Arial"/>
                <w:sz w:val="18"/>
                <w:szCs w:val="18"/>
              </w:rPr>
            </w:pPr>
            <w:r w:rsidRPr="748606F6">
              <w:rPr>
                <w:rFonts w:eastAsia="Arial"/>
                <w:sz w:val="18"/>
                <w:szCs w:val="18"/>
                <w:lang w:val="fr-FR"/>
              </w:rPr>
              <w:t>7.2. Rapport de l’</w:t>
            </w:r>
            <w:r w:rsidRPr="748606F6">
              <w:rPr>
                <w:rFonts w:eastAsia="Arial"/>
                <w:b/>
                <w:bCs/>
                <w:sz w:val="18"/>
                <w:szCs w:val="18"/>
                <w:lang w:val="fr-FR"/>
              </w:rPr>
              <w:t>Atelier 4</w:t>
            </w:r>
            <w:r w:rsidRPr="748606F6">
              <w:rPr>
                <w:rFonts w:eastAsia="Arial"/>
                <w:sz w:val="18"/>
                <w:szCs w:val="18"/>
                <w:lang w:val="fr-FR"/>
              </w:rPr>
              <w:t xml:space="preserve"> : Ce rapport inclura des données photographiques, la liste de présence des participants et un projet de communiqué de presse.</w:t>
            </w:r>
          </w:p>
          <w:p w14:paraId="2B58F5C8" w14:textId="19138A6D" w:rsidR="748606F6" w:rsidRDefault="748606F6" w:rsidP="748606F6">
            <w:pPr>
              <w:rPr>
                <w:rFonts w:eastAsia="Arial"/>
                <w:sz w:val="18"/>
                <w:szCs w:val="18"/>
              </w:rPr>
            </w:pPr>
          </w:p>
        </w:tc>
        <w:tc>
          <w:tcPr>
            <w:tcW w:w="1770" w:type="dxa"/>
            <w:tcMar>
              <w:left w:w="105" w:type="dxa"/>
              <w:right w:w="105" w:type="dxa"/>
            </w:tcMar>
          </w:tcPr>
          <w:p w14:paraId="2A16AFAE" w14:textId="1AF85D15" w:rsidR="748606F6" w:rsidRDefault="748606F6" w:rsidP="748606F6">
            <w:pPr>
              <w:spacing w:after="100" w:line="259" w:lineRule="auto"/>
              <w:rPr>
                <w:rFonts w:eastAsia="Arial"/>
                <w:sz w:val="18"/>
                <w:szCs w:val="18"/>
              </w:rPr>
            </w:pPr>
            <w:r w:rsidRPr="748606F6">
              <w:rPr>
                <w:rFonts w:eastAsia="Arial"/>
                <w:sz w:val="18"/>
                <w:szCs w:val="18"/>
                <w:lang w:val="fr-FR"/>
              </w:rPr>
              <w:t xml:space="preserve">De la semaine 16 à semaine 17 </w:t>
            </w:r>
          </w:p>
          <w:p w14:paraId="38137BC4" w14:textId="72A9316D" w:rsidR="748606F6" w:rsidRDefault="748606F6" w:rsidP="748606F6">
            <w:pPr>
              <w:spacing w:after="100" w:line="259" w:lineRule="auto"/>
              <w:rPr>
                <w:rFonts w:eastAsia="Arial"/>
                <w:sz w:val="18"/>
                <w:szCs w:val="18"/>
              </w:rPr>
            </w:pPr>
            <w:r w:rsidRPr="748606F6">
              <w:rPr>
                <w:rFonts w:eastAsia="Arial"/>
                <w:sz w:val="18"/>
                <w:szCs w:val="18"/>
                <w:lang w:val="fr-FR"/>
              </w:rPr>
              <w:t>(2 semaines)</w:t>
            </w:r>
          </w:p>
          <w:p w14:paraId="2DEB34EC" w14:textId="187412D8" w:rsidR="748606F6" w:rsidRDefault="748606F6" w:rsidP="748606F6">
            <w:pPr>
              <w:spacing w:line="259" w:lineRule="auto"/>
              <w:rPr>
                <w:rFonts w:eastAsia="Arial"/>
                <w:sz w:val="18"/>
                <w:szCs w:val="18"/>
              </w:rPr>
            </w:pPr>
          </w:p>
        </w:tc>
      </w:tr>
    </w:tbl>
    <w:p w14:paraId="19588DC0" w14:textId="41764D06" w:rsidR="00F34AA9" w:rsidRPr="001C05D8" w:rsidRDefault="00F34AA9" w:rsidP="748606F6">
      <w:pPr>
        <w:spacing w:after="0"/>
        <w:jc w:val="both"/>
        <w:rPr>
          <w:rFonts w:eastAsia="Arial"/>
          <w:color w:val="000000" w:themeColor="text1"/>
          <w:sz w:val="17"/>
          <w:szCs w:val="17"/>
          <w:lang w:val="fr"/>
        </w:rPr>
      </w:pPr>
    </w:p>
    <w:p w14:paraId="3FC89FC2" w14:textId="71ED2E3B" w:rsidR="00F34AA9" w:rsidRPr="001C05D8" w:rsidRDefault="00F34AA9" w:rsidP="748606F6">
      <w:pPr>
        <w:spacing w:after="0"/>
        <w:jc w:val="both"/>
        <w:rPr>
          <w:rFonts w:eastAsia="Arial"/>
          <w:lang w:val="fr"/>
        </w:rPr>
      </w:pPr>
    </w:p>
    <w:p w14:paraId="3D43248A" w14:textId="0223A5CA" w:rsidR="00F34AA9" w:rsidRPr="001C05D8" w:rsidRDefault="495F687C" w:rsidP="00F34AA9">
      <w:pPr>
        <w:pStyle w:val="Titre2"/>
        <w:rPr>
          <w:lang w:val="fr-FR"/>
        </w:rPr>
      </w:pPr>
      <w:r w:rsidRPr="495F687C">
        <w:rPr>
          <w:lang w:val="fr-FR"/>
        </w:rPr>
        <w:t xml:space="preserve"> </w:t>
      </w:r>
      <w:r w:rsidR="00F34AA9" w:rsidRPr="495F687C">
        <w:rPr>
          <w:lang w:val="fr-FR"/>
        </w:rPr>
        <w:br w:type="page"/>
      </w:r>
      <w:r w:rsidRPr="495F687C">
        <w:rPr>
          <w:lang w:val="fr-FR"/>
        </w:rPr>
        <w:lastRenderedPageBreak/>
        <w:t>L'annexe (B)</w:t>
      </w:r>
    </w:p>
    <w:p w14:paraId="53DD8C63" w14:textId="77777777" w:rsidR="00F34AA9" w:rsidRPr="001E7D0F" w:rsidRDefault="00F34AA9" w:rsidP="00F34AA9">
      <w:pPr>
        <w:spacing w:after="0"/>
        <w:rPr>
          <w:b/>
        </w:rPr>
      </w:pPr>
      <w:r w:rsidRPr="001E7D0F">
        <w:rPr>
          <w:b/>
        </w:rPr>
        <w:t xml:space="preserve">Le budget </w:t>
      </w:r>
    </w:p>
    <w:p w14:paraId="755F8C07" w14:textId="7C18D724" w:rsidR="00F34AA9" w:rsidRPr="001E7D0F" w:rsidRDefault="00F34AA9" w:rsidP="56D7C112">
      <w:pPr>
        <w:spacing w:after="0"/>
        <w:rPr>
          <w:b/>
          <w:bCs/>
          <w:color w:val="FF0000"/>
          <w:highlight w:val="lightGray"/>
        </w:rPr>
      </w:pPr>
    </w:p>
    <w:p w14:paraId="6D8BCF1E" w14:textId="77777777" w:rsidR="00F34AA9" w:rsidRPr="001E7D0F" w:rsidRDefault="00F34AA9" w:rsidP="00F34AA9">
      <w:pPr>
        <w:spacing w:after="0"/>
        <w:rPr>
          <w:b/>
        </w:rPr>
      </w:pPr>
      <w:r w:rsidRPr="001E7D0F">
        <w:rPr>
          <w:b/>
          <w:lang w:val="fr-CA"/>
        </w:rPr>
        <w:t>A inclure comme feuille de calcul Excel</w:t>
      </w:r>
    </w:p>
    <w:p w14:paraId="2795A55D" w14:textId="77777777" w:rsidR="00F34AA9" w:rsidRPr="001E7D0F" w:rsidRDefault="00F34AA9" w:rsidP="00F34AA9">
      <w:pPr>
        <w:spacing w:after="0"/>
        <w:rPr>
          <w:b/>
        </w:rPr>
      </w:pPr>
    </w:p>
    <w:tbl>
      <w:tblPr>
        <w:tblW w:w="10409" w:type="dxa"/>
        <w:tblInd w:w="93" w:type="dxa"/>
        <w:tblLook w:val="04A0" w:firstRow="1" w:lastRow="0" w:firstColumn="1" w:lastColumn="0" w:noHBand="0" w:noVBand="1"/>
      </w:tblPr>
      <w:tblGrid>
        <w:gridCol w:w="4120"/>
        <w:gridCol w:w="1600"/>
        <w:gridCol w:w="1340"/>
        <w:gridCol w:w="637"/>
        <w:gridCol w:w="540"/>
        <w:gridCol w:w="332"/>
        <w:gridCol w:w="1840"/>
      </w:tblGrid>
      <w:tr w:rsidR="00F34AA9" w:rsidRPr="001E7D0F" w14:paraId="7647356E" w14:textId="77777777" w:rsidTr="35CFDBE7">
        <w:trPr>
          <w:trHeight w:val="255"/>
        </w:trPr>
        <w:tc>
          <w:tcPr>
            <w:tcW w:w="4120" w:type="dxa"/>
            <w:tcBorders>
              <w:top w:val="single" w:sz="8" w:space="0" w:color="auto"/>
              <w:left w:val="single" w:sz="8" w:space="0" w:color="auto"/>
              <w:bottom w:val="nil"/>
              <w:right w:val="nil"/>
            </w:tcBorders>
            <w:shd w:val="clear" w:color="auto" w:fill="auto"/>
            <w:noWrap/>
            <w:vAlign w:val="bottom"/>
            <w:hideMark/>
          </w:tcPr>
          <w:p w14:paraId="32F5B72E"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single" w:sz="8" w:space="0" w:color="auto"/>
              <w:left w:val="nil"/>
              <w:bottom w:val="nil"/>
              <w:right w:val="nil"/>
            </w:tcBorders>
            <w:shd w:val="clear" w:color="auto" w:fill="auto"/>
            <w:noWrap/>
            <w:vAlign w:val="bottom"/>
            <w:hideMark/>
          </w:tcPr>
          <w:p w14:paraId="178123C0" w14:textId="77777777" w:rsidR="00F34AA9" w:rsidRPr="001E7D0F" w:rsidRDefault="00F34AA9" w:rsidP="00AA5DF1">
            <w:pPr>
              <w:spacing w:after="0"/>
              <w:rPr>
                <w:rFonts w:eastAsia="Times New Roman"/>
              </w:rPr>
            </w:pPr>
            <w:r w:rsidRPr="001E7D0F">
              <w:rPr>
                <w:rFonts w:eastAsia="Times New Roman"/>
              </w:rPr>
              <w:t> </w:t>
            </w:r>
          </w:p>
        </w:tc>
        <w:tc>
          <w:tcPr>
            <w:tcW w:w="1340" w:type="dxa"/>
            <w:tcBorders>
              <w:top w:val="single" w:sz="8" w:space="0" w:color="auto"/>
              <w:left w:val="nil"/>
              <w:bottom w:val="nil"/>
              <w:right w:val="nil"/>
            </w:tcBorders>
            <w:shd w:val="clear" w:color="auto" w:fill="auto"/>
            <w:noWrap/>
            <w:vAlign w:val="bottom"/>
            <w:hideMark/>
          </w:tcPr>
          <w:p w14:paraId="50452D87" w14:textId="77777777" w:rsidR="00F34AA9" w:rsidRPr="001E7D0F" w:rsidRDefault="00F34AA9" w:rsidP="00AA5DF1">
            <w:pPr>
              <w:spacing w:after="0"/>
              <w:rPr>
                <w:rFonts w:eastAsia="Times New Roman"/>
              </w:rPr>
            </w:pPr>
            <w:r w:rsidRPr="001E7D0F">
              <w:rPr>
                <w:rFonts w:eastAsia="Times New Roman"/>
              </w:rPr>
              <w:t> </w:t>
            </w:r>
          </w:p>
        </w:tc>
        <w:tc>
          <w:tcPr>
            <w:tcW w:w="1509" w:type="dxa"/>
            <w:gridSpan w:val="3"/>
            <w:tcBorders>
              <w:top w:val="single" w:sz="8" w:space="0" w:color="auto"/>
              <w:left w:val="nil"/>
              <w:bottom w:val="nil"/>
              <w:right w:val="nil"/>
            </w:tcBorders>
            <w:shd w:val="clear" w:color="auto" w:fill="auto"/>
            <w:noWrap/>
            <w:vAlign w:val="bottom"/>
            <w:hideMark/>
          </w:tcPr>
          <w:p w14:paraId="08F07767" w14:textId="77777777" w:rsidR="00F34AA9" w:rsidRPr="001E7D0F" w:rsidRDefault="00F34AA9" w:rsidP="00AA5DF1">
            <w:pPr>
              <w:spacing w:after="0"/>
              <w:rPr>
                <w:rFonts w:eastAsia="Times New Roman"/>
              </w:rPr>
            </w:pPr>
            <w:r w:rsidRPr="001E7D0F">
              <w:rPr>
                <w:rFonts w:eastAsia="Times New Roman"/>
              </w:rPr>
              <w:t> </w:t>
            </w:r>
          </w:p>
        </w:tc>
        <w:tc>
          <w:tcPr>
            <w:tcW w:w="1840" w:type="dxa"/>
            <w:tcBorders>
              <w:top w:val="single" w:sz="8" w:space="0" w:color="auto"/>
              <w:left w:val="nil"/>
              <w:bottom w:val="nil"/>
              <w:right w:val="single" w:sz="8" w:space="0" w:color="auto"/>
            </w:tcBorders>
            <w:shd w:val="clear" w:color="auto" w:fill="auto"/>
            <w:noWrap/>
            <w:vAlign w:val="bottom"/>
            <w:hideMark/>
          </w:tcPr>
          <w:p w14:paraId="0C21585A" w14:textId="77777777" w:rsidR="00F34AA9" w:rsidRPr="001E7D0F" w:rsidRDefault="00F34AA9" w:rsidP="00AA5DF1">
            <w:pPr>
              <w:spacing w:after="0"/>
              <w:rPr>
                <w:rFonts w:eastAsia="Times New Roman"/>
              </w:rPr>
            </w:pPr>
            <w:r w:rsidRPr="001E7D0F">
              <w:rPr>
                <w:rFonts w:eastAsia="Times New Roman"/>
              </w:rPr>
              <w:t> </w:t>
            </w:r>
          </w:p>
        </w:tc>
      </w:tr>
      <w:tr w:rsidR="00F34AA9" w:rsidRPr="001E7D0F" w14:paraId="4FDECA24" w14:textId="77777777" w:rsidTr="35CFDBE7">
        <w:trPr>
          <w:trHeight w:val="20"/>
        </w:trPr>
        <w:tc>
          <w:tcPr>
            <w:tcW w:w="10409" w:type="dxa"/>
            <w:gridSpan w:val="7"/>
            <w:tcBorders>
              <w:top w:val="nil"/>
              <w:left w:val="single" w:sz="8" w:space="0" w:color="auto"/>
              <w:bottom w:val="nil"/>
              <w:right w:val="single" w:sz="8" w:space="0" w:color="000000" w:themeColor="text1"/>
            </w:tcBorders>
            <w:shd w:val="clear" w:color="auto" w:fill="auto"/>
            <w:noWrap/>
            <w:vAlign w:val="bottom"/>
            <w:hideMark/>
          </w:tcPr>
          <w:p w14:paraId="24D9BAC4" w14:textId="77777777" w:rsidR="00F34AA9" w:rsidRPr="001E7D0F" w:rsidRDefault="00F34AA9" w:rsidP="00AA5DF1">
            <w:pPr>
              <w:spacing w:after="0"/>
              <w:rPr>
                <w:rFonts w:eastAsia="Times New Roman"/>
                <w:b/>
                <w:bCs/>
              </w:rPr>
            </w:pPr>
          </w:p>
        </w:tc>
      </w:tr>
      <w:tr w:rsidR="00F34AA9" w:rsidRPr="001E7D0F" w14:paraId="109120D3" w14:textId="77777777" w:rsidTr="35CFDBE7">
        <w:trPr>
          <w:trHeight w:val="360"/>
        </w:trPr>
        <w:tc>
          <w:tcPr>
            <w:tcW w:w="10409" w:type="dxa"/>
            <w:gridSpan w:val="7"/>
            <w:tcBorders>
              <w:top w:val="nil"/>
              <w:left w:val="single" w:sz="8" w:space="0" w:color="auto"/>
              <w:bottom w:val="nil"/>
              <w:right w:val="single" w:sz="8" w:space="0" w:color="000000" w:themeColor="text1"/>
            </w:tcBorders>
            <w:shd w:val="clear" w:color="auto" w:fill="auto"/>
            <w:noWrap/>
            <w:vAlign w:val="bottom"/>
            <w:hideMark/>
          </w:tcPr>
          <w:p w14:paraId="30FDB839" w14:textId="77777777" w:rsidR="00F34AA9" w:rsidRPr="001E7D0F" w:rsidRDefault="00F34AA9" w:rsidP="00AA5DF1">
            <w:pPr>
              <w:spacing w:after="0"/>
              <w:rPr>
                <w:rFonts w:eastAsia="Times New Roman"/>
                <w:b/>
                <w:bCs/>
              </w:rPr>
            </w:pPr>
            <w:r w:rsidRPr="001E7D0F">
              <w:rPr>
                <w:rFonts w:eastAsia="Times New Roman"/>
                <w:b/>
                <w:bCs/>
                <w:lang w:val="fr-CA"/>
              </w:rPr>
              <w:t>BUDGET</w:t>
            </w:r>
          </w:p>
        </w:tc>
      </w:tr>
      <w:tr w:rsidR="00F34AA9" w:rsidRPr="001E7D0F" w14:paraId="6BF1F8C4" w14:textId="77777777" w:rsidTr="35CFDBE7">
        <w:trPr>
          <w:trHeight w:val="270"/>
        </w:trPr>
        <w:tc>
          <w:tcPr>
            <w:tcW w:w="4120" w:type="dxa"/>
            <w:tcBorders>
              <w:top w:val="nil"/>
              <w:left w:val="single" w:sz="8" w:space="0" w:color="auto"/>
              <w:bottom w:val="nil"/>
              <w:right w:val="nil"/>
            </w:tcBorders>
            <w:shd w:val="clear" w:color="auto" w:fill="auto"/>
            <w:noWrap/>
            <w:vAlign w:val="bottom"/>
            <w:hideMark/>
          </w:tcPr>
          <w:p w14:paraId="2AA50862"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nil"/>
            </w:tcBorders>
            <w:shd w:val="clear" w:color="auto" w:fill="auto"/>
            <w:noWrap/>
            <w:vAlign w:val="bottom"/>
            <w:hideMark/>
          </w:tcPr>
          <w:p w14:paraId="183F6741" w14:textId="77777777" w:rsidR="00F34AA9" w:rsidRPr="001E7D0F" w:rsidRDefault="00F34AA9" w:rsidP="00AA5DF1">
            <w:pPr>
              <w:spacing w:after="0"/>
              <w:rPr>
                <w:rFonts w:eastAsia="Times New Roman"/>
              </w:rPr>
            </w:pPr>
          </w:p>
        </w:tc>
        <w:tc>
          <w:tcPr>
            <w:tcW w:w="1340" w:type="dxa"/>
            <w:tcBorders>
              <w:top w:val="nil"/>
              <w:left w:val="nil"/>
              <w:bottom w:val="nil"/>
              <w:right w:val="nil"/>
            </w:tcBorders>
            <w:shd w:val="clear" w:color="auto" w:fill="auto"/>
            <w:noWrap/>
            <w:vAlign w:val="bottom"/>
            <w:hideMark/>
          </w:tcPr>
          <w:p w14:paraId="5368DF4F" w14:textId="77777777" w:rsidR="00F34AA9" w:rsidRPr="001E7D0F" w:rsidRDefault="00F34AA9" w:rsidP="00AA5DF1">
            <w:pPr>
              <w:spacing w:after="0"/>
              <w:rPr>
                <w:rFonts w:eastAsia="Times New Roman"/>
              </w:rPr>
            </w:pPr>
          </w:p>
        </w:tc>
        <w:tc>
          <w:tcPr>
            <w:tcW w:w="1509" w:type="dxa"/>
            <w:gridSpan w:val="3"/>
            <w:tcBorders>
              <w:top w:val="nil"/>
              <w:left w:val="nil"/>
              <w:bottom w:val="nil"/>
              <w:right w:val="nil"/>
            </w:tcBorders>
            <w:shd w:val="clear" w:color="auto" w:fill="auto"/>
            <w:noWrap/>
            <w:vAlign w:val="bottom"/>
            <w:hideMark/>
          </w:tcPr>
          <w:p w14:paraId="794BCA77"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6BA31F3B" w14:textId="77777777" w:rsidR="00F34AA9" w:rsidRPr="001E7D0F" w:rsidRDefault="00F34AA9" w:rsidP="00AA5DF1">
            <w:pPr>
              <w:spacing w:after="0"/>
              <w:rPr>
                <w:rFonts w:eastAsia="Times New Roman"/>
              </w:rPr>
            </w:pPr>
            <w:r w:rsidRPr="001E7D0F">
              <w:rPr>
                <w:rFonts w:eastAsia="Times New Roman"/>
              </w:rPr>
              <w:t> </w:t>
            </w:r>
          </w:p>
        </w:tc>
      </w:tr>
      <w:tr w:rsidR="00F34AA9" w:rsidRPr="001E7D0F" w14:paraId="552A1A14" w14:textId="77777777" w:rsidTr="35CFDBE7">
        <w:trPr>
          <w:trHeight w:val="255"/>
        </w:trPr>
        <w:tc>
          <w:tcPr>
            <w:tcW w:w="4120" w:type="dxa"/>
            <w:tcBorders>
              <w:top w:val="single" w:sz="8" w:space="0" w:color="auto"/>
              <w:left w:val="single" w:sz="8" w:space="0" w:color="auto"/>
              <w:bottom w:val="single" w:sz="4" w:space="0" w:color="auto"/>
              <w:right w:val="nil"/>
            </w:tcBorders>
            <w:shd w:val="clear" w:color="auto" w:fill="auto"/>
            <w:noWrap/>
            <w:vAlign w:val="bottom"/>
            <w:hideMark/>
          </w:tcPr>
          <w:p w14:paraId="3CE16B6B" w14:textId="77777777" w:rsidR="00F34AA9" w:rsidRPr="001E7D0F" w:rsidRDefault="00F34AA9" w:rsidP="00AA5DF1">
            <w:pPr>
              <w:spacing w:after="0"/>
              <w:rPr>
                <w:rFonts w:eastAsia="Times New Roman"/>
                <w:b/>
                <w:bCs/>
                <w:color w:val="0000FF"/>
              </w:rPr>
            </w:pPr>
            <w:r w:rsidRPr="001E7D0F">
              <w:rPr>
                <w:rFonts w:eastAsia="Times New Roman"/>
                <w:b/>
                <w:bCs/>
                <w:color w:val="0000FF"/>
                <w:lang w:val="fr-CA"/>
              </w:rPr>
              <w:t>MAIN D’OEUVRE DIRECTE</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2EE2B739" w14:textId="77777777" w:rsidR="00F34AA9" w:rsidRPr="001E7D0F" w:rsidRDefault="00F34AA9" w:rsidP="00AA5DF1">
            <w:pPr>
              <w:spacing w:after="0"/>
              <w:rPr>
                <w:rFonts w:eastAsia="Times New Roman"/>
              </w:rPr>
            </w:pPr>
            <w:r w:rsidRPr="001E7D0F">
              <w:rPr>
                <w:rFonts w:eastAsia="Times New Roman"/>
              </w:rPr>
              <w:t> </w:t>
            </w:r>
          </w:p>
        </w:tc>
        <w:tc>
          <w:tcPr>
            <w:tcW w:w="4689" w:type="dxa"/>
            <w:gridSpan w:val="5"/>
            <w:tcBorders>
              <w:top w:val="single" w:sz="8" w:space="0" w:color="auto"/>
              <w:left w:val="nil"/>
              <w:bottom w:val="single" w:sz="4" w:space="0" w:color="auto"/>
              <w:right w:val="single" w:sz="8" w:space="0" w:color="000000" w:themeColor="text1"/>
            </w:tcBorders>
            <w:shd w:val="clear" w:color="auto" w:fill="auto"/>
            <w:noWrap/>
            <w:vAlign w:val="bottom"/>
            <w:hideMark/>
          </w:tcPr>
          <w:p w14:paraId="4A9BC6E5" w14:textId="77777777" w:rsidR="00F34AA9" w:rsidRPr="001E7D0F" w:rsidRDefault="00F34AA9" w:rsidP="00AA5DF1">
            <w:pPr>
              <w:spacing w:after="0"/>
              <w:rPr>
                <w:rFonts w:eastAsia="Times New Roman"/>
                <w:b/>
                <w:bCs/>
              </w:rPr>
            </w:pPr>
            <w:r w:rsidRPr="001E7D0F">
              <w:rPr>
                <w:rFonts w:eastAsia="Times New Roman"/>
                <w:b/>
                <w:bCs/>
              </w:rPr>
              <w:t xml:space="preserve"> </w:t>
            </w:r>
          </w:p>
        </w:tc>
      </w:tr>
      <w:tr w:rsidR="00F34AA9" w:rsidRPr="001E7D0F" w14:paraId="4D907C30"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4B3757C4"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252EE6A0"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13525B99"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5990BD65" w14:textId="77777777" w:rsidR="00F34AA9" w:rsidRPr="001E7D0F" w:rsidRDefault="00F34AA9" w:rsidP="00AA5DF1">
            <w:pPr>
              <w:spacing w:after="0"/>
              <w:rPr>
                <w:rFonts w:eastAsia="Times New Roman"/>
              </w:rPr>
            </w:pPr>
            <w:r w:rsidRPr="001E7D0F">
              <w:rPr>
                <w:rFonts w:eastAsia="Times New Roman"/>
                <w:lang w:val="fr-CA"/>
              </w:rPr>
              <w:t xml:space="preserve">     # Jours</w:t>
            </w:r>
          </w:p>
        </w:tc>
        <w:tc>
          <w:tcPr>
            <w:tcW w:w="1840" w:type="dxa"/>
            <w:tcBorders>
              <w:top w:val="nil"/>
              <w:left w:val="nil"/>
              <w:bottom w:val="nil"/>
              <w:right w:val="single" w:sz="8" w:space="0" w:color="auto"/>
            </w:tcBorders>
            <w:shd w:val="clear" w:color="auto" w:fill="auto"/>
            <w:noWrap/>
            <w:vAlign w:val="bottom"/>
            <w:hideMark/>
          </w:tcPr>
          <w:p w14:paraId="20BEAA1A" w14:textId="77777777" w:rsidR="00F34AA9" w:rsidRPr="001E7D0F" w:rsidRDefault="00F34AA9" w:rsidP="00AA5DF1">
            <w:pPr>
              <w:spacing w:after="0"/>
              <w:rPr>
                <w:rFonts w:eastAsia="Times New Roman"/>
              </w:rPr>
            </w:pPr>
            <w:r w:rsidRPr="001E7D0F">
              <w:rPr>
                <w:rFonts w:eastAsia="Times New Roman"/>
              </w:rPr>
              <w:t> </w:t>
            </w:r>
          </w:p>
        </w:tc>
      </w:tr>
      <w:tr w:rsidR="00F34AA9" w:rsidRPr="001E7D0F" w14:paraId="4D64EE05"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3AF927FC" w14:textId="77777777" w:rsidR="00F34AA9" w:rsidRPr="001E7D0F" w:rsidRDefault="00F34AA9" w:rsidP="00AA5DF1">
            <w:pPr>
              <w:spacing w:after="0"/>
              <w:rPr>
                <w:rFonts w:eastAsia="Times New Roman"/>
              </w:rPr>
            </w:pPr>
            <w:r w:rsidRPr="001E7D0F">
              <w:rPr>
                <w:rFonts w:eastAsia="Times New Roman"/>
                <w:lang w:val="fr-CA"/>
              </w:rPr>
              <w:t>Poste</w:t>
            </w:r>
          </w:p>
        </w:tc>
        <w:tc>
          <w:tcPr>
            <w:tcW w:w="1600" w:type="dxa"/>
            <w:tcBorders>
              <w:top w:val="nil"/>
              <w:left w:val="nil"/>
              <w:bottom w:val="single" w:sz="4" w:space="0" w:color="auto"/>
              <w:right w:val="single" w:sz="8" w:space="0" w:color="auto"/>
            </w:tcBorders>
            <w:shd w:val="clear" w:color="auto" w:fill="auto"/>
            <w:noWrap/>
            <w:vAlign w:val="bottom"/>
            <w:hideMark/>
          </w:tcPr>
          <w:p w14:paraId="037FD3A1" w14:textId="77777777" w:rsidR="00F34AA9" w:rsidRPr="001E7D0F" w:rsidRDefault="00F34AA9" w:rsidP="00AA5DF1">
            <w:pPr>
              <w:spacing w:after="0"/>
              <w:rPr>
                <w:rFonts w:eastAsia="Times New Roman"/>
              </w:rPr>
            </w:pPr>
            <w:r w:rsidRPr="001E7D0F">
              <w:rPr>
                <w:rFonts w:eastAsia="Times New Roman"/>
                <w:lang w:val="fr-CA"/>
              </w:rPr>
              <w:t>Nom</w:t>
            </w:r>
          </w:p>
        </w:tc>
        <w:tc>
          <w:tcPr>
            <w:tcW w:w="1977" w:type="dxa"/>
            <w:gridSpan w:val="2"/>
            <w:tcBorders>
              <w:top w:val="nil"/>
              <w:left w:val="nil"/>
              <w:bottom w:val="single" w:sz="4" w:space="0" w:color="auto"/>
              <w:right w:val="nil"/>
            </w:tcBorders>
            <w:shd w:val="clear" w:color="auto" w:fill="auto"/>
            <w:noWrap/>
            <w:vAlign w:val="bottom"/>
            <w:hideMark/>
          </w:tcPr>
          <w:p w14:paraId="59E67C3D" w14:textId="77777777" w:rsidR="00F34AA9" w:rsidRPr="001E7D0F" w:rsidRDefault="00F34AA9" w:rsidP="00AA5DF1">
            <w:pPr>
              <w:spacing w:after="0"/>
              <w:rPr>
                <w:rFonts w:eastAsia="Times New Roman"/>
              </w:rPr>
            </w:pPr>
            <w:r w:rsidRPr="001E7D0F">
              <w:rPr>
                <w:rFonts w:eastAsia="Times New Roman"/>
                <w:lang w:val="fr-CA"/>
              </w:rPr>
              <w:t>Taux Journalier</w:t>
            </w:r>
          </w:p>
        </w:tc>
        <w:tc>
          <w:tcPr>
            <w:tcW w:w="872" w:type="dxa"/>
            <w:gridSpan w:val="2"/>
            <w:tcBorders>
              <w:top w:val="nil"/>
              <w:left w:val="nil"/>
              <w:bottom w:val="single" w:sz="4" w:space="0" w:color="auto"/>
              <w:right w:val="nil"/>
            </w:tcBorders>
            <w:shd w:val="clear" w:color="auto" w:fill="auto"/>
            <w:noWrap/>
            <w:vAlign w:val="bottom"/>
            <w:hideMark/>
          </w:tcPr>
          <w:p w14:paraId="7A390533" w14:textId="77777777" w:rsidR="00F34AA9" w:rsidRPr="001E7D0F" w:rsidRDefault="00F34AA9" w:rsidP="00AA5DF1">
            <w:pPr>
              <w:spacing w:after="0"/>
              <w:rPr>
                <w:rFonts w:eastAsia="Times New Roman"/>
              </w:rPr>
            </w:pPr>
            <w:r w:rsidRPr="001E7D0F">
              <w:rPr>
                <w:rFonts w:eastAsia="Times New Roman"/>
                <w:lang w:val="fr-CA"/>
              </w:rPr>
              <w:t xml:space="preserve">    (Base)</w:t>
            </w:r>
          </w:p>
        </w:tc>
        <w:tc>
          <w:tcPr>
            <w:tcW w:w="1840" w:type="dxa"/>
            <w:tcBorders>
              <w:top w:val="nil"/>
              <w:left w:val="nil"/>
              <w:bottom w:val="single" w:sz="4" w:space="0" w:color="auto"/>
              <w:right w:val="single" w:sz="8" w:space="0" w:color="auto"/>
            </w:tcBorders>
            <w:shd w:val="clear" w:color="auto" w:fill="auto"/>
            <w:noWrap/>
            <w:vAlign w:val="bottom"/>
            <w:hideMark/>
          </w:tcPr>
          <w:p w14:paraId="78897BF2" w14:textId="77777777" w:rsidR="00F34AA9" w:rsidRPr="001E7D0F" w:rsidRDefault="00F34AA9" w:rsidP="00AA5DF1">
            <w:pPr>
              <w:spacing w:after="0"/>
              <w:rPr>
                <w:rFonts w:eastAsia="Times New Roman"/>
              </w:rPr>
            </w:pPr>
            <w:r w:rsidRPr="001E7D0F">
              <w:rPr>
                <w:rFonts w:eastAsia="Times New Roman"/>
                <w:lang w:val="fr-CA"/>
              </w:rPr>
              <w:t>Total</w:t>
            </w:r>
          </w:p>
        </w:tc>
      </w:tr>
      <w:tr w:rsidR="00F34AA9" w:rsidRPr="001E7D0F" w14:paraId="0DB05EA8"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340C2071"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single" w:sz="4" w:space="0" w:color="auto"/>
              <w:right w:val="single" w:sz="8" w:space="0" w:color="auto"/>
            </w:tcBorders>
            <w:shd w:val="clear" w:color="auto" w:fill="auto"/>
            <w:noWrap/>
            <w:vAlign w:val="bottom"/>
            <w:hideMark/>
          </w:tcPr>
          <w:p w14:paraId="504554BC"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single" w:sz="4" w:space="0" w:color="auto"/>
              <w:right w:val="nil"/>
            </w:tcBorders>
            <w:shd w:val="clear" w:color="auto" w:fill="auto"/>
            <w:noWrap/>
            <w:vAlign w:val="bottom"/>
            <w:hideMark/>
          </w:tcPr>
          <w:p w14:paraId="0ED0874B" w14:textId="77777777" w:rsidR="00F34AA9" w:rsidRPr="001E7D0F" w:rsidRDefault="00F34AA9" w:rsidP="00AA5DF1">
            <w:pPr>
              <w:spacing w:after="0"/>
              <w:rPr>
                <w:rFonts w:eastAsia="Times New Roman"/>
              </w:rPr>
            </w:pPr>
            <w:r w:rsidRPr="001E7D0F">
              <w:rPr>
                <w:rFonts w:eastAsia="Times New Roman"/>
              </w:rPr>
              <w:t> </w:t>
            </w:r>
          </w:p>
        </w:tc>
        <w:tc>
          <w:tcPr>
            <w:tcW w:w="872" w:type="dxa"/>
            <w:gridSpan w:val="2"/>
            <w:tcBorders>
              <w:top w:val="nil"/>
              <w:left w:val="nil"/>
              <w:bottom w:val="single" w:sz="4" w:space="0" w:color="auto"/>
              <w:right w:val="nil"/>
            </w:tcBorders>
            <w:shd w:val="clear" w:color="auto" w:fill="auto"/>
            <w:noWrap/>
            <w:vAlign w:val="bottom"/>
            <w:hideMark/>
          </w:tcPr>
          <w:p w14:paraId="70E2F74C" w14:textId="77777777" w:rsidR="00F34AA9" w:rsidRPr="001E7D0F" w:rsidRDefault="00F34AA9" w:rsidP="00AA5DF1">
            <w:pPr>
              <w:spacing w:after="0"/>
              <w:rPr>
                <w:rFonts w:eastAsia="Times New Roman"/>
              </w:rPr>
            </w:pPr>
            <w:r w:rsidRPr="001E7D0F">
              <w:rPr>
                <w:rFonts w:eastAsia="Times New Roman"/>
              </w:rPr>
              <w:t> </w:t>
            </w:r>
          </w:p>
        </w:tc>
        <w:tc>
          <w:tcPr>
            <w:tcW w:w="1840" w:type="dxa"/>
            <w:tcBorders>
              <w:top w:val="nil"/>
              <w:left w:val="nil"/>
              <w:bottom w:val="single" w:sz="4" w:space="0" w:color="auto"/>
              <w:right w:val="single" w:sz="8" w:space="0" w:color="auto"/>
            </w:tcBorders>
            <w:shd w:val="clear" w:color="auto" w:fill="auto"/>
            <w:noWrap/>
            <w:vAlign w:val="bottom"/>
            <w:hideMark/>
          </w:tcPr>
          <w:p w14:paraId="4E362182" w14:textId="77777777" w:rsidR="00F34AA9" w:rsidRPr="001E7D0F" w:rsidRDefault="00F34AA9" w:rsidP="00AA5DF1">
            <w:pPr>
              <w:spacing w:after="0"/>
              <w:rPr>
                <w:rFonts w:eastAsia="Times New Roman"/>
              </w:rPr>
            </w:pPr>
            <w:r w:rsidRPr="001E7D0F">
              <w:rPr>
                <w:rFonts w:eastAsia="Times New Roman"/>
              </w:rPr>
              <w:t> </w:t>
            </w:r>
          </w:p>
        </w:tc>
      </w:tr>
      <w:tr w:rsidR="00F34AA9" w:rsidRPr="001E7D0F" w14:paraId="392ED5CD"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422C121F"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2FC006DB"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74D3BFFE"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7A797B91"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2186531A"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669D9343"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54CCECA4"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549F413E"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7C96D66A"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41AC9A1E"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15A1433F"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25E27F7E"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46276734"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70AF0503"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05603D1A"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5814CF68"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3165B521"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7A61BDBB"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7D41C9B4"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5FE402CA"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494BD7B9"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7D9FB3F6"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72C7E9D0"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6F441E6D"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12B8A1CD"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5023FA7B"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0F4D25B1"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1DABA516"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5CE8EFCB"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2BB3F1F2" w14:textId="77777777" w:rsidTr="35CFDBE7">
        <w:trPr>
          <w:trHeight w:val="255"/>
        </w:trPr>
        <w:tc>
          <w:tcPr>
            <w:tcW w:w="4120" w:type="dxa"/>
            <w:tcBorders>
              <w:top w:val="single" w:sz="4" w:space="0" w:color="auto"/>
              <w:left w:val="single" w:sz="8" w:space="0" w:color="auto"/>
              <w:bottom w:val="single" w:sz="4" w:space="0" w:color="auto"/>
              <w:right w:val="nil"/>
            </w:tcBorders>
            <w:shd w:val="clear" w:color="auto" w:fill="CCFFCC"/>
            <w:noWrap/>
            <w:vAlign w:val="bottom"/>
            <w:hideMark/>
          </w:tcPr>
          <w:p w14:paraId="23503A14" w14:textId="77777777" w:rsidR="00F34AA9" w:rsidRPr="001E7D0F" w:rsidRDefault="00F34AA9" w:rsidP="00AA5DF1">
            <w:pPr>
              <w:spacing w:after="0"/>
              <w:rPr>
                <w:rFonts w:eastAsia="Times New Roman"/>
              </w:rPr>
            </w:pPr>
            <w:proofErr w:type="gramStart"/>
            <w:r w:rsidRPr="001E7D0F">
              <w:rPr>
                <w:rFonts w:eastAsia="Times New Roman"/>
                <w:lang w:val="fr-CA"/>
              </w:rPr>
              <w:t>Total  coûts</w:t>
            </w:r>
            <w:proofErr w:type="gramEnd"/>
            <w:r w:rsidRPr="001E7D0F">
              <w:rPr>
                <w:rFonts w:eastAsia="Times New Roman"/>
                <w:lang w:val="fr-CA"/>
              </w:rPr>
              <w:t xml:space="preserve"> directs de main-d'œuvre</w:t>
            </w:r>
          </w:p>
        </w:tc>
        <w:tc>
          <w:tcPr>
            <w:tcW w:w="1600" w:type="dxa"/>
            <w:tcBorders>
              <w:top w:val="single" w:sz="4" w:space="0" w:color="auto"/>
              <w:left w:val="nil"/>
              <w:bottom w:val="single" w:sz="4" w:space="0" w:color="auto"/>
              <w:right w:val="single" w:sz="8" w:space="0" w:color="auto"/>
            </w:tcBorders>
            <w:shd w:val="clear" w:color="auto" w:fill="CCFFCC"/>
            <w:noWrap/>
            <w:vAlign w:val="bottom"/>
            <w:hideMark/>
          </w:tcPr>
          <w:p w14:paraId="57D0DC1E"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single" w:sz="4" w:space="0" w:color="auto"/>
              <w:left w:val="nil"/>
              <w:bottom w:val="single" w:sz="4" w:space="0" w:color="auto"/>
              <w:right w:val="nil"/>
            </w:tcBorders>
            <w:shd w:val="clear" w:color="auto" w:fill="CCFFCC"/>
            <w:noWrap/>
            <w:vAlign w:val="bottom"/>
            <w:hideMark/>
          </w:tcPr>
          <w:p w14:paraId="0299565A"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single" w:sz="4" w:space="0" w:color="auto"/>
              <w:left w:val="nil"/>
              <w:bottom w:val="single" w:sz="4" w:space="0" w:color="auto"/>
              <w:right w:val="nil"/>
            </w:tcBorders>
            <w:shd w:val="clear" w:color="auto" w:fill="CCFFCC"/>
            <w:noWrap/>
            <w:vAlign w:val="bottom"/>
            <w:hideMark/>
          </w:tcPr>
          <w:p w14:paraId="4F9259F1" w14:textId="77777777" w:rsidR="00F34AA9" w:rsidRPr="001E7D0F" w:rsidRDefault="00F34AA9" w:rsidP="00AA5DF1">
            <w:pPr>
              <w:spacing w:after="0"/>
              <w:rPr>
                <w:rFonts w:eastAsia="Times New Roman"/>
                <w:b/>
                <w:bCs/>
              </w:rPr>
            </w:pPr>
            <w:r w:rsidRPr="001E7D0F">
              <w:rPr>
                <w:rFonts w:eastAsia="Times New Roman"/>
                <w:b/>
                <w:bCs/>
              </w:rPr>
              <w:t xml:space="preserve">   </w:t>
            </w:r>
          </w:p>
        </w:tc>
        <w:tc>
          <w:tcPr>
            <w:tcW w:w="1840" w:type="dxa"/>
            <w:tcBorders>
              <w:top w:val="single" w:sz="4" w:space="0" w:color="auto"/>
              <w:left w:val="nil"/>
              <w:bottom w:val="single" w:sz="4" w:space="0" w:color="auto"/>
              <w:right w:val="single" w:sz="8" w:space="0" w:color="auto"/>
            </w:tcBorders>
            <w:shd w:val="clear" w:color="auto" w:fill="CCFFCC"/>
            <w:noWrap/>
            <w:vAlign w:val="bottom"/>
            <w:hideMark/>
          </w:tcPr>
          <w:p w14:paraId="3C914294" w14:textId="77777777" w:rsidR="00F34AA9" w:rsidRPr="001E7D0F" w:rsidRDefault="00F34AA9" w:rsidP="00AA5DF1">
            <w:pPr>
              <w:spacing w:after="0"/>
              <w:rPr>
                <w:rFonts w:eastAsia="Times New Roman"/>
                <w:b/>
                <w:bCs/>
              </w:rPr>
            </w:pPr>
            <w:r w:rsidRPr="001E7D0F">
              <w:rPr>
                <w:rFonts w:eastAsia="Times New Roman"/>
                <w:b/>
                <w:bCs/>
                <w:lang w:val="fr-CA"/>
              </w:rPr>
              <w:t xml:space="preserve">                         -   </w:t>
            </w:r>
          </w:p>
        </w:tc>
      </w:tr>
      <w:tr w:rsidR="00F34AA9" w:rsidRPr="001E7D0F" w14:paraId="5B0CA60E" w14:textId="77777777" w:rsidTr="35CFDBE7">
        <w:trPr>
          <w:trHeight w:val="255"/>
        </w:trPr>
        <w:tc>
          <w:tcPr>
            <w:tcW w:w="5720" w:type="dxa"/>
            <w:gridSpan w:val="2"/>
            <w:tcBorders>
              <w:top w:val="single" w:sz="4" w:space="0" w:color="auto"/>
              <w:left w:val="single" w:sz="8" w:space="0" w:color="auto"/>
              <w:bottom w:val="single" w:sz="4" w:space="0" w:color="auto"/>
              <w:right w:val="single" w:sz="8" w:space="0" w:color="000000" w:themeColor="text1"/>
            </w:tcBorders>
            <w:shd w:val="clear" w:color="auto" w:fill="auto"/>
            <w:noWrap/>
            <w:vAlign w:val="bottom"/>
            <w:hideMark/>
          </w:tcPr>
          <w:p w14:paraId="3155A403" w14:textId="77777777" w:rsidR="00F34AA9" w:rsidRPr="001E7D0F" w:rsidRDefault="00F34AA9" w:rsidP="00AA5DF1">
            <w:pPr>
              <w:spacing w:after="0"/>
              <w:rPr>
                <w:rFonts w:eastAsia="Times New Roman"/>
                <w:b/>
                <w:bCs/>
                <w:color w:val="0000FF"/>
              </w:rPr>
            </w:pPr>
            <w:r w:rsidRPr="001E7D0F">
              <w:rPr>
                <w:b/>
                <w:bCs/>
                <w:color w:val="0000FF"/>
                <w:lang w:val="fr-CA"/>
              </w:rPr>
              <w:t>VOYAGE, TRANSPORT ET PER DIEM</w:t>
            </w:r>
          </w:p>
        </w:tc>
        <w:tc>
          <w:tcPr>
            <w:tcW w:w="1977" w:type="dxa"/>
            <w:gridSpan w:val="2"/>
            <w:tcBorders>
              <w:top w:val="nil"/>
              <w:left w:val="nil"/>
              <w:bottom w:val="nil"/>
              <w:right w:val="nil"/>
            </w:tcBorders>
            <w:shd w:val="clear" w:color="auto" w:fill="auto"/>
            <w:noWrap/>
            <w:vAlign w:val="bottom"/>
            <w:hideMark/>
          </w:tcPr>
          <w:p w14:paraId="3D81CB6D"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3765E140" w14:textId="77777777" w:rsidR="00F34AA9" w:rsidRPr="001E7D0F" w:rsidRDefault="00F34AA9" w:rsidP="00AA5DF1">
            <w:pPr>
              <w:spacing w:after="0"/>
              <w:rPr>
                <w:rFonts w:eastAsia="Times New Roman"/>
                <w:b/>
                <w:bCs/>
              </w:rPr>
            </w:pPr>
          </w:p>
        </w:tc>
        <w:tc>
          <w:tcPr>
            <w:tcW w:w="1840" w:type="dxa"/>
            <w:tcBorders>
              <w:top w:val="nil"/>
              <w:left w:val="nil"/>
              <w:bottom w:val="nil"/>
              <w:right w:val="single" w:sz="8" w:space="0" w:color="auto"/>
            </w:tcBorders>
            <w:shd w:val="clear" w:color="auto" w:fill="auto"/>
            <w:noWrap/>
            <w:vAlign w:val="bottom"/>
            <w:hideMark/>
          </w:tcPr>
          <w:p w14:paraId="5A7F271F" w14:textId="77777777" w:rsidR="00F34AA9" w:rsidRPr="001E7D0F" w:rsidRDefault="00F34AA9" w:rsidP="00AA5DF1">
            <w:pPr>
              <w:spacing w:after="0"/>
              <w:rPr>
                <w:rFonts w:eastAsia="Times New Roman"/>
                <w:b/>
                <w:bCs/>
              </w:rPr>
            </w:pPr>
            <w:r w:rsidRPr="001E7D0F">
              <w:rPr>
                <w:rFonts w:eastAsia="Times New Roman"/>
                <w:b/>
                <w:bCs/>
              </w:rPr>
              <w:t> </w:t>
            </w:r>
          </w:p>
        </w:tc>
      </w:tr>
      <w:tr w:rsidR="00F34AA9" w:rsidRPr="001E7D0F" w14:paraId="7B663C71" w14:textId="77777777" w:rsidTr="35CFDBE7">
        <w:trPr>
          <w:trHeight w:val="510"/>
        </w:trPr>
        <w:tc>
          <w:tcPr>
            <w:tcW w:w="4120" w:type="dxa"/>
            <w:tcBorders>
              <w:top w:val="nil"/>
              <w:left w:val="single" w:sz="8" w:space="0" w:color="auto"/>
              <w:bottom w:val="single" w:sz="4" w:space="0" w:color="auto"/>
              <w:right w:val="nil"/>
            </w:tcBorders>
            <w:shd w:val="clear" w:color="auto" w:fill="auto"/>
            <w:noWrap/>
            <w:vAlign w:val="bottom"/>
            <w:hideMark/>
          </w:tcPr>
          <w:p w14:paraId="0F4B401B" w14:textId="77777777" w:rsidR="00F34AA9" w:rsidRPr="001E7D0F" w:rsidRDefault="00F34AA9" w:rsidP="00AA5DF1">
            <w:pPr>
              <w:spacing w:after="0"/>
              <w:rPr>
                <w:rFonts w:eastAsia="Times New Roman"/>
                <w:b/>
                <w:bCs/>
              </w:rPr>
            </w:pPr>
            <w:r w:rsidRPr="001E7D0F">
              <w:rPr>
                <w:rFonts w:eastAsia="Times New Roman"/>
                <w:b/>
                <w:bCs/>
                <w:lang w:val="fr-CA"/>
              </w:rPr>
              <w:t>Description</w:t>
            </w:r>
          </w:p>
        </w:tc>
        <w:tc>
          <w:tcPr>
            <w:tcW w:w="1600" w:type="dxa"/>
            <w:tcBorders>
              <w:top w:val="nil"/>
              <w:left w:val="nil"/>
              <w:bottom w:val="single" w:sz="4" w:space="0" w:color="auto"/>
              <w:right w:val="single" w:sz="8" w:space="0" w:color="auto"/>
            </w:tcBorders>
            <w:shd w:val="clear" w:color="auto" w:fill="auto"/>
            <w:noWrap/>
            <w:vAlign w:val="bottom"/>
            <w:hideMark/>
          </w:tcPr>
          <w:p w14:paraId="54E6F731"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single" w:sz="4" w:space="0" w:color="auto"/>
              <w:left w:val="nil"/>
              <w:bottom w:val="single" w:sz="4" w:space="0" w:color="auto"/>
              <w:right w:val="nil"/>
            </w:tcBorders>
            <w:shd w:val="clear" w:color="auto" w:fill="auto"/>
            <w:noWrap/>
            <w:vAlign w:val="bottom"/>
            <w:hideMark/>
          </w:tcPr>
          <w:p w14:paraId="3BA5F329" w14:textId="77777777" w:rsidR="00F34AA9" w:rsidRPr="001E7D0F" w:rsidRDefault="00F34AA9" w:rsidP="00AA5DF1">
            <w:pPr>
              <w:spacing w:after="0"/>
              <w:rPr>
                <w:rFonts w:eastAsia="Times New Roman"/>
              </w:rPr>
            </w:pPr>
            <w:r w:rsidRPr="001E7D0F">
              <w:rPr>
                <w:rFonts w:eastAsia="Times New Roman"/>
                <w:lang w:val="fr-CA"/>
              </w:rPr>
              <w:t>Taux</w:t>
            </w:r>
          </w:p>
        </w:tc>
        <w:tc>
          <w:tcPr>
            <w:tcW w:w="872" w:type="dxa"/>
            <w:gridSpan w:val="2"/>
            <w:tcBorders>
              <w:top w:val="single" w:sz="4" w:space="0" w:color="auto"/>
              <w:left w:val="nil"/>
              <w:bottom w:val="single" w:sz="4" w:space="0" w:color="auto"/>
              <w:right w:val="nil"/>
            </w:tcBorders>
            <w:shd w:val="clear" w:color="auto" w:fill="auto"/>
            <w:vAlign w:val="bottom"/>
            <w:hideMark/>
          </w:tcPr>
          <w:p w14:paraId="686E35FF" w14:textId="77777777" w:rsidR="00F34AA9" w:rsidRPr="001E7D0F" w:rsidRDefault="00F34AA9" w:rsidP="00AA5DF1">
            <w:pPr>
              <w:spacing w:after="0"/>
              <w:rPr>
                <w:rFonts w:eastAsia="Times New Roman"/>
              </w:rPr>
            </w:pPr>
            <w:r w:rsidRPr="001E7D0F">
              <w:rPr>
                <w:rFonts w:eastAsia="Times New Roman"/>
                <w:lang w:val="fr-CA"/>
              </w:rPr>
              <w:t xml:space="preserve">Unités </w:t>
            </w:r>
            <w:r w:rsidRPr="001E7D0F">
              <w:rPr>
                <w:rFonts w:eastAsia="Times New Roman"/>
                <w:lang w:val="fr-CA"/>
              </w:rPr>
              <w:br/>
              <w:t>(Base)</w:t>
            </w:r>
          </w:p>
        </w:tc>
        <w:tc>
          <w:tcPr>
            <w:tcW w:w="1840" w:type="dxa"/>
            <w:tcBorders>
              <w:top w:val="single" w:sz="4" w:space="0" w:color="auto"/>
              <w:left w:val="nil"/>
              <w:bottom w:val="single" w:sz="4" w:space="0" w:color="auto"/>
              <w:right w:val="single" w:sz="8" w:space="0" w:color="auto"/>
            </w:tcBorders>
            <w:shd w:val="clear" w:color="auto" w:fill="auto"/>
            <w:noWrap/>
            <w:vAlign w:val="bottom"/>
            <w:hideMark/>
          </w:tcPr>
          <w:p w14:paraId="671A6A20" w14:textId="77777777" w:rsidR="00F34AA9" w:rsidRPr="001E7D0F" w:rsidRDefault="00F34AA9" w:rsidP="00AA5DF1">
            <w:pPr>
              <w:spacing w:after="0"/>
              <w:rPr>
                <w:rFonts w:eastAsia="Times New Roman"/>
              </w:rPr>
            </w:pPr>
            <w:r w:rsidRPr="001E7D0F">
              <w:rPr>
                <w:rFonts w:eastAsia="Times New Roman"/>
                <w:lang w:val="fr-CA"/>
              </w:rPr>
              <w:t>Total</w:t>
            </w:r>
          </w:p>
        </w:tc>
      </w:tr>
      <w:tr w:rsidR="00F34AA9" w:rsidRPr="001E7D0F" w14:paraId="39A46CDA"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1C29ADB2" w14:textId="77777777" w:rsidR="00F34AA9" w:rsidRPr="001E7D0F" w:rsidRDefault="00F34AA9" w:rsidP="00AA5DF1">
            <w:pPr>
              <w:spacing w:after="0"/>
              <w:rPr>
                <w:rFonts w:eastAsia="Times New Roman"/>
                <w:b/>
                <w:bCs/>
              </w:rPr>
            </w:pPr>
            <w:r w:rsidRPr="001E7D0F">
              <w:rPr>
                <w:rFonts w:eastAsia="Times New Roman"/>
                <w:b/>
                <w:bCs/>
              </w:rPr>
              <w:t> </w:t>
            </w:r>
          </w:p>
        </w:tc>
        <w:tc>
          <w:tcPr>
            <w:tcW w:w="1600" w:type="dxa"/>
            <w:tcBorders>
              <w:top w:val="nil"/>
              <w:left w:val="nil"/>
              <w:bottom w:val="single" w:sz="4" w:space="0" w:color="auto"/>
              <w:right w:val="single" w:sz="8" w:space="0" w:color="auto"/>
            </w:tcBorders>
            <w:shd w:val="clear" w:color="auto" w:fill="auto"/>
            <w:noWrap/>
            <w:vAlign w:val="bottom"/>
            <w:hideMark/>
          </w:tcPr>
          <w:p w14:paraId="05F935D9"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nil"/>
              <w:left w:val="nil"/>
              <w:bottom w:val="single" w:sz="4" w:space="0" w:color="auto"/>
              <w:right w:val="nil"/>
            </w:tcBorders>
            <w:shd w:val="clear" w:color="auto" w:fill="auto"/>
            <w:noWrap/>
            <w:vAlign w:val="bottom"/>
            <w:hideMark/>
          </w:tcPr>
          <w:p w14:paraId="44937171" w14:textId="77777777" w:rsidR="00F34AA9" w:rsidRPr="001E7D0F" w:rsidRDefault="00F34AA9" w:rsidP="00AA5DF1">
            <w:pPr>
              <w:spacing w:after="0"/>
              <w:rPr>
                <w:rFonts w:eastAsia="Times New Roman"/>
              </w:rPr>
            </w:pPr>
            <w:r w:rsidRPr="001E7D0F">
              <w:rPr>
                <w:rFonts w:eastAsia="Times New Roman"/>
              </w:rPr>
              <w:t> </w:t>
            </w:r>
          </w:p>
        </w:tc>
        <w:tc>
          <w:tcPr>
            <w:tcW w:w="872" w:type="dxa"/>
            <w:gridSpan w:val="2"/>
            <w:tcBorders>
              <w:top w:val="nil"/>
              <w:left w:val="nil"/>
              <w:bottom w:val="single" w:sz="4" w:space="0" w:color="auto"/>
              <w:right w:val="nil"/>
            </w:tcBorders>
            <w:shd w:val="clear" w:color="auto" w:fill="auto"/>
            <w:vAlign w:val="bottom"/>
            <w:hideMark/>
          </w:tcPr>
          <w:p w14:paraId="6773CAF3" w14:textId="77777777" w:rsidR="00F34AA9" w:rsidRPr="001E7D0F" w:rsidRDefault="00F34AA9" w:rsidP="00AA5DF1">
            <w:pPr>
              <w:spacing w:after="0"/>
              <w:rPr>
                <w:rFonts w:eastAsia="Times New Roman"/>
              </w:rPr>
            </w:pPr>
            <w:r w:rsidRPr="001E7D0F">
              <w:rPr>
                <w:rFonts w:eastAsia="Times New Roman"/>
              </w:rPr>
              <w:t> </w:t>
            </w:r>
          </w:p>
        </w:tc>
        <w:tc>
          <w:tcPr>
            <w:tcW w:w="1840" w:type="dxa"/>
            <w:tcBorders>
              <w:top w:val="nil"/>
              <w:left w:val="nil"/>
              <w:bottom w:val="single" w:sz="4" w:space="0" w:color="auto"/>
              <w:right w:val="single" w:sz="8" w:space="0" w:color="auto"/>
            </w:tcBorders>
            <w:shd w:val="clear" w:color="auto" w:fill="auto"/>
            <w:noWrap/>
            <w:vAlign w:val="bottom"/>
            <w:hideMark/>
          </w:tcPr>
          <w:p w14:paraId="603DB061" w14:textId="77777777" w:rsidR="00F34AA9" w:rsidRPr="001E7D0F" w:rsidRDefault="00F34AA9" w:rsidP="00AA5DF1">
            <w:pPr>
              <w:spacing w:after="0"/>
              <w:rPr>
                <w:rFonts w:eastAsia="Times New Roman"/>
              </w:rPr>
            </w:pPr>
            <w:r w:rsidRPr="001E7D0F">
              <w:rPr>
                <w:rFonts w:eastAsia="Times New Roman"/>
              </w:rPr>
              <w:t xml:space="preserve">   </w:t>
            </w:r>
          </w:p>
        </w:tc>
      </w:tr>
      <w:tr w:rsidR="00F34AA9" w:rsidRPr="001E7D0F" w14:paraId="3F38546D"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73F0CB72"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77B9D5F6"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2F5240D2"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018D74E9"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2ACAC019"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7053207A"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6F0BBAAA"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300504D8"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4B979A53"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1208436A"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620EE424"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47B28485"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4011DBA3"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0823C4AD"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5F3CC6C3"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39A1FD3C"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167CAAD6"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4B4CB727"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2692C5AC"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67B62BC7"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52BA5865"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51DDF222"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4A9EDB37"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209F946D"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591B3BC4"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04D0BDED"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5712D9E7"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093E6496"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39A59706"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3FD42E24" w14:textId="77777777" w:rsidTr="35CFDBE7">
        <w:trPr>
          <w:trHeight w:val="255"/>
        </w:trPr>
        <w:tc>
          <w:tcPr>
            <w:tcW w:w="4120" w:type="dxa"/>
            <w:tcBorders>
              <w:top w:val="single" w:sz="4" w:space="0" w:color="auto"/>
              <w:left w:val="single" w:sz="8" w:space="0" w:color="auto"/>
              <w:bottom w:val="single" w:sz="4" w:space="0" w:color="auto"/>
              <w:right w:val="nil"/>
            </w:tcBorders>
            <w:shd w:val="clear" w:color="auto" w:fill="CCFFCC"/>
            <w:noWrap/>
            <w:vAlign w:val="bottom"/>
            <w:hideMark/>
          </w:tcPr>
          <w:p w14:paraId="250DEBDF" w14:textId="77777777" w:rsidR="00F34AA9" w:rsidRPr="001E7D0F" w:rsidRDefault="00F34AA9" w:rsidP="00AA5DF1">
            <w:pPr>
              <w:spacing w:after="0"/>
              <w:rPr>
                <w:rFonts w:eastAsia="Times New Roman"/>
                <w:b/>
                <w:bCs/>
              </w:rPr>
            </w:pPr>
            <w:r w:rsidRPr="001E7D0F">
              <w:rPr>
                <w:b/>
                <w:bCs/>
                <w:lang w:val="fr-CA"/>
              </w:rPr>
              <w:t>Total des frais de déplacement, transport et per diem</w:t>
            </w:r>
          </w:p>
        </w:tc>
        <w:tc>
          <w:tcPr>
            <w:tcW w:w="1600" w:type="dxa"/>
            <w:tcBorders>
              <w:top w:val="single" w:sz="4" w:space="0" w:color="auto"/>
              <w:left w:val="nil"/>
              <w:bottom w:val="single" w:sz="4" w:space="0" w:color="auto"/>
              <w:right w:val="single" w:sz="8" w:space="0" w:color="auto"/>
            </w:tcBorders>
            <w:shd w:val="clear" w:color="auto" w:fill="CCFFCC"/>
            <w:noWrap/>
            <w:vAlign w:val="bottom"/>
            <w:hideMark/>
          </w:tcPr>
          <w:p w14:paraId="221E8E6C"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single" w:sz="4" w:space="0" w:color="auto"/>
              <w:left w:val="nil"/>
              <w:bottom w:val="single" w:sz="4" w:space="0" w:color="auto"/>
              <w:right w:val="nil"/>
            </w:tcBorders>
            <w:shd w:val="clear" w:color="auto" w:fill="CCFFCC"/>
            <w:noWrap/>
            <w:vAlign w:val="bottom"/>
            <w:hideMark/>
          </w:tcPr>
          <w:p w14:paraId="094A98DC"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single" w:sz="4" w:space="0" w:color="auto"/>
              <w:left w:val="nil"/>
              <w:bottom w:val="single" w:sz="4" w:space="0" w:color="auto"/>
              <w:right w:val="nil"/>
            </w:tcBorders>
            <w:shd w:val="clear" w:color="auto" w:fill="CCFFCC"/>
            <w:noWrap/>
            <w:vAlign w:val="bottom"/>
            <w:hideMark/>
          </w:tcPr>
          <w:p w14:paraId="0DD6D850" w14:textId="77777777" w:rsidR="00F34AA9" w:rsidRPr="001E7D0F" w:rsidRDefault="00F34AA9" w:rsidP="00AA5DF1">
            <w:pPr>
              <w:spacing w:after="0"/>
              <w:rPr>
                <w:rFonts w:eastAsia="Times New Roman"/>
                <w:b/>
                <w:bCs/>
              </w:rPr>
            </w:pPr>
            <w:r w:rsidRPr="001E7D0F">
              <w:rPr>
                <w:rFonts w:eastAsia="Times New Roman"/>
                <w:b/>
                <w:bCs/>
              </w:rPr>
              <w:t> </w:t>
            </w:r>
          </w:p>
        </w:tc>
        <w:tc>
          <w:tcPr>
            <w:tcW w:w="1840" w:type="dxa"/>
            <w:tcBorders>
              <w:top w:val="single" w:sz="4" w:space="0" w:color="auto"/>
              <w:left w:val="nil"/>
              <w:bottom w:val="single" w:sz="4" w:space="0" w:color="auto"/>
              <w:right w:val="single" w:sz="8" w:space="0" w:color="auto"/>
            </w:tcBorders>
            <w:shd w:val="clear" w:color="auto" w:fill="CCFFCC"/>
            <w:noWrap/>
            <w:vAlign w:val="bottom"/>
            <w:hideMark/>
          </w:tcPr>
          <w:p w14:paraId="063524DF" w14:textId="77777777" w:rsidR="00F34AA9" w:rsidRPr="001E7D0F" w:rsidRDefault="00F34AA9" w:rsidP="00AA5DF1">
            <w:pPr>
              <w:spacing w:after="0"/>
              <w:rPr>
                <w:rFonts w:eastAsia="Times New Roman"/>
                <w:b/>
                <w:bCs/>
              </w:rPr>
            </w:pPr>
            <w:r w:rsidRPr="001E7D0F">
              <w:rPr>
                <w:rFonts w:eastAsia="Times New Roman"/>
                <w:b/>
                <w:bCs/>
                <w:lang w:val="fr-CA"/>
              </w:rPr>
              <w:t xml:space="preserve">                         -   </w:t>
            </w:r>
          </w:p>
        </w:tc>
      </w:tr>
      <w:tr w:rsidR="00F34AA9" w:rsidRPr="001E7D0F" w14:paraId="44CEFD7E"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49FAFE95" w14:textId="77777777" w:rsidR="00F34AA9" w:rsidRPr="001E7D0F" w:rsidRDefault="00F34AA9" w:rsidP="00AA5DF1">
            <w:pPr>
              <w:spacing w:after="0"/>
              <w:rPr>
                <w:rFonts w:eastAsia="Times New Roman"/>
                <w:b/>
                <w:bCs/>
                <w:color w:val="0000FF"/>
              </w:rPr>
            </w:pPr>
            <w:r w:rsidRPr="001E7D0F">
              <w:rPr>
                <w:b/>
                <w:bCs/>
                <w:color w:val="0000FF"/>
                <w:lang w:val="fr-CA"/>
              </w:rPr>
              <w:t>Les AUTRES COÛTS DIRECTS</w:t>
            </w:r>
          </w:p>
        </w:tc>
        <w:tc>
          <w:tcPr>
            <w:tcW w:w="1600" w:type="dxa"/>
            <w:tcBorders>
              <w:top w:val="nil"/>
              <w:left w:val="nil"/>
              <w:bottom w:val="single" w:sz="4" w:space="0" w:color="auto"/>
              <w:right w:val="single" w:sz="8" w:space="0" w:color="auto"/>
            </w:tcBorders>
            <w:shd w:val="clear" w:color="auto" w:fill="auto"/>
            <w:noWrap/>
            <w:vAlign w:val="bottom"/>
            <w:hideMark/>
          </w:tcPr>
          <w:p w14:paraId="3D057C5C"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single" w:sz="4" w:space="0" w:color="auto"/>
              <w:right w:val="nil"/>
            </w:tcBorders>
            <w:shd w:val="clear" w:color="auto" w:fill="auto"/>
            <w:noWrap/>
            <w:vAlign w:val="bottom"/>
            <w:hideMark/>
          </w:tcPr>
          <w:p w14:paraId="1680B449" w14:textId="77777777" w:rsidR="00F34AA9" w:rsidRPr="001E7D0F" w:rsidRDefault="00F34AA9" w:rsidP="00AA5DF1">
            <w:pPr>
              <w:spacing w:after="0"/>
              <w:rPr>
                <w:rFonts w:eastAsia="Times New Roman"/>
              </w:rPr>
            </w:pPr>
            <w:r w:rsidRPr="001E7D0F">
              <w:rPr>
                <w:rFonts w:eastAsia="Times New Roman"/>
              </w:rPr>
              <w:t> </w:t>
            </w:r>
          </w:p>
        </w:tc>
        <w:tc>
          <w:tcPr>
            <w:tcW w:w="872" w:type="dxa"/>
            <w:gridSpan w:val="2"/>
            <w:tcBorders>
              <w:top w:val="nil"/>
              <w:left w:val="nil"/>
              <w:bottom w:val="single" w:sz="4" w:space="0" w:color="auto"/>
              <w:right w:val="nil"/>
            </w:tcBorders>
            <w:shd w:val="clear" w:color="auto" w:fill="auto"/>
            <w:noWrap/>
            <w:vAlign w:val="bottom"/>
            <w:hideMark/>
          </w:tcPr>
          <w:p w14:paraId="62910658" w14:textId="77777777" w:rsidR="00F34AA9" w:rsidRPr="001E7D0F" w:rsidRDefault="00F34AA9" w:rsidP="00AA5DF1">
            <w:pPr>
              <w:spacing w:after="0"/>
              <w:rPr>
                <w:rFonts w:eastAsia="Times New Roman"/>
              </w:rPr>
            </w:pPr>
            <w:r w:rsidRPr="001E7D0F">
              <w:rPr>
                <w:rFonts w:eastAsia="Times New Roman"/>
              </w:rPr>
              <w:t> </w:t>
            </w:r>
          </w:p>
        </w:tc>
        <w:tc>
          <w:tcPr>
            <w:tcW w:w="1840" w:type="dxa"/>
            <w:tcBorders>
              <w:top w:val="nil"/>
              <w:left w:val="nil"/>
              <w:bottom w:val="single" w:sz="4" w:space="0" w:color="auto"/>
              <w:right w:val="single" w:sz="8" w:space="0" w:color="auto"/>
            </w:tcBorders>
            <w:shd w:val="clear" w:color="auto" w:fill="auto"/>
            <w:noWrap/>
            <w:vAlign w:val="bottom"/>
            <w:hideMark/>
          </w:tcPr>
          <w:p w14:paraId="70AD5627" w14:textId="77777777" w:rsidR="00F34AA9" w:rsidRPr="001E7D0F" w:rsidRDefault="00F34AA9" w:rsidP="00AA5DF1">
            <w:pPr>
              <w:spacing w:after="0"/>
              <w:rPr>
                <w:rFonts w:eastAsia="Times New Roman"/>
                <w:b/>
                <w:bCs/>
              </w:rPr>
            </w:pPr>
            <w:r w:rsidRPr="001E7D0F">
              <w:rPr>
                <w:rFonts w:eastAsia="Times New Roman"/>
                <w:b/>
                <w:bCs/>
              </w:rPr>
              <w:t> </w:t>
            </w:r>
          </w:p>
        </w:tc>
      </w:tr>
      <w:tr w:rsidR="00F34AA9" w:rsidRPr="001E7D0F" w14:paraId="23118E28" w14:textId="77777777" w:rsidTr="35CFDBE7">
        <w:trPr>
          <w:trHeight w:val="510"/>
        </w:trPr>
        <w:tc>
          <w:tcPr>
            <w:tcW w:w="4120" w:type="dxa"/>
            <w:tcBorders>
              <w:top w:val="nil"/>
              <w:left w:val="single" w:sz="8" w:space="0" w:color="auto"/>
              <w:bottom w:val="single" w:sz="4" w:space="0" w:color="auto"/>
              <w:right w:val="nil"/>
            </w:tcBorders>
            <w:shd w:val="clear" w:color="auto" w:fill="auto"/>
            <w:noWrap/>
            <w:vAlign w:val="bottom"/>
            <w:hideMark/>
          </w:tcPr>
          <w:p w14:paraId="53DFB732" w14:textId="77777777" w:rsidR="00F34AA9" w:rsidRPr="001E7D0F" w:rsidRDefault="00F34AA9" w:rsidP="00AA5DF1">
            <w:pPr>
              <w:spacing w:after="0"/>
              <w:rPr>
                <w:rFonts w:eastAsia="Times New Roman"/>
                <w:b/>
                <w:bCs/>
              </w:rPr>
            </w:pPr>
            <w:r w:rsidRPr="001E7D0F">
              <w:rPr>
                <w:rFonts w:eastAsia="Times New Roman"/>
                <w:b/>
                <w:bCs/>
                <w:lang w:val="fr-CA"/>
              </w:rPr>
              <w:t>Description</w:t>
            </w:r>
          </w:p>
        </w:tc>
        <w:tc>
          <w:tcPr>
            <w:tcW w:w="1600" w:type="dxa"/>
            <w:tcBorders>
              <w:top w:val="nil"/>
              <w:left w:val="nil"/>
              <w:bottom w:val="single" w:sz="4" w:space="0" w:color="auto"/>
              <w:right w:val="single" w:sz="8" w:space="0" w:color="auto"/>
            </w:tcBorders>
            <w:shd w:val="clear" w:color="auto" w:fill="auto"/>
            <w:noWrap/>
            <w:vAlign w:val="bottom"/>
            <w:hideMark/>
          </w:tcPr>
          <w:p w14:paraId="4883CCA2" w14:textId="77777777" w:rsidR="00F34AA9" w:rsidRPr="001E7D0F" w:rsidRDefault="00F34AA9" w:rsidP="00AA5DF1">
            <w:pPr>
              <w:spacing w:after="0"/>
              <w:rPr>
                <w:rFonts w:eastAsia="Times New Roman"/>
                <w:b/>
                <w:bCs/>
              </w:rPr>
            </w:pPr>
            <w:r w:rsidRPr="001E7D0F">
              <w:rPr>
                <w:rFonts w:eastAsia="Times New Roman"/>
                <w:b/>
                <w:bCs/>
              </w:rPr>
              <w:t xml:space="preserve"> </w:t>
            </w:r>
          </w:p>
        </w:tc>
        <w:tc>
          <w:tcPr>
            <w:tcW w:w="1977" w:type="dxa"/>
            <w:gridSpan w:val="2"/>
            <w:tcBorders>
              <w:top w:val="nil"/>
              <w:left w:val="nil"/>
              <w:bottom w:val="single" w:sz="4" w:space="0" w:color="auto"/>
              <w:right w:val="nil"/>
            </w:tcBorders>
            <w:shd w:val="clear" w:color="auto" w:fill="auto"/>
            <w:noWrap/>
            <w:vAlign w:val="bottom"/>
            <w:hideMark/>
          </w:tcPr>
          <w:p w14:paraId="034E4A08" w14:textId="77777777" w:rsidR="00F34AA9" w:rsidRPr="001E7D0F" w:rsidRDefault="00F34AA9" w:rsidP="00AA5DF1">
            <w:pPr>
              <w:spacing w:after="0"/>
              <w:rPr>
                <w:rFonts w:eastAsia="Times New Roman"/>
              </w:rPr>
            </w:pPr>
            <w:r w:rsidRPr="001E7D0F">
              <w:rPr>
                <w:rFonts w:eastAsia="Times New Roman"/>
                <w:lang w:val="fr-CA"/>
              </w:rPr>
              <w:t>Taux</w:t>
            </w:r>
          </w:p>
        </w:tc>
        <w:tc>
          <w:tcPr>
            <w:tcW w:w="872" w:type="dxa"/>
            <w:gridSpan w:val="2"/>
            <w:tcBorders>
              <w:top w:val="nil"/>
              <w:left w:val="nil"/>
              <w:bottom w:val="single" w:sz="4" w:space="0" w:color="auto"/>
              <w:right w:val="nil"/>
            </w:tcBorders>
            <w:shd w:val="clear" w:color="auto" w:fill="auto"/>
            <w:vAlign w:val="bottom"/>
            <w:hideMark/>
          </w:tcPr>
          <w:p w14:paraId="6D7ACCF3" w14:textId="77777777" w:rsidR="00F34AA9" w:rsidRPr="001E7D0F" w:rsidRDefault="00F34AA9" w:rsidP="00AA5DF1">
            <w:pPr>
              <w:spacing w:after="0"/>
              <w:rPr>
                <w:rFonts w:eastAsia="Times New Roman"/>
              </w:rPr>
            </w:pPr>
            <w:r w:rsidRPr="001E7D0F">
              <w:rPr>
                <w:rFonts w:eastAsia="Times New Roman"/>
                <w:lang w:val="fr-CA"/>
              </w:rPr>
              <w:t xml:space="preserve">Unités </w:t>
            </w:r>
            <w:r w:rsidRPr="001E7D0F">
              <w:rPr>
                <w:rFonts w:eastAsia="Times New Roman"/>
                <w:lang w:val="fr-CA"/>
              </w:rPr>
              <w:br/>
              <w:t>(Base)</w:t>
            </w:r>
          </w:p>
        </w:tc>
        <w:tc>
          <w:tcPr>
            <w:tcW w:w="1840" w:type="dxa"/>
            <w:tcBorders>
              <w:top w:val="nil"/>
              <w:left w:val="nil"/>
              <w:bottom w:val="single" w:sz="4" w:space="0" w:color="auto"/>
              <w:right w:val="single" w:sz="8" w:space="0" w:color="auto"/>
            </w:tcBorders>
            <w:shd w:val="clear" w:color="auto" w:fill="auto"/>
            <w:noWrap/>
            <w:vAlign w:val="bottom"/>
            <w:hideMark/>
          </w:tcPr>
          <w:p w14:paraId="1B158164" w14:textId="77777777" w:rsidR="00F34AA9" w:rsidRPr="001E7D0F" w:rsidRDefault="00F34AA9" w:rsidP="00AA5DF1">
            <w:pPr>
              <w:spacing w:after="0"/>
              <w:rPr>
                <w:rFonts w:eastAsia="Times New Roman"/>
              </w:rPr>
            </w:pPr>
            <w:r w:rsidRPr="001E7D0F">
              <w:rPr>
                <w:rFonts w:eastAsia="Times New Roman"/>
                <w:lang w:val="fr-CA"/>
              </w:rPr>
              <w:t>Total</w:t>
            </w:r>
          </w:p>
        </w:tc>
      </w:tr>
      <w:tr w:rsidR="00F34AA9" w:rsidRPr="001E7D0F" w14:paraId="54B8FB58"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73874A2D" w14:textId="77777777" w:rsidR="00F34AA9" w:rsidRPr="001E7D0F" w:rsidRDefault="00F34AA9" w:rsidP="00AA5DF1">
            <w:pPr>
              <w:spacing w:after="0"/>
              <w:rPr>
                <w:rFonts w:eastAsia="Times New Roman"/>
                <w:b/>
                <w:bCs/>
              </w:rPr>
            </w:pPr>
            <w:r w:rsidRPr="001E7D0F">
              <w:rPr>
                <w:rFonts w:eastAsia="Times New Roman"/>
                <w:b/>
                <w:bCs/>
              </w:rPr>
              <w:t> </w:t>
            </w:r>
          </w:p>
        </w:tc>
        <w:tc>
          <w:tcPr>
            <w:tcW w:w="1600" w:type="dxa"/>
            <w:tcBorders>
              <w:top w:val="nil"/>
              <w:left w:val="nil"/>
              <w:bottom w:val="single" w:sz="4" w:space="0" w:color="auto"/>
              <w:right w:val="single" w:sz="8" w:space="0" w:color="auto"/>
            </w:tcBorders>
            <w:shd w:val="clear" w:color="auto" w:fill="auto"/>
            <w:noWrap/>
            <w:vAlign w:val="bottom"/>
            <w:hideMark/>
          </w:tcPr>
          <w:p w14:paraId="2835A2A6"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nil"/>
              <w:left w:val="nil"/>
              <w:bottom w:val="single" w:sz="4" w:space="0" w:color="auto"/>
              <w:right w:val="nil"/>
            </w:tcBorders>
            <w:shd w:val="clear" w:color="auto" w:fill="auto"/>
            <w:noWrap/>
            <w:vAlign w:val="bottom"/>
            <w:hideMark/>
          </w:tcPr>
          <w:p w14:paraId="2CAD8F5A" w14:textId="77777777" w:rsidR="00F34AA9" w:rsidRPr="001E7D0F" w:rsidRDefault="00F34AA9" w:rsidP="00AA5DF1">
            <w:pPr>
              <w:spacing w:after="0"/>
              <w:rPr>
                <w:rFonts w:eastAsia="Times New Roman"/>
              </w:rPr>
            </w:pPr>
            <w:r w:rsidRPr="001E7D0F">
              <w:rPr>
                <w:rFonts w:eastAsia="Times New Roman"/>
              </w:rPr>
              <w:t> </w:t>
            </w:r>
          </w:p>
        </w:tc>
        <w:tc>
          <w:tcPr>
            <w:tcW w:w="872" w:type="dxa"/>
            <w:gridSpan w:val="2"/>
            <w:tcBorders>
              <w:top w:val="nil"/>
              <w:left w:val="nil"/>
              <w:bottom w:val="single" w:sz="4" w:space="0" w:color="auto"/>
              <w:right w:val="nil"/>
            </w:tcBorders>
            <w:shd w:val="clear" w:color="auto" w:fill="auto"/>
            <w:noWrap/>
            <w:vAlign w:val="bottom"/>
            <w:hideMark/>
          </w:tcPr>
          <w:p w14:paraId="19612965" w14:textId="77777777" w:rsidR="00F34AA9" w:rsidRPr="001E7D0F" w:rsidRDefault="00F34AA9" w:rsidP="00AA5DF1">
            <w:pPr>
              <w:spacing w:after="0"/>
              <w:rPr>
                <w:rFonts w:eastAsia="Times New Roman"/>
              </w:rPr>
            </w:pPr>
            <w:r w:rsidRPr="001E7D0F">
              <w:rPr>
                <w:rFonts w:eastAsia="Times New Roman"/>
              </w:rPr>
              <w:t> </w:t>
            </w:r>
          </w:p>
        </w:tc>
        <w:tc>
          <w:tcPr>
            <w:tcW w:w="1840" w:type="dxa"/>
            <w:tcBorders>
              <w:top w:val="nil"/>
              <w:left w:val="nil"/>
              <w:bottom w:val="single" w:sz="4" w:space="0" w:color="auto"/>
              <w:right w:val="single" w:sz="8" w:space="0" w:color="auto"/>
            </w:tcBorders>
            <w:shd w:val="clear" w:color="auto" w:fill="auto"/>
            <w:noWrap/>
            <w:vAlign w:val="bottom"/>
            <w:hideMark/>
          </w:tcPr>
          <w:p w14:paraId="3F7DB5EC" w14:textId="77777777" w:rsidR="00F34AA9" w:rsidRPr="001E7D0F" w:rsidRDefault="00F34AA9" w:rsidP="00AA5DF1">
            <w:pPr>
              <w:spacing w:after="0"/>
              <w:rPr>
                <w:rFonts w:eastAsia="Times New Roman"/>
              </w:rPr>
            </w:pPr>
            <w:r w:rsidRPr="001E7D0F">
              <w:rPr>
                <w:rFonts w:eastAsia="Times New Roman"/>
              </w:rPr>
              <w:t xml:space="preserve">   </w:t>
            </w:r>
          </w:p>
        </w:tc>
      </w:tr>
      <w:tr w:rsidR="00F34AA9" w:rsidRPr="001E7D0F" w14:paraId="05A35766"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578F4C4A" w14:textId="77777777" w:rsidR="00F34AA9" w:rsidRPr="001E7D0F" w:rsidRDefault="00F34AA9" w:rsidP="00AA5DF1">
            <w:pPr>
              <w:spacing w:after="0"/>
              <w:rPr>
                <w:rFonts w:eastAsia="Times New Roman"/>
              </w:rPr>
            </w:pPr>
            <w:r w:rsidRPr="001E7D0F">
              <w:rPr>
                <w:rFonts w:eastAsia="Times New Roman"/>
                <w:lang w:val="fr-CA"/>
              </w:rPr>
              <w:t>Assurance DBA </w:t>
            </w:r>
            <w:r w:rsidRPr="001E7D0F">
              <w:rPr>
                <w:rFonts w:eastAsia="Times New Roman"/>
                <w:b/>
                <w:bCs/>
                <w:color w:val="0000FF"/>
                <w:lang w:val="fr-CA"/>
              </w:rPr>
              <w:t>(*)</w:t>
            </w:r>
          </w:p>
        </w:tc>
        <w:tc>
          <w:tcPr>
            <w:tcW w:w="1600" w:type="dxa"/>
            <w:tcBorders>
              <w:top w:val="nil"/>
              <w:left w:val="nil"/>
              <w:bottom w:val="nil"/>
              <w:right w:val="single" w:sz="8" w:space="0" w:color="auto"/>
            </w:tcBorders>
            <w:shd w:val="clear" w:color="auto" w:fill="auto"/>
            <w:noWrap/>
            <w:vAlign w:val="bottom"/>
            <w:hideMark/>
          </w:tcPr>
          <w:p w14:paraId="2F6E8D3F" w14:textId="77777777" w:rsidR="00F34AA9" w:rsidRPr="001E7D0F" w:rsidRDefault="00F34AA9" w:rsidP="00AA5DF1">
            <w:pPr>
              <w:spacing w:after="0"/>
              <w:rPr>
                <w:rFonts w:eastAsia="Times New Roman"/>
              </w:rPr>
            </w:pPr>
            <w:r w:rsidRPr="001E7D0F">
              <w:rPr>
                <w:rFonts w:eastAsia="Times New Roman"/>
              </w:rPr>
              <w:t> </w:t>
            </w:r>
          </w:p>
        </w:tc>
        <w:tc>
          <w:tcPr>
            <w:tcW w:w="2517" w:type="dxa"/>
            <w:gridSpan w:val="3"/>
            <w:tcBorders>
              <w:top w:val="nil"/>
              <w:left w:val="nil"/>
              <w:bottom w:val="nil"/>
              <w:right w:val="nil"/>
            </w:tcBorders>
            <w:shd w:val="clear" w:color="auto" w:fill="auto"/>
            <w:noWrap/>
            <w:vAlign w:val="bottom"/>
            <w:hideMark/>
          </w:tcPr>
          <w:p w14:paraId="60D7B4A2" w14:textId="77777777" w:rsidR="00F34AA9" w:rsidRPr="001E7D0F" w:rsidRDefault="00F34AA9" w:rsidP="00AA5DF1">
            <w:pPr>
              <w:spacing w:after="0"/>
              <w:rPr>
                <w:rFonts w:eastAsia="Times New Roman"/>
              </w:rPr>
            </w:pPr>
            <w:r w:rsidRPr="001E7D0F">
              <w:rPr>
                <w:rFonts w:eastAsia="Times New Roman"/>
              </w:rPr>
              <w:t>Les soummissionaires peuvent inclure le coût du virement pour le paiement de l'assurance DBA</w:t>
            </w:r>
          </w:p>
        </w:tc>
        <w:tc>
          <w:tcPr>
            <w:tcW w:w="332" w:type="dxa"/>
            <w:tcBorders>
              <w:top w:val="nil"/>
              <w:left w:val="nil"/>
              <w:bottom w:val="nil"/>
              <w:right w:val="nil"/>
            </w:tcBorders>
            <w:shd w:val="clear" w:color="auto" w:fill="auto"/>
            <w:noWrap/>
            <w:vAlign w:val="bottom"/>
            <w:hideMark/>
          </w:tcPr>
          <w:p w14:paraId="4E398451"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0F95EC9F" w14:textId="77777777" w:rsidR="00F34AA9" w:rsidRPr="001E7D0F" w:rsidRDefault="00F34AA9" w:rsidP="00AA5DF1">
            <w:pPr>
              <w:spacing w:after="0"/>
              <w:rPr>
                <w:rFonts w:eastAsia="Times New Roman"/>
              </w:rPr>
            </w:pPr>
            <w:r w:rsidRPr="001E7D0F">
              <w:rPr>
                <w:rFonts w:eastAsia="Times New Roman"/>
              </w:rPr>
              <w:t xml:space="preserve">                         </w:t>
            </w:r>
            <w:r w:rsidRPr="001E7D0F">
              <w:rPr>
                <w:rFonts w:eastAsia="Times New Roman"/>
                <w:lang w:val="fr-CA"/>
              </w:rPr>
              <w:t xml:space="preserve">-   </w:t>
            </w:r>
          </w:p>
        </w:tc>
      </w:tr>
      <w:tr w:rsidR="00F34AA9" w:rsidRPr="001E7D0F" w14:paraId="3EE512C0"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665C8A0B"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0728A55C"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3D5C7A56"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1FCE0CC3"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3ECC4E4F"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216EE4A4"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750D38B9"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1745FD68"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73173D58"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5D994C82"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5D18F4A9"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03D09F1D"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36463AF9"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3F5142AA"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2B77564A"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1C362941"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64D96A51"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1CF657F0"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7574CE69" w14:textId="77777777" w:rsidR="00F34AA9" w:rsidRPr="001E7D0F" w:rsidRDefault="00F34AA9" w:rsidP="00AA5DF1">
            <w:pPr>
              <w:spacing w:after="0"/>
              <w:rPr>
                <w:rFonts w:eastAsia="Times New Roman"/>
              </w:rPr>
            </w:pPr>
            <w:r w:rsidRPr="001E7D0F">
              <w:rPr>
                <w:rFonts w:eastAsia="Times New Roman"/>
              </w:rPr>
              <w:t> </w:t>
            </w:r>
          </w:p>
        </w:tc>
        <w:tc>
          <w:tcPr>
            <w:tcW w:w="1600" w:type="dxa"/>
            <w:tcBorders>
              <w:top w:val="nil"/>
              <w:left w:val="nil"/>
              <w:bottom w:val="nil"/>
              <w:right w:val="single" w:sz="8" w:space="0" w:color="auto"/>
            </w:tcBorders>
            <w:shd w:val="clear" w:color="auto" w:fill="auto"/>
            <w:noWrap/>
            <w:vAlign w:val="bottom"/>
            <w:hideMark/>
          </w:tcPr>
          <w:p w14:paraId="1D1F78CC" w14:textId="77777777" w:rsidR="00F34AA9" w:rsidRPr="001E7D0F" w:rsidRDefault="00F34AA9" w:rsidP="00AA5DF1">
            <w:pPr>
              <w:spacing w:after="0"/>
              <w:rPr>
                <w:rFonts w:eastAsia="Times New Roman"/>
              </w:rPr>
            </w:pPr>
            <w:r w:rsidRPr="001E7D0F">
              <w:rPr>
                <w:rFonts w:eastAsia="Times New Roman"/>
              </w:rPr>
              <w:t> </w:t>
            </w:r>
          </w:p>
        </w:tc>
        <w:tc>
          <w:tcPr>
            <w:tcW w:w="1977" w:type="dxa"/>
            <w:gridSpan w:val="2"/>
            <w:tcBorders>
              <w:top w:val="nil"/>
              <w:left w:val="nil"/>
              <w:bottom w:val="nil"/>
              <w:right w:val="nil"/>
            </w:tcBorders>
            <w:shd w:val="clear" w:color="auto" w:fill="auto"/>
            <w:noWrap/>
            <w:vAlign w:val="bottom"/>
            <w:hideMark/>
          </w:tcPr>
          <w:p w14:paraId="5B69FE41"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noWrap/>
            <w:vAlign w:val="bottom"/>
            <w:hideMark/>
          </w:tcPr>
          <w:p w14:paraId="0C4BDCC8"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55619DFA" w14:textId="77777777" w:rsidR="00F34AA9" w:rsidRPr="001E7D0F" w:rsidRDefault="00F34AA9" w:rsidP="00AA5DF1">
            <w:pPr>
              <w:spacing w:after="0"/>
              <w:rPr>
                <w:rFonts w:eastAsia="Times New Roman"/>
              </w:rPr>
            </w:pPr>
            <w:r w:rsidRPr="001E7D0F">
              <w:rPr>
                <w:rFonts w:eastAsia="Times New Roman"/>
                <w:lang w:val="fr-CA"/>
              </w:rPr>
              <w:t xml:space="preserve">                         -   </w:t>
            </w:r>
          </w:p>
        </w:tc>
      </w:tr>
      <w:tr w:rsidR="00F34AA9" w:rsidRPr="001E7D0F" w14:paraId="5AAAD632" w14:textId="77777777" w:rsidTr="35CFDBE7">
        <w:trPr>
          <w:trHeight w:val="255"/>
        </w:trPr>
        <w:tc>
          <w:tcPr>
            <w:tcW w:w="4120" w:type="dxa"/>
            <w:tcBorders>
              <w:top w:val="single" w:sz="4" w:space="0" w:color="auto"/>
              <w:left w:val="single" w:sz="8" w:space="0" w:color="auto"/>
              <w:bottom w:val="single" w:sz="4" w:space="0" w:color="auto"/>
              <w:right w:val="nil"/>
            </w:tcBorders>
            <w:shd w:val="clear" w:color="auto" w:fill="CCFFCC"/>
            <w:noWrap/>
            <w:vAlign w:val="bottom"/>
            <w:hideMark/>
          </w:tcPr>
          <w:p w14:paraId="31985D0B" w14:textId="77777777" w:rsidR="00F34AA9" w:rsidRPr="001E7D0F" w:rsidRDefault="00F34AA9" w:rsidP="00AA5DF1">
            <w:pPr>
              <w:spacing w:after="0"/>
              <w:rPr>
                <w:rFonts w:eastAsia="Times New Roman"/>
                <w:b/>
                <w:bCs/>
              </w:rPr>
            </w:pPr>
            <w:r w:rsidRPr="001E7D0F">
              <w:rPr>
                <w:b/>
                <w:bCs/>
                <w:lang w:val="fr-CA"/>
              </w:rPr>
              <w:t>Total des autres coûts directs</w:t>
            </w:r>
          </w:p>
        </w:tc>
        <w:tc>
          <w:tcPr>
            <w:tcW w:w="1600" w:type="dxa"/>
            <w:tcBorders>
              <w:top w:val="single" w:sz="4" w:space="0" w:color="auto"/>
              <w:left w:val="nil"/>
              <w:bottom w:val="single" w:sz="4" w:space="0" w:color="auto"/>
              <w:right w:val="single" w:sz="8" w:space="0" w:color="auto"/>
            </w:tcBorders>
            <w:shd w:val="clear" w:color="auto" w:fill="CCFFCC"/>
            <w:noWrap/>
            <w:vAlign w:val="bottom"/>
            <w:hideMark/>
          </w:tcPr>
          <w:p w14:paraId="3D363415"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single" w:sz="4" w:space="0" w:color="auto"/>
              <w:left w:val="nil"/>
              <w:bottom w:val="single" w:sz="4" w:space="0" w:color="auto"/>
              <w:right w:val="nil"/>
            </w:tcBorders>
            <w:shd w:val="clear" w:color="auto" w:fill="CCFFCC"/>
            <w:noWrap/>
            <w:vAlign w:val="bottom"/>
            <w:hideMark/>
          </w:tcPr>
          <w:p w14:paraId="6378CF3C"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single" w:sz="4" w:space="0" w:color="auto"/>
              <w:left w:val="nil"/>
              <w:bottom w:val="single" w:sz="4" w:space="0" w:color="auto"/>
              <w:right w:val="nil"/>
            </w:tcBorders>
            <w:shd w:val="clear" w:color="auto" w:fill="CCFFCC"/>
            <w:noWrap/>
            <w:vAlign w:val="bottom"/>
            <w:hideMark/>
          </w:tcPr>
          <w:p w14:paraId="2CB3272F" w14:textId="77777777" w:rsidR="00F34AA9" w:rsidRPr="001E7D0F" w:rsidRDefault="00F34AA9" w:rsidP="00AA5DF1">
            <w:pPr>
              <w:spacing w:after="0"/>
              <w:rPr>
                <w:rFonts w:eastAsia="Times New Roman"/>
                <w:b/>
                <w:bCs/>
              </w:rPr>
            </w:pPr>
            <w:r w:rsidRPr="001E7D0F">
              <w:rPr>
                <w:rFonts w:eastAsia="Times New Roman"/>
                <w:b/>
                <w:bCs/>
              </w:rPr>
              <w:t> </w:t>
            </w:r>
          </w:p>
        </w:tc>
        <w:tc>
          <w:tcPr>
            <w:tcW w:w="1840" w:type="dxa"/>
            <w:tcBorders>
              <w:top w:val="single" w:sz="4" w:space="0" w:color="auto"/>
              <w:left w:val="nil"/>
              <w:bottom w:val="single" w:sz="4" w:space="0" w:color="auto"/>
              <w:right w:val="single" w:sz="8" w:space="0" w:color="auto"/>
            </w:tcBorders>
            <w:shd w:val="clear" w:color="auto" w:fill="CCFFCC"/>
            <w:noWrap/>
            <w:vAlign w:val="bottom"/>
            <w:hideMark/>
          </w:tcPr>
          <w:p w14:paraId="6FF30F9C" w14:textId="77777777" w:rsidR="00F34AA9" w:rsidRPr="001E7D0F" w:rsidRDefault="00F34AA9" w:rsidP="00AA5DF1">
            <w:pPr>
              <w:spacing w:after="0"/>
              <w:rPr>
                <w:rFonts w:eastAsia="Times New Roman"/>
                <w:b/>
                <w:bCs/>
              </w:rPr>
            </w:pPr>
            <w:r w:rsidRPr="001E7D0F">
              <w:rPr>
                <w:rFonts w:eastAsia="Times New Roman"/>
                <w:b/>
                <w:bCs/>
                <w:lang w:val="fr-CA"/>
              </w:rPr>
              <w:t xml:space="preserve">                         -   </w:t>
            </w:r>
          </w:p>
        </w:tc>
      </w:tr>
      <w:tr w:rsidR="00F34AA9" w:rsidRPr="001E7D0F" w14:paraId="4CA0CD7C" w14:textId="77777777" w:rsidTr="35CFDBE7">
        <w:trPr>
          <w:trHeight w:val="255"/>
        </w:trPr>
        <w:tc>
          <w:tcPr>
            <w:tcW w:w="4120" w:type="dxa"/>
            <w:tcBorders>
              <w:top w:val="nil"/>
              <w:left w:val="single" w:sz="8" w:space="0" w:color="auto"/>
              <w:bottom w:val="nil"/>
              <w:right w:val="nil"/>
            </w:tcBorders>
            <w:shd w:val="clear" w:color="auto" w:fill="auto"/>
            <w:noWrap/>
            <w:vAlign w:val="bottom"/>
            <w:hideMark/>
          </w:tcPr>
          <w:p w14:paraId="66E8262F" w14:textId="77777777" w:rsidR="00F34AA9" w:rsidRPr="001E7D0F" w:rsidRDefault="00F34AA9" w:rsidP="00AA5DF1">
            <w:pPr>
              <w:spacing w:after="0"/>
              <w:rPr>
                <w:rFonts w:eastAsia="Times New Roman"/>
                <w:b/>
                <w:bCs/>
                <w:color w:val="0000FF"/>
              </w:rPr>
            </w:pPr>
            <w:r w:rsidRPr="001E7D0F">
              <w:rPr>
                <w:b/>
                <w:bCs/>
                <w:color w:val="0000FF"/>
                <w:lang w:val="fr-CA"/>
              </w:rPr>
              <w:t>Frais</w:t>
            </w:r>
          </w:p>
        </w:tc>
        <w:tc>
          <w:tcPr>
            <w:tcW w:w="1600" w:type="dxa"/>
            <w:tcBorders>
              <w:top w:val="nil"/>
              <w:left w:val="nil"/>
              <w:bottom w:val="nil"/>
              <w:right w:val="single" w:sz="8" w:space="0" w:color="auto"/>
            </w:tcBorders>
            <w:shd w:val="clear" w:color="auto" w:fill="auto"/>
            <w:noWrap/>
            <w:vAlign w:val="bottom"/>
            <w:hideMark/>
          </w:tcPr>
          <w:p w14:paraId="730DDA19"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nil"/>
              <w:left w:val="nil"/>
              <w:bottom w:val="nil"/>
              <w:right w:val="nil"/>
            </w:tcBorders>
            <w:shd w:val="clear" w:color="auto" w:fill="auto"/>
            <w:noWrap/>
            <w:vAlign w:val="bottom"/>
            <w:hideMark/>
          </w:tcPr>
          <w:p w14:paraId="7574E90A" w14:textId="77777777" w:rsidR="00F34AA9" w:rsidRPr="001E7D0F" w:rsidRDefault="00F34AA9" w:rsidP="00AA5DF1">
            <w:pPr>
              <w:spacing w:after="0"/>
              <w:rPr>
                <w:rFonts w:eastAsia="Times New Roman"/>
              </w:rPr>
            </w:pPr>
          </w:p>
        </w:tc>
        <w:tc>
          <w:tcPr>
            <w:tcW w:w="872" w:type="dxa"/>
            <w:gridSpan w:val="2"/>
            <w:tcBorders>
              <w:top w:val="nil"/>
              <w:left w:val="nil"/>
              <w:bottom w:val="nil"/>
              <w:right w:val="nil"/>
            </w:tcBorders>
            <w:shd w:val="clear" w:color="auto" w:fill="auto"/>
            <w:vAlign w:val="bottom"/>
            <w:hideMark/>
          </w:tcPr>
          <w:p w14:paraId="211D1D7F" w14:textId="77777777" w:rsidR="00F34AA9" w:rsidRPr="001E7D0F" w:rsidRDefault="00F34AA9" w:rsidP="00AA5DF1">
            <w:pPr>
              <w:spacing w:after="0"/>
              <w:rPr>
                <w:rFonts w:eastAsia="Times New Roman"/>
              </w:rPr>
            </w:pPr>
          </w:p>
        </w:tc>
        <w:tc>
          <w:tcPr>
            <w:tcW w:w="1840" w:type="dxa"/>
            <w:tcBorders>
              <w:top w:val="nil"/>
              <w:left w:val="nil"/>
              <w:bottom w:val="nil"/>
              <w:right w:val="single" w:sz="8" w:space="0" w:color="auto"/>
            </w:tcBorders>
            <w:shd w:val="clear" w:color="auto" w:fill="auto"/>
            <w:noWrap/>
            <w:vAlign w:val="bottom"/>
            <w:hideMark/>
          </w:tcPr>
          <w:p w14:paraId="75014429" w14:textId="77777777" w:rsidR="00F34AA9" w:rsidRPr="001E7D0F" w:rsidRDefault="00F34AA9" w:rsidP="00AA5DF1">
            <w:pPr>
              <w:spacing w:after="0"/>
              <w:rPr>
                <w:rFonts w:eastAsia="Times New Roman"/>
              </w:rPr>
            </w:pPr>
            <w:r w:rsidRPr="001E7D0F">
              <w:rPr>
                <w:rFonts w:eastAsia="Times New Roman"/>
              </w:rPr>
              <w:t> </w:t>
            </w:r>
          </w:p>
        </w:tc>
      </w:tr>
      <w:tr w:rsidR="00F34AA9" w:rsidRPr="001E7D0F" w14:paraId="769F9DA2" w14:textId="77777777" w:rsidTr="35CFDBE7">
        <w:trPr>
          <w:trHeight w:val="255"/>
        </w:trPr>
        <w:tc>
          <w:tcPr>
            <w:tcW w:w="4120" w:type="dxa"/>
            <w:tcBorders>
              <w:top w:val="nil"/>
              <w:left w:val="single" w:sz="8" w:space="0" w:color="auto"/>
              <w:bottom w:val="single" w:sz="4" w:space="0" w:color="auto"/>
              <w:right w:val="nil"/>
            </w:tcBorders>
            <w:shd w:val="clear" w:color="auto" w:fill="auto"/>
            <w:noWrap/>
            <w:vAlign w:val="bottom"/>
            <w:hideMark/>
          </w:tcPr>
          <w:p w14:paraId="4FF7D9CC" w14:textId="77777777" w:rsidR="00F34AA9" w:rsidRPr="001E7D0F" w:rsidRDefault="00F34AA9" w:rsidP="00AA5DF1">
            <w:pPr>
              <w:spacing w:after="0"/>
              <w:rPr>
                <w:rFonts w:eastAsia="Times New Roman"/>
                <w:b/>
                <w:bCs/>
              </w:rPr>
            </w:pPr>
            <w:r w:rsidRPr="001E7D0F">
              <w:rPr>
                <w:b/>
                <w:bCs/>
              </w:rPr>
              <w:t> </w:t>
            </w:r>
          </w:p>
        </w:tc>
        <w:tc>
          <w:tcPr>
            <w:tcW w:w="1600" w:type="dxa"/>
            <w:tcBorders>
              <w:top w:val="nil"/>
              <w:left w:val="nil"/>
              <w:bottom w:val="single" w:sz="4" w:space="0" w:color="auto"/>
              <w:right w:val="single" w:sz="8" w:space="0" w:color="auto"/>
            </w:tcBorders>
            <w:shd w:val="clear" w:color="auto" w:fill="auto"/>
            <w:noWrap/>
            <w:vAlign w:val="bottom"/>
            <w:hideMark/>
          </w:tcPr>
          <w:p w14:paraId="726B5972"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nil"/>
              <w:left w:val="nil"/>
              <w:bottom w:val="single" w:sz="4" w:space="0" w:color="auto"/>
              <w:right w:val="nil"/>
            </w:tcBorders>
            <w:shd w:val="clear" w:color="auto" w:fill="auto"/>
            <w:noWrap/>
            <w:vAlign w:val="bottom"/>
            <w:hideMark/>
          </w:tcPr>
          <w:p w14:paraId="1B5371AA"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nil"/>
              <w:left w:val="nil"/>
              <w:bottom w:val="single" w:sz="4" w:space="0" w:color="auto"/>
              <w:right w:val="nil"/>
            </w:tcBorders>
            <w:shd w:val="clear" w:color="auto" w:fill="auto"/>
            <w:noWrap/>
            <w:vAlign w:val="bottom"/>
            <w:hideMark/>
          </w:tcPr>
          <w:p w14:paraId="6B3C34FC" w14:textId="77777777" w:rsidR="00F34AA9" w:rsidRPr="001E7D0F" w:rsidRDefault="00F34AA9" w:rsidP="00AA5DF1">
            <w:pPr>
              <w:spacing w:after="0"/>
              <w:rPr>
                <w:rFonts w:eastAsia="Times New Roman"/>
                <w:b/>
                <w:bCs/>
              </w:rPr>
            </w:pPr>
            <w:r w:rsidRPr="001E7D0F">
              <w:rPr>
                <w:rFonts w:eastAsia="Times New Roman"/>
                <w:b/>
                <w:bCs/>
              </w:rPr>
              <w:t> </w:t>
            </w:r>
          </w:p>
        </w:tc>
        <w:tc>
          <w:tcPr>
            <w:tcW w:w="1840" w:type="dxa"/>
            <w:tcBorders>
              <w:top w:val="nil"/>
              <w:left w:val="nil"/>
              <w:bottom w:val="single" w:sz="4" w:space="0" w:color="auto"/>
              <w:right w:val="single" w:sz="8" w:space="0" w:color="auto"/>
            </w:tcBorders>
            <w:shd w:val="clear" w:color="auto" w:fill="auto"/>
            <w:noWrap/>
            <w:vAlign w:val="bottom"/>
            <w:hideMark/>
          </w:tcPr>
          <w:p w14:paraId="7FC9AA85" w14:textId="77777777" w:rsidR="00F34AA9" w:rsidRPr="001E7D0F" w:rsidRDefault="00F34AA9" w:rsidP="00AA5DF1">
            <w:pPr>
              <w:spacing w:after="0"/>
              <w:rPr>
                <w:rFonts w:eastAsia="Times New Roman"/>
                <w:b/>
                <w:bCs/>
              </w:rPr>
            </w:pPr>
            <w:r w:rsidRPr="001E7D0F">
              <w:rPr>
                <w:rFonts w:eastAsia="Times New Roman"/>
                <w:b/>
                <w:bCs/>
                <w:lang w:val="fr-CA"/>
              </w:rPr>
              <w:t xml:space="preserve">                         -   </w:t>
            </w:r>
          </w:p>
        </w:tc>
      </w:tr>
      <w:tr w:rsidR="00F34AA9" w:rsidRPr="001E7D0F" w14:paraId="588A4896" w14:textId="77777777" w:rsidTr="35CFDBE7">
        <w:trPr>
          <w:trHeight w:val="270"/>
        </w:trPr>
        <w:tc>
          <w:tcPr>
            <w:tcW w:w="4120" w:type="dxa"/>
            <w:tcBorders>
              <w:top w:val="nil"/>
              <w:left w:val="single" w:sz="8" w:space="0" w:color="auto"/>
              <w:bottom w:val="nil"/>
              <w:right w:val="nil"/>
            </w:tcBorders>
            <w:shd w:val="clear" w:color="auto" w:fill="CCFFCC"/>
            <w:noWrap/>
            <w:vAlign w:val="bottom"/>
            <w:hideMark/>
          </w:tcPr>
          <w:p w14:paraId="646F50A7" w14:textId="77777777" w:rsidR="00F34AA9" w:rsidRPr="001E7D0F" w:rsidRDefault="00F34AA9" w:rsidP="00AA5DF1">
            <w:pPr>
              <w:spacing w:after="0"/>
              <w:rPr>
                <w:rFonts w:eastAsia="Times New Roman"/>
                <w:b/>
                <w:bCs/>
              </w:rPr>
            </w:pPr>
            <w:r w:rsidRPr="001E7D0F">
              <w:rPr>
                <w:b/>
                <w:bCs/>
                <w:lang w:val="fr-CA"/>
              </w:rPr>
              <w:lastRenderedPageBreak/>
              <w:t>Total à payer</w:t>
            </w:r>
          </w:p>
        </w:tc>
        <w:tc>
          <w:tcPr>
            <w:tcW w:w="1600" w:type="dxa"/>
            <w:tcBorders>
              <w:top w:val="nil"/>
              <w:left w:val="nil"/>
              <w:bottom w:val="nil"/>
              <w:right w:val="single" w:sz="8" w:space="0" w:color="auto"/>
            </w:tcBorders>
            <w:shd w:val="clear" w:color="auto" w:fill="CCFFCC"/>
            <w:noWrap/>
            <w:vAlign w:val="bottom"/>
            <w:hideMark/>
          </w:tcPr>
          <w:p w14:paraId="1D75F9CD"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nil"/>
              <w:left w:val="nil"/>
              <w:bottom w:val="nil"/>
              <w:right w:val="nil"/>
            </w:tcBorders>
            <w:shd w:val="clear" w:color="auto" w:fill="CCFFCC"/>
            <w:noWrap/>
            <w:vAlign w:val="bottom"/>
            <w:hideMark/>
          </w:tcPr>
          <w:p w14:paraId="51FCECDC"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nil"/>
              <w:left w:val="nil"/>
              <w:bottom w:val="nil"/>
              <w:right w:val="nil"/>
            </w:tcBorders>
            <w:shd w:val="clear" w:color="auto" w:fill="CCFFCC"/>
            <w:noWrap/>
            <w:vAlign w:val="bottom"/>
            <w:hideMark/>
          </w:tcPr>
          <w:p w14:paraId="6F17A762" w14:textId="77777777" w:rsidR="00F34AA9" w:rsidRPr="001E7D0F" w:rsidRDefault="00F34AA9" w:rsidP="00AA5DF1">
            <w:pPr>
              <w:spacing w:after="0"/>
              <w:rPr>
                <w:rFonts w:eastAsia="Times New Roman"/>
                <w:b/>
                <w:bCs/>
              </w:rPr>
            </w:pPr>
            <w:r w:rsidRPr="001E7D0F">
              <w:rPr>
                <w:rFonts w:eastAsia="Times New Roman"/>
                <w:b/>
                <w:bCs/>
              </w:rPr>
              <w:t> </w:t>
            </w:r>
          </w:p>
        </w:tc>
        <w:tc>
          <w:tcPr>
            <w:tcW w:w="1840" w:type="dxa"/>
            <w:tcBorders>
              <w:top w:val="nil"/>
              <w:left w:val="nil"/>
              <w:bottom w:val="nil"/>
              <w:right w:val="single" w:sz="8" w:space="0" w:color="auto"/>
            </w:tcBorders>
            <w:shd w:val="clear" w:color="auto" w:fill="CCFFCC"/>
            <w:noWrap/>
            <w:vAlign w:val="bottom"/>
            <w:hideMark/>
          </w:tcPr>
          <w:p w14:paraId="797D5747" w14:textId="77777777" w:rsidR="00F34AA9" w:rsidRPr="001E7D0F" w:rsidRDefault="00F34AA9" w:rsidP="00AA5DF1">
            <w:pPr>
              <w:spacing w:after="0"/>
              <w:rPr>
                <w:rFonts w:eastAsia="Times New Roman"/>
                <w:b/>
                <w:bCs/>
              </w:rPr>
            </w:pPr>
            <w:r w:rsidRPr="001E7D0F">
              <w:rPr>
                <w:rFonts w:eastAsia="Times New Roman"/>
                <w:b/>
                <w:bCs/>
                <w:lang w:val="fr-CA"/>
              </w:rPr>
              <w:t xml:space="preserve">                         -   </w:t>
            </w:r>
          </w:p>
        </w:tc>
      </w:tr>
      <w:tr w:rsidR="00F34AA9" w:rsidRPr="001E7D0F" w14:paraId="65C3B5D3" w14:textId="77777777" w:rsidTr="35CFDBE7">
        <w:trPr>
          <w:trHeight w:val="270"/>
        </w:trPr>
        <w:tc>
          <w:tcPr>
            <w:tcW w:w="4120" w:type="dxa"/>
            <w:tcBorders>
              <w:top w:val="single" w:sz="8" w:space="0" w:color="auto"/>
              <w:left w:val="single" w:sz="8" w:space="0" w:color="auto"/>
              <w:bottom w:val="single" w:sz="8" w:space="0" w:color="auto"/>
              <w:right w:val="nil"/>
            </w:tcBorders>
            <w:shd w:val="clear" w:color="auto" w:fill="C0C0C0"/>
            <w:noWrap/>
            <w:vAlign w:val="bottom"/>
            <w:hideMark/>
          </w:tcPr>
          <w:p w14:paraId="4C0F7DD4" w14:textId="77777777" w:rsidR="00F34AA9" w:rsidRPr="001E7D0F" w:rsidRDefault="00F34AA9" w:rsidP="00AA5DF1">
            <w:pPr>
              <w:spacing w:after="0"/>
              <w:rPr>
                <w:rFonts w:eastAsia="Times New Roman"/>
                <w:b/>
                <w:bCs/>
              </w:rPr>
            </w:pPr>
            <w:r w:rsidRPr="001E7D0F">
              <w:rPr>
                <w:b/>
                <w:bCs/>
                <w:lang w:val="fr-CA"/>
              </w:rPr>
              <w:t>TOTAL DES COÛTS</w:t>
            </w:r>
          </w:p>
        </w:tc>
        <w:tc>
          <w:tcPr>
            <w:tcW w:w="1600" w:type="dxa"/>
            <w:tcBorders>
              <w:top w:val="single" w:sz="8" w:space="0" w:color="auto"/>
              <w:left w:val="nil"/>
              <w:bottom w:val="single" w:sz="8" w:space="0" w:color="auto"/>
              <w:right w:val="single" w:sz="8" w:space="0" w:color="auto"/>
            </w:tcBorders>
            <w:shd w:val="clear" w:color="auto" w:fill="C0C0C0"/>
            <w:noWrap/>
            <w:vAlign w:val="bottom"/>
            <w:hideMark/>
          </w:tcPr>
          <w:p w14:paraId="095B17F8" w14:textId="77777777" w:rsidR="00F34AA9" w:rsidRPr="001E7D0F" w:rsidRDefault="00F34AA9" w:rsidP="00AA5DF1">
            <w:pPr>
              <w:spacing w:after="0"/>
              <w:rPr>
                <w:rFonts w:eastAsia="Times New Roman"/>
                <w:b/>
                <w:bCs/>
              </w:rPr>
            </w:pPr>
            <w:r w:rsidRPr="001E7D0F">
              <w:rPr>
                <w:rFonts w:eastAsia="Times New Roman"/>
                <w:b/>
                <w:bCs/>
              </w:rPr>
              <w:t> </w:t>
            </w:r>
          </w:p>
        </w:tc>
        <w:tc>
          <w:tcPr>
            <w:tcW w:w="1977" w:type="dxa"/>
            <w:gridSpan w:val="2"/>
            <w:tcBorders>
              <w:top w:val="single" w:sz="8" w:space="0" w:color="auto"/>
              <w:left w:val="nil"/>
              <w:bottom w:val="single" w:sz="8" w:space="0" w:color="auto"/>
              <w:right w:val="nil"/>
            </w:tcBorders>
            <w:shd w:val="clear" w:color="auto" w:fill="C0C0C0"/>
            <w:noWrap/>
            <w:vAlign w:val="bottom"/>
            <w:hideMark/>
          </w:tcPr>
          <w:p w14:paraId="06B3326E" w14:textId="77777777" w:rsidR="00F34AA9" w:rsidRPr="001E7D0F" w:rsidRDefault="00F34AA9" w:rsidP="00AA5DF1">
            <w:pPr>
              <w:spacing w:after="0"/>
              <w:rPr>
                <w:rFonts w:eastAsia="Times New Roman"/>
                <w:b/>
                <w:bCs/>
              </w:rPr>
            </w:pPr>
            <w:r w:rsidRPr="001E7D0F">
              <w:rPr>
                <w:rFonts w:eastAsia="Times New Roman"/>
                <w:b/>
                <w:bCs/>
              </w:rPr>
              <w:t> </w:t>
            </w:r>
          </w:p>
        </w:tc>
        <w:tc>
          <w:tcPr>
            <w:tcW w:w="872" w:type="dxa"/>
            <w:gridSpan w:val="2"/>
            <w:tcBorders>
              <w:top w:val="single" w:sz="8" w:space="0" w:color="auto"/>
              <w:left w:val="nil"/>
              <w:bottom w:val="single" w:sz="8" w:space="0" w:color="auto"/>
              <w:right w:val="nil"/>
            </w:tcBorders>
            <w:shd w:val="clear" w:color="auto" w:fill="C0C0C0"/>
            <w:noWrap/>
            <w:vAlign w:val="bottom"/>
            <w:hideMark/>
          </w:tcPr>
          <w:p w14:paraId="23A25551" w14:textId="77777777" w:rsidR="00F34AA9" w:rsidRPr="001E7D0F" w:rsidRDefault="00F34AA9" w:rsidP="00AA5DF1">
            <w:pPr>
              <w:spacing w:after="0"/>
              <w:rPr>
                <w:rFonts w:eastAsia="Times New Roman"/>
                <w:b/>
                <w:bCs/>
              </w:rPr>
            </w:pPr>
            <w:r w:rsidRPr="001E7D0F">
              <w:rPr>
                <w:rFonts w:eastAsia="Times New Roman"/>
                <w:b/>
                <w:bCs/>
              </w:rPr>
              <w:t> </w:t>
            </w:r>
          </w:p>
        </w:tc>
        <w:tc>
          <w:tcPr>
            <w:tcW w:w="1840" w:type="dxa"/>
            <w:tcBorders>
              <w:top w:val="single" w:sz="8" w:space="0" w:color="auto"/>
              <w:left w:val="nil"/>
              <w:bottom w:val="single" w:sz="8" w:space="0" w:color="auto"/>
              <w:right w:val="single" w:sz="8" w:space="0" w:color="auto"/>
            </w:tcBorders>
            <w:shd w:val="clear" w:color="auto" w:fill="C0C0C0"/>
            <w:noWrap/>
            <w:vAlign w:val="bottom"/>
            <w:hideMark/>
          </w:tcPr>
          <w:p w14:paraId="25AFD679" w14:textId="77777777" w:rsidR="00F34AA9" w:rsidRPr="001E7D0F" w:rsidRDefault="00F34AA9" w:rsidP="00AA5DF1">
            <w:pPr>
              <w:spacing w:after="0"/>
              <w:rPr>
                <w:rFonts w:eastAsia="Times New Roman"/>
                <w:b/>
                <w:bCs/>
              </w:rPr>
            </w:pPr>
            <w:r w:rsidRPr="001E7D0F">
              <w:rPr>
                <w:rFonts w:eastAsia="Times New Roman"/>
                <w:b/>
                <w:bCs/>
                <w:lang w:val="fr-CA"/>
              </w:rPr>
              <w:t xml:space="preserve"> $                      - </w:t>
            </w:r>
          </w:p>
        </w:tc>
      </w:tr>
    </w:tbl>
    <w:p w14:paraId="20233FA3" w14:textId="0673951E" w:rsidR="00F34AA9" w:rsidRPr="001E7D0F" w:rsidRDefault="61FE2BF5" w:rsidP="02617CDC">
      <w:pPr>
        <w:spacing w:after="0"/>
        <w:rPr>
          <w:b/>
          <w:bCs/>
          <w:color w:val="0000FF"/>
        </w:rPr>
      </w:pPr>
      <w:r w:rsidRPr="61FE2BF5">
        <w:rPr>
          <w:b/>
          <w:bCs/>
          <w:color w:val="0000FF"/>
          <w:lang w:val="fr-CA"/>
        </w:rPr>
        <w:t>DBA est calculé sur les salaires réels de tous les consultants locaux et sur les salaires réels des expatriés lorsqu’ils sont dans le pays coopérant.</w:t>
      </w:r>
    </w:p>
    <w:p w14:paraId="034D1DD8" w14:textId="77777777" w:rsidR="00F34AA9" w:rsidRPr="001E7D0F" w:rsidRDefault="00F34AA9" w:rsidP="00F34AA9">
      <w:pPr>
        <w:rPr>
          <w:b/>
        </w:rPr>
      </w:pPr>
      <w:r w:rsidRPr="001E7D0F">
        <w:rPr>
          <w:b/>
        </w:rPr>
        <w:br w:type="page"/>
      </w:r>
    </w:p>
    <w:p w14:paraId="407EA1D7" w14:textId="77777777" w:rsidR="00F34AA9" w:rsidRPr="001E7D0F" w:rsidRDefault="00F34AA9" w:rsidP="00F34AA9">
      <w:pPr>
        <w:rPr>
          <w:b/>
        </w:rPr>
      </w:pPr>
    </w:p>
    <w:p w14:paraId="55137BB0" w14:textId="77777777" w:rsidR="00F34AA9" w:rsidRPr="001C05D8" w:rsidRDefault="00F34AA9" w:rsidP="00F34AA9">
      <w:pPr>
        <w:pStyle w:val="Titre2"/>
        <w:rPr>
          <w:lang w:val="fr-FR"/>
        </w:rPr>
      </w:pPr>
      <w:r w:rsidRPr="001C05D8">
        <w:rPr>
          <w:lang w:val="fr-FR"/>
        </w:rPr>
        <w:t>Annexe (C)</w:t>
      </w:r>
    </w:p>
    <w:p w14:paraId="42089D47" w14:textId="1C80258C" w:rsidR="00F34AA9" w:rsidRPr="001E7D0F" w:rsidRDefault="1086155D" w:rsidP="1086155D">
      <w:pPr>
        <w:spacing w:after="0"/>
        <w:rPr>
          <w:b/>
          <w:bCs/>
        </w:rPr>
      </w:pPr>
      <w:r w:rsidRPr="1086155D">
        <w:rPr>
          <w:b/>
          <w:bCs/>
          <w:lang w:val="fr-CA"/>
        </w:rPr>
        <w:t>Critères d'évaluation des propositions</w:t>
      </w:r>
    </w:p>
    <w:p w14:paraId="5F868EA6" w14:textId="77777777" w:rsidR="00F34AA9" w:rsidRPr="001E7D0F" w:rsidRDefault="00F34AA9" w:rsidP="00F34AA9">
      <w:pPr>
        <w:spacing w:after="0"/>
        <w:rPr>
          <w:bCs/>
        </w:rPr>
      </w:pPr>
      <w:r w:rsidRPr="001E7D0F">
        <w:rPr>
          <w:bCs/>
          <w:lang w:val="fr-CA"/>
        </w:rPr>
        <w:t>La réponse du Soumissionnaire aux exigences de la DP sera notée en fonction des critères suivants:</w:t>
      </w:r>
    </w:p>
    <w:p w14:paraId="481B58AF" w14:textId="77777777" w:rsidR="00F34AA9" w:rsidRPr="001E7D0F" w:rsidRDefault="00F34AA9" w:rsidP="00F34AA9">
      <w:pPr>
        <w:tabs>
          <w:tab w:val="left" w:pos="1080"/>
        </w:tabs>
        <w:spacing w:after="0"/>
        <w:rPr>
          <w:b/>
          <w:highlight w:val="yellow"/>
        </w:rPr>
      </w:pPr>
    </w:p>
    <w:tbl>
      <w:tblPr>
        <w:tblW w:w="10920" w:type="dxa"/>
        <w:jc w:val="center"/>
        <w:tblLook w:val="04A0" w:firstRow="1" w:lastRow="0" w:firstColumn="1" w:lastColumn="0" w:noHBand="0" w:noVBand="1"/>
      </w:tblPr>
      <w:tblGrid>
        <w:gridCol w:w="9000"/>
        <w:gridCol w:w="1920"/>
      </w:tblGrid>
      <w:tr w:rsidR="00F34AA9" w:rsidRPr="001E7D0F" w14:paraId="57CD6B70" w14:textId="77777777" w:rsidTr="6F1B1AB2">
        <w:trPr>
          <w:trHeight w:val="432"/>
          <w:jc w:val="center"/>
        </w:trPr>
        <w:tc>
          <w:tcPr>
            <w:tcW w:w="9000" w:type="dxa"/>
            <w:tcBorders>
              <w:top w:val="single" w:sz="8" w:space="0" w:color="auto"/>
              <w:left w:val="single" w:sz="8" w:space="0" w:color="auto"/>
              <w:bottom w:val="single" w:sz="8" w:space="0" w:color="auto"/>
              <w:right w:val="nil"/>
            </w:tcBorders>
            <w:shd w:val="clear" w:color="auto" w:fill="FFFFFF" w:themeFill="background1"/>
            <w:vAlign w:val="center"/>
            <w:hideMark/>
          </w:tcPr>
          <w:p w14:paraId="5C261E5E" w14:textId="77777777" w:rsidR="00F34AA9" w:rsidRPr="001E7D0F" w:rsidRDefault="00F34AA9" w:rsidP="00AA5DF1">
            <w:pPr>
              <w:spacing w:after="0"/>
              <w:rPr>
                <w:rFonts w:eastAsia="Times New Roman"/>
                <w:b/>
                <w:bCs/>
                <w:color w:val="000000"/>
              </w:rPr>
            </w:pPr>
            <w:r w:rsidRPr="001E7D0F">
              <w:rPr>
                <w:rFonts w:eastAsia="Times New Roman"/>
                <w:b/>
                <w:bCs/>
                <w:color w:val="000000"/>
                <w:lang w:val="fr-CA"/>
              </w:rPr>
              <w:t>Critères d'évaluation des propositions techniques:</w:t>
            </w:r>
          </w:p>
        </w:tc>
        <w:tc>
          <w:tcPr>
            <w:tcW w:w="19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D67F276" w14:textId="77777777" w:rsidR="00F34AA9" w:rsidRPr="001E7D0F" w:rsidRDefault="00F34AA9" w:rsidP="00AA5DF1">
            <w:pPr>
              <w:spacing w:after="0"/>
              <w:rPr>
                <w:rFonts w:eastAsia="Times New Roman"/>
                <w:b/>
                <w:bCs/>
                <w:color w:val="000000"/>
              </w:rPr>
            </w:pPr>
            <w:r w:rsidRPr="001E7D0F">
              <w:rPr>
                <w:rFonts w:eastAsia="Times New Roman"/>
                <w:b/>
                <w:bCs/>
                <w:color w:val="000000"/>
                <w:lang w:val="fr-CA"/>
              </w:rPr>
              <w:t>Points maximum</w:t>
            </w:r>
          </w:p>
        </w:tc>
      </w:tr>
      <w:tr w:rsidR="00F34AA9" w:rsidRPr="001E7D0F" w14:paraId="1E642CAD" w14:textId="77777777" w:rsidTr="6F1B1AB2">
        <w:trPr>
          <w:trHeight w:val="300"/>
          <w:jc w:val="center"/>
        </w:trPr>
        <w:tc>
          <w:tcPr>
            <w:tcW w:w="9000" w:type="dxa"/>
            <w:tcBorders>
              <w:top w:val="single" w:sz="8" w:space="0" w:color="auto"/>
              <w:left w:val="single" w:sz="8" w:space="0" w:color="auto"/>
              <w:bottom w:val="nil"/>
              <w:right w:val="nil"/>
            </w:tcBorders>
            <w:shd w:val="clear" w:color="auto" w:fill="auto"/>
            <w:vAlign w:val="bottom"/>
            <w:hideMark/>
          </w:tcPr>
          <w:p w14:paraId="7E9F87F8" w14:textId="77777777" w:rsidR="00F34AA9" w:rsidRPr="001E7D0F" w:rsidRDefault="00F34AA9" w:rsidP="00AA5DF1">
            <w:pPr>
              <w:spacing w:after="0"/>
              <w:rPr>
                <w:rFonts w:eastAsia="Times New Roman"/>
                <w:b/>
                <w:bCs/>
                <w:color w:val="000000"/>
              </w:rPr>
            </w:pPr>
          </w:p>
        </w:tc>
        <w:tc>
          <w:tcPr>
            <w:tcW w:w="1920" w:type="dxa"/>
            <w:vMerge w:val="restart"/>
            <w:tcBorders>
              <w:top w:val="single" w:sz="8" w:space="0" w:color="auto"/>
              <w:left w:val="single" w:sz="8" w:space="0" w:color="auto"/>
              <w:right w:val="single" w:sz="8" w:space="0" w:color="auto"/>
            </w:tcBorders>
            <w:shd w:val="clear" w:color="auto" w:fill="auto"/>
            <w:noWrap/>
            <w:vAlign w:val="bottom"/>
            <w:hideMark/>
          </w:tcPr>
          <w:p w14:paraId="49301E98" w14:textId="77777777" w:rsidR="00F34AA9" w:rsidRPr="001E7D0F" w:rsidRDefault="00F34AA9" w:rsidP="00AA5DF1">
            <w:pPr>
              <w:spacing w:after="0"/>
              <w:rPr>
                <w:rFonts w:eastAsia="Times New Roman"/>
                <w:color w:val="000000"/>
              </w:rPr>
            </w:pPr>
            <w:r w:rsidRPr="001E7D0F">
              <w:rPr>
                <w:rFonts w:eastAsia="Times New Roman"/>
                <w:color w:val="000000"/>
                <w:lang w:val="fr-CA"/>
              </w:rPr>
              <w:t>5</w:t>
            </w:r>
          </w:p>
          <w:p w14:paraId="56127D77" w14:textId="77777777" w:rsidR="00F34AA9" w:rsidRPr="001E7D0F" w:rsidRDefault="00F34AA9" w:rsidP="00AA5DF1">
            <w:pPr>
              <w:spacing w:after="0"/>
              <w:rPr>
                <w:rFonts w:eastAsia="Times New Roman"/>
                <w:color w:val="000000"/>
              </w:rPr>
            </w:pPr>
          </w:p>
        </w:tc>
      </w:tr>
      <w:tr w:rsidR="00F34AA9" w:rsidRPr="001E7D0F" w14:paraId="0FC28DDF" w14:textId="77777777" w:rsidTr="6F1B1AB2">
        <w:trPr>
          <w:trHeight w:val="300"/>
          <w:jc w:val="center"/>
        </w:trPr>
        <w:tc>
          <w:tcPr>
            <w:tcW w:w="9000" w:type="dxa"/>
            <w:tcBorders>
              <w:top w:val="nil"/>
              <w:left w:val="single" w:sz="8" w:space="0" w:color="auto"/>
              <w:bottom w:val="single" w:sz="4" w:space="0" w:color="auto"/>
              <w:right w:val="single" w:sz="8" w:space="0" w:color="auto"/>
            </w:tcBorders>
            <w:shd w:val="clear" w:color="auto" w:fill="auto"/>
            <w:vAlign w:val="bottom"/>
            <w:hideMark/>
          </w:tcPr>
          <w:p w14:paraId="0412B8A6" w14:textId="77777777" w:rsidR="00F34AA9" w:rsidRPr="001E7D0F" w:rsidRDefault="00F34AA9" w:rsidP="00AA5DF1">
            <w:pPr>
              <w:spacing w:after="0"/>
              <w:rPr>
                <w:rFonts w:eastAsia="Times New Roman"/>
                <w:color w:val="000000" w:themeColor="text1"/>
              </w:rPr>
            </w:pPr>
            <w:r w:rsidRPr="001E7D0F">
              <w:rPr>
                <w:rFonts w:eastAsia="Times New Roman"/>
                <w:b/>
                <w:bCs/>
                <w:color w:val="000000"/>
                <w:lang w:val="fr-CA"/>
              </w:rPr>
              <w:t>Partie A - Renseignements sur l'entreprise (Maximum 5 points)</w:t>
            </w:r>
            <w:r w:rsidRPr="001E7D0F">
              <w:rPr>
                <w:rFonts w:eastAsia="Times New Roman"/>
                <w:color w:val="000000" w:themeColor="text1"/>
                <w:lang w:val="fr-CA"/>
              </w:rPr>
              <w:t xml:space="preserve">.       </w:t>
            </w:r>
          </w:p>
          <w:p w14:paraId="5D427CF0" w14:textId="77777777" w:rsidR="00F34AA9" w:rsidRPr="001E7D0F" w:rsidRDefault="00F34AA9" w:rsidP="006C3B8F">
            <w:pPr>
              <w:pStyle w:val="Paragraphedeliste"/>
              <w:numPr>
                <w:ilvl w:val="1"/>
                <w:numId w:val="10"/>
              </w:numPr>
              <w:spacing w:after="0"/>
              <w:ind w:left="990"/>
              <w:rPr>
                <w:rFonts w:eastAsia="Times New Roman"/>
                <w:color w:val="000000"/>
              </w:rPr>
            </w:pPr>
            <w:r w:rsidRPr="001E7D0F">
              <w:rPr>
                <w:rFonts w:eastAsia="Times New Roman"/>
                <w:color w:val="000000" w:themeColor="text1"/>
                <w:lang w:val="fr-CA"/>
              </w:rPr>
              <w:t>L'offre contient-elle tous les renseignements demandés?</w:t>
            </w:r>
          </w:p>
        </w:tc>
        <w:tc>
          <w:tcPr>
            <w:tcW w:w="1920" w:type="dxa"/>
            <w:vMerge/>
            <w:noWrap/>
            <w:vAlign w:val="bottom"/>
            <w:hideMark/>
          </w:tcPr>
          <w:p w14:paraId="5ABFEBB6" w14:textId="77777777" w:rsidR="00F34AA9" w:rsidRPr="001E7D0F" w:rsidRDefault="00F34AA9" w:rsidP="00AA5DF1">
            <w:pPr>
              <w:spacing w:after="0"/>
              <w:rPr>
                <w:rFonts w:eastAsia="Times New Roman"/>
                <w:color w:val="000000"/>
              </w:rPr>
            </w:pPr>
          </w:p>
        </w:tc>
      </w:tr>
      <w:tr w:rsidR="00F34AA9" w:rsidRPr="001E7D0F" w14:paraId="1B62DCE9" w14:textId="77777777" w:rsidTr="6F1B1AB2">
        <w:trPr>
          <w:trHeight w:val="300"/>
          <w:jc w:val="center"/>
        </w:trPr>
        <w:tc>
          <w:tcPr>
            <w:tcW w:w="9000" w:type="dxa"/>
            <w:tcBorders>
              <w:top w:val="single" w:sz="4" w:space="0" w:color="auto"/>
              <w:left w:val="single" w:sz="4" w:space="0" w:color="auto"/>
              <w:right w:val="single" w:sz="4" w:space="0" w:color="auto"/>
            </w:tcBorders>
            <w:shd w:val="clear" w:color="auto" w:fill="auto"/>
            <w:vAlign w:val="bottom"/>
            <w:hideMark/>
          </w:tcPr>
          <w:p w14:paraId="627277CB" w14:textId="5C6A9E68" w:rsidR="00A875FB" w:rsidRPr="00A875FB" w:rsidRDefault="00A875FB" w:rsidP="00A875FB">
            <w:pPr>
              <w:spacing w:after="0"/>
              <w:rPr>
                <w:rFonts w:eastAsia="Times New Roman"/>
                <w:b/>
                <w:bCs/>
                <w:color w:val="000000" w:themeColor="text1"/>
                <w:lang w:val="fr-CA"/>
              </w:rPr>
            </w:pPr>
            <w:r w:rsidRPr="001E7D0F">
              <w:rPr>
                <w:rFonts w:eastAsia="Times New Roman"/>
                <w:b/>
                <w:bCs/>
                <w:color w:val="000000"/>
                <w:lang w:val="fr-CA"/>
              </w:rPr>
              <w:t xml:space="preserve">Partie </w:t>
            </w:r>
            <w:r>
              <w:rPr>
                <w:rFonts w:eastAsia="Times New Roman"/>
                <w:b/>
                <w:bCs/>
                <w:color w:val="000000"/>
                <w:lang w:val="fr-CA"/>
              </w:rPr>
              <w:t xml:space="preserve">B - </w:t>
            </w:r>
            <w:r w:rsidRPr="001E7D0F">
              <w:rPr>
                <w:rFonts w:eastAsia="Times New Roman"/>
                <w:b/>
                <w:bCs/>
                <w:color w:val="000000" w:themeColor="text1"/>
                <w:lang w:val="fr-CA"/>
              </w:rPr>
              <w:t>Capacités de l'entreprises et rendement antérieur (Maximum 15 Points)</w:t>
            </w:r>
          </w:p>
          <w:p w14:paraId="3759F226" w14:textId="28FF12DA" w:rsidR="00F34AA9" w:rsidRPr="001E7D0F" w:rsidRDefault="00F34AA9" w:rsidP="00AA5DF1">
            <w:pPr>
              <w:spacing w:after="0"/>
              <w:ind w:firstLineChars="300" w:firstLine="660"/>
              <w:rPr>
                <w:rFonts w:eastAsia="Times New Roman"/>
                <w:color w:val="000000"/>
              </w:rPr>
            </w:pPr>
            <w:r w:rsidRPr="001E7D0F">
              <w:rPr>
                <w:rFonts w:eastAsia="Times New Roman"/>
                <w:color w:val="000000"/>
                <w:lang w:val="fr-CA"/>
              </w:rPr>
              <w:t xml:space="preserve">a.      Résumé des capacités de l'entreprise. </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B6C35" w14:textId="77777777" w:rsidR="00F34AA9" w:rsidRPr="001E7D0F" w:rsidRDefault="00F34AA9" w:rsidP="00AA5DF1">
            <w:pPr>
              <w:spacing w:after="0"/>
              <w:rPr>
                <w:rFonts w:eastAsia="Times New Roman"/>
                <w:color w:val="000000"/>
              </w:rPr>
            </w:pPr>
            <w:r w:rsidRPr="001E7D0F">
              <w:rPr>
                <w:rFonts w:eastAsia="Times New Roman"/>
                <w:color w:val="000000"/>
                <w:lang w:val="fr-CA"/>
              </w:rPr>
              <w:t>5</w:t>
            </w:r>
          </w:p>
        </w:tc>
      </w:tr>
      <w:tr w:rsidR="00F34AA9" w:rsidRPr="001E7D0F" w14:paraId="749ABCE9" w14:textId="77777777" w:rsidTr="6F1B1AB2">
        <w:trPr>
          <w:trHeight w:val="300"/>
          <w:jc w:val="center"/>
        </w:trPr>
        <w:tc>
          <w:tcPr>
            <w:tcW w:w="9000" w:type="dxa"/>
            <w:tcBorders>
              <w:left w:val="single" w:sz="4" w:space="0" w:color="auto"/>
              <w:bottom w:val="single" w:sz="4" w:space="0" w:color="auto"/>
              <w:right w:val="single" w:sz="4" w:space="0" w:color="auto"/>
            </w:tcBorders>
            <w:shd w:val="clear" w:color="auto" w:fill="auto"/>
            <w:vAlign w:val="bottom"/>
            <w:hideMark/>
          </w:tcPr>
          <w:p w14:paraId="3AC19E34" w14:textId="351CE3C2" w:rsidR="00F34AA9" w:rsidRPr="004C362E" w:rsidRDefault="61FE2BF5" w:rsidP="006C3B8F">
            <w:pPr>
              <w:pStyle w:val="Paragraphedeliste"/>
              <w:numPr>
                <w:ilvl w:val="1"/>
                <w:numId w:val="10"/>
              </w:numPr>
              <w:spacing w:after="0"/>
              <w:rPr>
                <w:rFonts w:eastAsia="Times New Roman"/>
                <w:color w:val="000000"/>
              </w:rPr>
            </w:pPr>
            <w:r w:rsidRPr="61FE2BF5">
              <w:rPr>
                <w:rFonts w:eastAsia="Times New Roman"/>
                <w:color w:val="000000" w:themeColor="text1"/>
                <w:lang w:val="fr-CA"/>
              </w:rPr>
              <w:t xml:space="preserve">Le soumissionnaire a-t-il de l’expérience dans l'exécution de travaux semblables? Au moins trois </w:t>
            </w:r>
            <w:proofErr w:type="gramStart"/>
            <w:r w:rsidRPr="61FE2BF5">
              <w:rPr>
                <w:rFonts w:eastAsia="Times New Roman"/>
                <w:color w:val="000000" w:themeColor="text1"/>
                <w:lang w:val="fr-CA"/>
              </w:rPr>
              <w:t>missions  similaires</w:t>
            </w:r>
            <w:proofErr w:type="gramEnd"/>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EF647" w14:textId="77777777" w:rsidR="00F34AA9" w:rsidRPr="001E7D0F" w:rsidRDefault="00F34AA9" w:rsidP="00AA5DF1">
            <w:pPr>
              <w:spacing w:after="0"/>
              <w:rPr>
                <w:rFonts w:eastAsia="Times New Roman"/>
                <w:color w:val="000000"/>
              </w:rPr>
            </w:pPr>
            <w:r w:rsidRPr="001E7D0F">
              <w:rPr>
                <w:rFonts w:eastAsia="Times New Roman"/>
                <w:color w:val="000000"/>
                <w:lang w:val="fr-CA"/>
              </w:rPr>
              <w:t>10</w:t>
            </w:r>
          </w:p>
        </w:tc>
      </w:tr>
      <w:tr w:rsidR="00F34AA9" w:rsidRPr="001E7D0F" w14:paraId="78C9BE89" w14:textId="77777777" w:rsidTr="6F1B1AB2">
        <w:trPr>
          <w:trHeight w:val="288"/>
          <w:jc w:val="center"/>
        </w:trPr>
        <w:tc>
          <w:tcPr>
            <w:tcW w:w="9000" w:type="dxa"/>
            <w:tcBorders>
              <w:top w:val="nil"/>
              <w:left w:val="single" w:sz="8" w:space="0" w:color="auto"/>
              <w:bottom w:val="nil"/>
              <w:right w:val="nil"/>
            </w:tcBorders>
            <w:shd w:val="clear" w:color="auto" w:fill="auto"/>
            <w:vAlign w:val="bottom"/>
          </w:tcPr>
          <w:p w14:paraId="6F4E1C8B" w14:textId="77777777" w:rsidR="00F34AA9" w:rsidRPr="001E7D0F" w:rsidRDefault="00F34AA9" w:rsidP="00AA5DF1">
            <w:pPr>
              <w:spacing w:after="0"/>
              <w:rPr>
                <w:rFonts w:eastAsia="Times New Roman"/>
                <w:b/>
                <w:bCs/>
                <w:color w:val="000000"/>
              </w:rPr>
            </w:pPr>
            <w:r w:rsidRPr="001E7D0F">
              <w:rPr>
                <w:rFonts w:eastAsia="Times New Roman"/>
                <w:b/>
                <w:bCs/>
                <w:color w:val="000000" w:themeColor="text1"/>
                <w:lang w:val="fr-CA"/>
              </w:rPr>
              <w:t xml:space="preserve">Partie C - Approche technique (Maximum 50 points) </w:t>
            </w:r>
          </w:p>
        </w:tc>
        <w:tc>
          <w:tcPr>
            <w:tcW w:w="1920" w:type="dxa"/>
            <w:vMerge w:val="restart"/>
            <w:tcBorders>
              <w:top w:val="nil"/>
              <w:left w:val="single" w:sz="8" w:space="0" w:color="auto"/>
              <w:right w:val="single" w:sz="8" w:space="0" w:color="auto"/>
            </w:tcBorders>
            <w:shd w:val="clear" w:color="auto" w:fill="auto"/>
            <w:noWrap/>
            <w:vAlign w:val="bottom"/>
            <w:hideMark/>
          </w:tcPr>
          <w:p w14:paraId="22AA01E6" w14:textId="77777777" w:rsidR="00F34AA9" w:rsidRPr="001E7D0F" w:rsidRDefault="00F34AA9" w:rsidP="00AA5DF1">
            <w:pPr>
              <w:spacing w:after="0"/>
              <w:rPr>
                <w:rFonts w:eastAsia="Times New Roman"/>
                <w:color w:val="000000"/>
              </w:rPr>
            </w:pPr>
          </w:p>
          <w:p w14:paraId="6F17A2B4"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2380C852" w14:textId="77777777" w:rsidTr="6F1B1AB2">
        <w:trPr>
          <w:trHeight w:val="576"/>
          <w:jc w:val="center"/>
        </w:trPr>
        <w:tc>
          <w:tcPr>
            <w:tcW w:w="9000" w:type="dxa"/>
            <w:tcBorders>
              <w:top w:val="nil"/>
              <w:left w:val="single" w:sz="8" w:space="0" w:color="auto"/>
              <w:bottom w:val="nil"/>
              <w:right w:val="nil"/>
            </w:tcBorders>
            <w:shd w:val="clear" w:color="auto" w:fill="auto"/>
            <w:vAlign w:val="bottom"/>
          </w:tcPr>
          <w:p w14:paraId="6E9F8461"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a.     Caractère raisonnable de l'approche adoptée par le Soumissionnaire pour mener à bien l'activité 1.</w:t>
            </w:r>
          </w:p>
        </w:tc>
        <w:tc>
          <w:tcPr>
            <w:tcW w:w="1920" w:type="dxa"/>
            <w:vMerge/>
            <w:noWrap/>
            <w:vAlign w:val="bottom"/>
            <w:hideMark/>
          </w:tcPr>
          <w:p w14:paraId="78A66BC1" w14:textId="77777777" w:rsidR="00F34AA9" w:rsidRPr="001E7D0F" w:rsidRDefault="00F34AA9" w:rsidP="00AA5DF1">
            <w:pPr>
              <w:spacing w:after="0"/>
              <w:rPr>
                <w:rFonts w:eastAsia="Times New Roman"/>
                <w:color w:val="000000"/>
              </w:rPr>
            </w:pPr>
          </w:p>
        </w:tc>
      </w:tr>
      <w:tr w:rsidR="00F34AA9" w:rsidRPr="001E7D0F" w14:paraId="70A55DF6" w14:textId="77777777" w:rsidTr="6F1B1AB2">
        <w:trPr>
          <w:trHeight w:val="552"/>
          <w:jc w:val="center"/>
        </w:trPr>
        <w:tc>
          <w:tcPr>
            <w:tcW w:w="9000" w:type="dxa"/>
            <w:tcBorders>
              <w:top w:val="nil"/>
              <w:left w:val="single" w:sz="8" w:space="0" w:color="auto"/>
              <w:bottom w:val="nil"/>
              <w:right w:val="nil"/>
            </w:tcBorders>
            <w:shd w:val="clear" w:color="auto" w:fill="auto"/>
            <w:vAlign w:val="bottom"/>
          </w:tcPr>
          <w:p w14:paraId="1E91B959"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b.     Caractère raisonnable de l'approche adoptée par le Soumissionnaire pour mener à bien l'activité 2.</w:t>
            </w: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578050B7"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02D5EFE3" w14:textId="77777777" w:rsidTr="6F1B1AB2">
        <w:trPr>
          <w:trHeight w:val="576"/>
          <w:jc w:val="center"/>
        </w:trPr>
        <w:tc>
          <w:tcPr>
            <w:tcW w:w="9000" w:type="dxa"/>
            <w:tcBorders>
              <w:top w:val="nil"/>
              <w:left w:val="single" w:sz="8" w:space="0" w:color="auto"/>
              <w:bottom w:val="nil"/>
              <w:right w:val="nil"/>
            </w:tcBorders>
            <w:shd w:val="clear" w:color="auto" w:fill="auto"/>
            <w:vAlign w:val="bottom"/>
          </w:tcPr>
          <w:p w14:paraId="13128C46"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c.     Caractère raisonnable de l'approche adoptée par le Soumissionnaire pour mener à bien l'activité 3.</w:t>
            </w: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499C0E1B"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3CF9BD03" w14:textId="77777777" w:rsidTr="6F1B1AB2">
        <w:trPr>
          <w:trHeight w:val="552"/>
          <w:jc w:val="center"/>
        </w:trPr>
        <w:tc>
          <w:tcPr>
            <w:tcW w:w="9000" w:type="dxa"/>
            <w:tcBorders>
              <w:top w:val="nil"/>
              <w:left w:val="single" w:sz="8" w:space="0" w:color="auto"/>
              <w:bottom w:val="nil"/>
              <w:right w:val="nil"/>
            </w:tcBorders>
            <w:shd w:val="clear" w:color="auto" w:fill="auto"/>
            <w:vAlign w:val="bottom"/>
          </w:tcPr>
          <w:p w14:paraId="64609547"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d.     Caractère raisonnable de l'approche adoptée par le Soumissionnaire pour mener à bien l'activité 4.</w:t>
            </w: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684BBF60"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3B5165D7" w14:textId="77777777" w:rsidTr="6F1B1AB2">
        <w:trPr>
          <w:trHeight w:val="584"/>
          <w:jc w:val="center"/>
        </w:trPr>
        <w:tc>
          <w:tcPr>
            <w:tcW w:w="9000" w:type="dxa"/>
            <w:tcBorders>
              <w:top w:val="nil"/>
              <w:left w:val="single" w:sz="8" w:space="0" w:color="auto"/>
              <w:bottom w:val="nil"/>
              <w:right w:val="nil"/>
            </w:tcBorders>
            <w:shd w:val="clear" w:color="auto" w:fill="auto"/>
            <w:vAlign w:val="bottom"/>
          </w:tcPr>
          <w:p w14:paraId="53D4EE96" w14:textId="77777777" w:rsidR="00F34AA9" w:rsidRPr="001E7D0F" w:rsidRDefault="00F34AA9" w:rsidP="00AA5DF1">
            <w:pPr>
              <w:spacing w:after="0"/>
              <w:rPr>
                <w:rFonts w:eastAsia="Times New Roman"/>
                <w:color w:val="000000"/>
              </w:rPr>
            </w:pPr>
            <w:r w:rsidRPr="001E7D0F">
              <w:rPr>
                <w:rFonts w:eastAsia="Times New Roman"/>
                <w:color w:val="000000"/>
              </w:rPr>
              <w:t xml:space="preserve">   </w:t>
            </w:r>
          </w:p>
          <w:p w14:paraId="2AD1C9CF"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e.     Faisabilité du calendrier de mise en œuvre proposé par le Soumissionnaire.</w:t>
            </w:r>
          </w:p>
          <w:p w14:paraId="4D37D175" w14:textId="77777777" w:rsidR="00F34AA9" w:rsidRPr="001E7D0F" w:rsidRDefault="00F34AA9" w:rsidP="00AA5DF1">
            <w:pPr>
              <w:spacing w:after="0"/>
              <w:rPr>
                <w:rFonts w:eastAsia="Times New Roman"/>
                <w:color w:val="000000"/>
              </w:rPr>
            </w:pP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716B4560"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3993035B" w14:textId="77777777" w:rsidTr="6F1B1AB2">
        <w:trPr>
          <w:trHeight w:val="315"/>
          <w:jc w:val="center"/>
        </w:trPr>
        <w:tc>
          <w:tcPr>
            <w:tcW w:w="9000" w:type="dxa"/>
            <w:tcBorders>
              <w:top w:val="nil"/>
              <w:left w:val="single" w:sz="8" w:space="0" w:color="auto"/>
              <w:bottom w:val="nil"/>
              <w:right w:val="nil"/>
            </w:tcBorders>
            <w:shd w:val="clear" w:color="auto" w:fill="auto"/>
            <w:vAlign w:val="bottom"/>
          </w:tcPr>
          <w:p w14:paraId="3CBCCD96" w14:textId="0B519186" w:rsidR="00F34AA9" w:rsidRPr="001E7D0F" w:rsidRDefault="495F687C" w:rsidP="00AA5DF1">
            <w:pPr>
              <w:spacing w:after="0"/>
              <w:rPr>
                <w:rFonts w:eastAsia="Times New Roman"/>
                <w:color w:val="000000"/>
              </w:rPr>
            </w:pPr>
            <w:r w:rsidRPr="495F687C">
              <w:rPr>
                <w:rFonts w:eastAsia="Times New Roman"/>
                <w:color w:val="000000" w:themeColor="text1"/>
                <w:lang w:val="fr-CA"/>
              </w:rPr>
              <w:t xml:space="preserve">      f.      Les compétences et l'expérience du personnel clé proposé s'appliquent-elles au travail à exécuter conformément au cahier de charges?</w:t>
            </w:r>
          </w:p>
        </w:tc>
        <w:tc>
          <w:tcPr>
            <w:tcW w:w="1920" w:type="dxa"/>
            <w:tcBorders>
              <w:top w:val="nil"/>
              <w:left w:val="single" w:sz="8" w:space="0" w:color="auto"/>
              <w:bottom w:val="single" w:sz="8" w:space="0" w:color="auto"/>
              <w:right w:val="single" w:sz="8" w:space="0" w:color="auto"/>
            </w:tcBorders>
            <w:shd w:val="clear" w:color="auto" w:fill="auto"/>
            <w:noWrap/>
            <w:vAlign w:val="bottom"/>
            <w:hideMark/>
          </w:tcPr>
          <w:p w14:paraId="3227BD39" w14:textId="77777777" w:rsidR="00F34AA9" w:rsidRPr="001E7D0F" w:rsidRDefault="00F34AA9" w:rsidP="00AA5DF1">
            <w:pPr>
              <w:spacing w:after="0"/>
              <w:rPr>
                <w:rFonts w:eastAsia="Times New Roman"/>
                <w:color w:val="000000"/>
              </w:rPr>
            </w:pPr>
            <w:r w:rsidRPr="001E7D0F">
              <w:rPr>
                <w:rFonts w:eastAsia="Times New Roman"/>
                <w:color w:val="000000"/>
                <w:lang w:val="fr-CA"/>
              </w:rPr>
              <w:t>10</w:t>
            </w:r>
          </w:p>
        </w:tc>
      </w:tr>
      <w:tr w:rsidR="00F34AA9" w:rsidRPr="001E7D0F" w14:paraId="527B43C2" w14:textId="77777777" w:rsidTr="6F1B1AB2">
        <w:trPr>
          <w:trHeight w:val="315"/>
          <w:jc w:val="center"/>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14:paraId="57F4971E" w14:textId="77777777" w:rsidR="00F34AA9" w:rsidRPr="001E7D0F" w:rsidRDefault="6F1B1AB2" w:rsidP="00AA5DF1">
            <w:pPr>
              <w:spacing w:after="0"/>
              <w:rPr>
                <w:rFonts w:eastAsia="Times New Roman"/>
                <w:b/>
                <w:bCs/>
                <w:color w:val="000000"/>
              </w:rPr>
            </w:pPr>
            <w:r w:rsidRPr="6F1B1AB2">
              <w:rPr>
                <w:rFonts w:eastAsia="Times New Roman"/>
                <w:b/>
                <w:bCs/>
                <w:color w:val="000000" w:themeColor="text1"/>
                <w:lang w:val="fr-CA"/>
              </w:rPr>
              <w:t>Notation de l'évaluation de la proposition technique - Sur un total possible de 70 points</w:t>
            </w:r>
          </w:p>
        </w:tc>
        <w:tc>
          <w:tcPr>
            <w:tcW w:w="1920" w:type="dxa"/>
            <w:tcBorders>
              <w:top w:val="nil"/>
              <w:left w:val="nil"/>
              <w:bottom w:val="single" w:sz="8" w:space="0" w:color="auto"/>
              <w:right w:val="single" w:sz="8" w:space="0" w:color="auto"/>
            </w:tcBorders>
            <w:shd w:val="clear" w:color="auto" w:fill="auto"/>
            <w:noWrap/>
            <w:vAlign w:val="bottom"/>
            <w:hideMark/>
          </w:tcPr>
          <w:p w14:paraId="5D564AAA" w14:textId="77777777" w:rsidR="00F34AA9" w:rsidRPr="001E7D0F" w:rsidRDefault="6F1B1AB2" w:rsidP="6F1B1AB2">
            <w:pPr>
              <w:spacing w:after="0"/>
              <w:rPr>
                <w:rFonts w:eastAsia="Times New Roman"/>
                <w:b/>
                <w:bCs/>
                <w:color w:val="000000"/>
              </w:rPr>
            </w:pPr>
            <w:r w:rsidRPr="6F1B1AB2">
              <w:rPr>
                <w:rFonts w:eastAsia="Times New Roman"/>
                <w:b/>
                <w:bCs/>
                <w:color w:val="000000" w:themeColor="text1"/>
                <w:lang w:val="fr-CA"/>
              </w:rPr>
              <w:t>70</w:t>
            </w:r>
          </w:p>
        </w:tc>
      </w:tr>
      <w:tr w:rsidR="00F34AA9" w:rsidRPr="001E7D0F" w14:paraId="7CE705E8" w14:textId="77777777" w:rsidTr="6F1B1AB2">
        <w:trPr>
          <w:trHeight w:val="432"/>
          <w:jc w:val="center"/>
        </w:trPr>
        <w:tc>
          <w:tcPr>
            <w:tcW w:w="9000" w:type="dxa"/>
            <w:tcBorders>
              <w:top w:val="nil"/>
              <w:left w:val="single" w:sz="8" w:space="0" w:color="auto"/>
              <w:bottom w:val="single" w:sz="8" w:space="0" w:color="auto"/>
              <w:right w:val="nil"/>
            </w:tcBorders>
            <w:shd w:val="clear" w:color="auto" w:fill="FFFFFF" w:themeFill="background1"/>
            <w:vAlign w:val="center"/>
            <w:hideMark/>
          </w:tcPr>
          <w:p w14:paraId="5DE347CF" w14:textId="77777777" w:rsidR="00F34AA9" w:rsidRPr="001E7D0F" w:rsidRDefault="00F34AA9" w:rsidP="00AA5DF1">
            <w:pPr>
              <w:spacing w:after="0"/>
              <w:rPr>
                <w:rFonts w:eastAsia="Times New Roman"/>
                <w:b/>
                <w:bCs/>
                <w:color w:val="000000"/>
              </w:rPr>
            </w:pPr>
            <w:r w:rsidRPr="001E7D0F">
              <w:rPr>
                <w:rFonts w:eastAsia="Times New Roman"/>
                <w:b/>
                <w:bCs/>
                <w:color w:val="000000"/>
                <w:lang w:val="fr-CA"/>
              </w:rPr>
              <w:t>Critères d'évaluation des propositions financières:</w:t>
            </w:r>
          </w:p>
        </w:tc>
        <w:tc>
          <w:tcPr>
            <w:tcW w:w="1920" w:type="dxa"/>
            <w:tcBorders>
              <w:top w:val="nil"/>
              <w:left w:val="single" w:sz="8" w:space="0" w:color="auto"/>
              <w:bottom w:val="single" w:sz="8" w:space="0" w:color="auto"/>
              <w:right w:val="single" w:sz="8" w:space="0" w:color="auto"/>
            </w:tcBorders>
            <w:shd w:val="clear" w:color="auto" w:fill="auto"/>
            <w:vAlign w:val="bottom"/>
            <w:hideMark/>
          </w:tcPr>
          <w:p w14:paraId="7346C456" w14:textId="77777777" w:rsidR="00F34AA9" w:rsidRPr="001E7D0F" w:rsidRDefault="00F34AA9" w:rsidP="00AA5DF1">
            <w:pPr>
              <w:spacing w:after="0"/>
              <w:rPr>
                <w:rFonts w:eastAsia="Times New Roman"/>
                <w:b/>
                <w:bCs/>
                <w:color w:val="000000"/>
              </w:rPr>
            </w:pPr>
            <w:r w:rsidRPr="001E7D0F">
              <w:rPr>
                <w:rFonts w:eastAsia="Times New Roman"/>
                <w:b/>
                <w:bCs/>
                <w:color w:val="000000"/>
                <w:lang w:val="fr-CA"/>
              </w:rPr>
              <w:t>Points maximum</w:t>
            </w:r>
          </w:p>
        </w:tc>
      </w:tr>
      <w:tr w:rsidR="00F34AA9" w:rsidRPr="001E7D0F" w14:paraId="667FBB24" w14:textId="77777777" w:rsidTr="6F1B1AB2">
        <w:trPr>
          <w:trHeight w:val="300"/>
          <w:jc w:val="center"/>
        </w:trPr>
        <w:tc>
          <w:tcPr>
            <w:tcW w:w="9000" w:type="dxa"/>
            <w:tcBorders>
              <w:top w:val="nil"/>
              <w:left w:val="single" w:sz="8" w:space="0" w:color="auto"/>
              <w:bottom w:val="nil"/>
              <w:right w:val="nil"/>
            </w:tcBorders>
            <w:shd w:val="clear" w:color="auto" w:fill="auto"/>
            <w:vAlign w:val="bottom"/>
            <w:hideMark/>
          </w:tcPr>
          <w:p w14:paraId="45DAA06C" w14:textId="77777777" w:rsidR="00F34AA9" w:rsidRPr="001E7D0F" w:rsidRDefault="00F34AA9" w:rsidP="00AA5DF1">
            <w:pPr>
              <w:spacing w:after="0"/>
              <w:rPr>
                <w:rFonts w:eastAsia="Times New Roman"/>
                <w:color w:val="000000"/>
              </w:rPr>
            </w:pPr>
            <w:r w:rsidRPr="001E7D0F">
              <w:rPr>
                <w:rFonts w:eastAsia="Times New Roman"/>
                <w:color w:val="000000"/>
                <w:lang w:val="fr-CA"/>
              </w:rPr>
              <w:t>Rentabilité (Maximum 30 points)</w:t>
            </w:r>
          </w:p>
        </w:tc>
        <w:tc>
          <w:tcPr>
            <w:tcW w:w="1920" w:type="dxa"/>
            <w:tcBorders>
              <w:top w:val="nil"/>
              <w:left w:val="single" w:sz="8" w:space="0" w:color="auto"/>
              <w:bottom w:val="nil"/>
              <w:right w:val="single" w:sz="8" w:space="0" w:color="auto"/>
            </w:tcBorders>
            <w:shd w:val="clear" w:color="auto" w:fill="auto"/>
            <w:noWrap/>
            <w:vAlign w:val="bottom"/>
            <w:hideMark/>
          </w:tcPr>
          <w:p w14:paraId="6F4934E9" w14:textId="77777777" w:rsidR="00F34AA9" w:rsidRPr="001E7D0F" w:rsidRDefault="00F34AA9" w:rsidP="00AA5DF1">
            <w:pPr>
              <w:spacing w:after="0"/>
              <w:rPr>
                <w:rFonts w:eastAsia="Times New Roman"/>
                <w:color w:val="000000"/>
              </w:rPr>
            </w:pPr>
          </w:p>
        </w:tc>
      </w:tr>
      <w:tr w:rsidR="00F34AA9" w:rsidRPr="001E7D0F" w14:paraId="75BA6882" w14:textId="77777777" w:rsidTr="6F1B1AB2">
        <w:trPr>
          <w:trHeight w:val="300"/>
          <w:jc w:val="center"/>
        </w:trPr>
        <w:tc>
          <w:tcPr>
            <w:tcW w:w="9000" w:type="dxa"/>
            <w:tcBorders>
              <w:top w:val="nil"/>
              <w:left w:val="single" w:sz="8" w:space="0" w:color="auto"/>
              <w:bottom w:val="nil"/>
              <w:right w:val="nil"/>
            </w:tcBorders>
            <w:shd w:val="clear" w:color="auto" w:fill="auto"/>
            <w:vAlign w:val="bottom"/>
            <w:hideMark/>
          </w:tcPr>
          <w:p w14:paraId="4D3B2E84"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a. Comparaison avec l’estimation interne des coûts : </w:t>
            </w:r>
          </w:p>
        </w:tc>
        <w:tc>
          <w:tcPr>
            <w:tcW w:w="19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746101" w14:textId="77777777" w:rsidR="00F34AA9" w:rsidRPr="001E7D0F" w:rsidRDefault="00F34AA9" w:rsidP="00AA5DF1">
            <w:pPr>
              <w:spacing w:after="0"/>
              <w:rPr>
                <w:rFonts w:eastAsia="Times New Roman"/>
                <w:color w:val="000000"/>
              </w:rPr>
            </w:pPr>
            <w:r w:rsidRPr="001E7D0F">
              <w:rPr>
                <w:rFonts w:eastAsia="Times New Roman"/>
                <w:color w:val="000000"/>
                <w:lang w:val="fr-CA"/>
              </w:rPr>
              <w:t>7</w:t>
            </w:r>
          </w:p>
        </w:tc>
      </w:tr>
      <w:tr w:rsidR="00F34AA9" w:rsidRPr="001E7D0F" w14:paraId="65136C93" w14:textId="77777777" w:rsidTr="6F1B1AB2">
        <w:trPr>
          <w:trHeight w:val="300"/>
          <w:jc w:val="center"/>
        </w:trPr>
        <w:tc>
          <w:tcPr>
            <w:tcW w:w="9000" w:type="dxa"/>
            <w:tcBorders>
              <w:top w:val="nil"/>
              <w:left w:val="single" w:sz="8" w:space="0" w:color="auto"/>
              <w:bottom w:val="nil"/>
              <w:right w:val="nil"/>
            </w:tcBorders>
            <w:shd w:val="clear" w:color="auto" w:fill="auto"/>
            <w:vAlign w:val="bottom"/>
            <w:hideMark/>
          </w:tcPr>
          <w:p w14:paraId="0B483AE4"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b. Comparaison avec les propositions des autres soumissionnaires (le prix le plus bas obtient un maximum de points, puis est abaissé en pourcentage)</w:t>
            </w: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6D07F373" w14:textId="77777777" w:rsidR="00F34AA9" w:rsidRPr="001E7D0F" w:rsidRDefault="00F34AA9" w:rsidP="00AA5DF1">
            <w:pPr>
              <w:spacing w:after="0"/>
              <w:rPr>
                <w:rFonts w:eastAsia="Times New Roman"/>
                <w:color w:val="000000"/>
              </w:rPr>
            </w:pPr>
            <w:r w:rsidRPr="001E7D0F">
              <w:rPr>
                <w:rFonts w:eastAsia="Times New Roman"/>
                <w:color w:val="000000"/>
                <w:lang w:val="fr-CA"/>
              </w:rPr>
              <w:t>15</w:t>
            </w:r>
          </w:p>
        </w:tc>
      </w:tr>
      <w:tr w:rsidR="00F34AA9" w:rsidRPr="001E7D0F" w14:paraId="6CA235DF" w14:textId="77777777" w:rsidTr="6F1B1AB2">
        <w:trPr>
          <w:trHeight w:val="300"/>
          <w:jc w:val="center"/>
        </w:trPr>
        <w:tc>
          <w:tcPr>
            <w:tcW w:w="9000" w:type="dxa"/>
            <w:tcBorders>
              <w:top w:val="nil"/>
              <w:left w:val="single" w:sz="8" w:space="0" w:color="auto"/>
              <w:bottom w:val="nil"/>
              <w:right w:val="nil"/>
            </w:tcBorders>
            <w:shd w:val="clear" w:color="auto" w:fill="auto"/>
            <w:vAlign w:val="bottom"/>
            <w:hideMark/>
          </w:tcPr>
          <w:p w14:paraId="35392F86" w14:textId="77777777" w:rsidR="00F34AA9" w:rsidRPr="001E7D0F" w:rsidRDefault="00F34AA9" w:rsidP="00AA5DF1">
            <w:pPr>
              <w:spacing w:after="0"/>
              <w:rPr>
                <w:rFonts w:eastAsia="Times New Roman"/>
                <w:color w:val="000000"/>
              </w:rPr>
            </w:pPr>
            <w:r w:rsidRPr="001E7D0F">
              <w:rPr>
                <w:rFonts w:eastAsia="Times New Roman"/>
                <w:color w:val="000000"/>
                <w:lang w:val="fr-CA"/>
              </w:rPr>
              <w:t xml:space="preserve">     c. Réalisme des coûts: faisabilité, caractère raisonnable, exhaustivité et répartition? </w:t>
            </w:r>
          </w:p>
        </w:tc>
        <w:tc>
          <w:tcPr>
            <w:tcW w:w="1920" w:type="dxa"/>
            <w:tcBorders>
              <w:top w:val="nil"/>
              <w:left w:val="single" w:sz="8" w:space="0" w:color="auto"/>
              <w:bottom w:val="single" w:sz="4" w:space="0" w:color="auto"/>
              <w:right w:val="single" w:sz="8" w:space="0" w:color="auto"/>
            </w:tcBorders>
            <w:shd w:val="clear" w:color="auto" w:fill="auto"/>
            <w:noWrap/>
            <w:vAlign w:val="bottom"/>
            <w:hideMark/>
          </w:tcPr>
          <w:p w14:paraId="6DE105A3" w14:textId="77777777" w:rsidR="00F34AA9" w:rsidRPr="001E7D0F" w:rsidRDefault="00F34AA9" w:rsidP="00AA5DF1">
            <w:pPr>
              <w:spacing w:after="0"/>
              <w:rPr>
                <w:rFonts w:eastAsia="Times New Roman"/>
                <w:color w:val="000000"/>
              </w:rPr>
            </w:pPr>
            <w:r w:rsidRPr="001E7D0F">
              <w:rPr>
                <w:rFonts w:eastAsia="Times New Roman"/>
                <w:color w:val="000000"/>
                <w:lang w:val="fr-CA"/>
              </w:rPr>
              <w:t>8</w:t>
            </w:r>
          </w:p>
        </w:tc>
      </w:tr>
      <w:tr w:rsidR="00F34AA9" w:rsidRPr="001E7D0F" w14:paraId="229A9E57" w14:textId="77777777" w:rsidTr="6F1B1AB2">
        <w:trPr>
          <w:trHeight w:val="315"/>
          <w:jc w:val="center"/>
        </w:trPr>
        <w:tc>
          <w:tcPr>
            <w:tcW w:w="9000" w:type="dxa"/>
            <w:tcBorders>
              <w:top w:val="single" w:sz="8" w:space="0" w:color="auto"/>
              <w:left w:val="single" w:sz="8" w:space="0" w:color="auto"/>
              <w:bottom w:val="nil"/>
              <w:right w:val="nil"/>
            </w:tcBorders>
            <w:shd w:val="clear" w:color="auto" w:fill="FFFFFF" w:themeFill="background1"/>
            <w:vAlign w:val="bottom"/>
            <w:hideMark/>
          </w:tcPr>
          <w:p w14:paraId="25F9AF5D" w14:textId="77777777" w:rsidR="00F34AA9" w:rsidRPr="001E7D0F" w:rsidRDefault="00F34AA9" w:rsidP="00AA5DF1">
            <w:pPr>
              <w:spacing w:after="0"/>
              <w:rPr>
                <w:rFonts w:eastAsia="Times New Roman"/>
                <w:b/>
                <w:bCs/>
                <w:color w:val="000000"/>
              </w:rPr>
            </w:pPr>
            <w:r w:rsidRPr="001E7D0F">
              <w:rPr>
                <w:rFonts w:eastAsia="Times New Roman"/>
                <w:b/>
                <w:bCs/>
                <w:color w:val="000000" w:themeColor="text1"/>
                <w:lang w:val="fr-CA"/>
              </w:rPr>
              <w:t xml:space="preserve">  Notation de l'évaluation de la proposition financière - Sur un total possible de 30 points  </w:t>
            </w:r>
          </w:p>
        </w:tc>
        <w:tc>
          <w:tcPr>
            <w:tcW w:w="1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C9464B" w14:textId="77777777" w:rsidR="00F34AA9" w:rsidRPr="001E7D0F" w:rsidRDefault="00F34AA9" w:rsidP="00AA5DF1">
            <w:pPr>
              <w:spacing w:after="0"/>
              <w:rPr>
                <w:rFonts w:eastAsia="Times New Roman"/>
                <w:color w:val="000000"/>
              </w:rPr>
            </w:pPr>
            <w:r w:rsidRPr="001E7D0F">
              <w:rPr>
                <w:rFonts w:eastAsia="Times New Roman"/>
                <w:color w:val="000000"/>
                <w:lang w:val="fr-CA"/>
              </w:rPr>
              <w:t>30</w:t>
            </w:r>
          </w:p>
        </w:tc>
      </w:tr>
      <w:tr w:rsidR="00F34AA9" w:rsidRPr="001E7D0F" w14:paraId="4BC2995D" w14:textId="77777777" w:rsidTr="6F1B1AB2">
        <w:trPr>
          <w:trHeight w:val="330"/>
          <w:jc w:val="center"/>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14:paraId="20B92315" w14:textId="77777777" w:rsidR="00F34AA9" w:rsidRPr="001E7D0F" w:rsidRDefault="00F34AA9" w:rsidP="00AA5DF1">
            <w:pPr>
              <w:spacing w:after="0"/>
              <w:rPr>
                <w:rFonts w:eastAsia="Times New Roman"/>
                <w:b/>
                <w:bCs/>
                <w:color w:val="000000"/>
              </w:rPr>
            </w:pPr>
            <w:r w:rsidRPr="001E7D0F">
              <w:rPr>
                <w:rFonts w:eastAsia="Times New Roman"/>
                <w:b/>
                <w:bCs/>
                <w:color w:val="000000"/>
                <w:lang w:val="fr-CA"/>
              </w:rPr>
              <w:t>Score total possible -100</w:t>
            </w:r>
          </w:p>
        </w:tc>
        <w:tc>
          <w:tcPr>
            <w:tcW w:w="1920" w:type="dxa"/>
            <w:tcBorders>
              <w:top w:val="nil"/>
              <w:left w:val="nil"/>
              <w:bottom w:val="single" w:sz="8" w:space="0" w:color="auto"/>
              <w:right w:val="single" w:sz="8" w:space="0" w:color="auto"/>
            </w:tcBorders>
            <w:shd w:val="clear" w:color="auto" w:fill="auto"/>
            <w:noWrap/>
            <w:vAlign w:val="bottom"/>
            <w:hideMark/>
          </w:tcPr>
          <w:p w14:paraId="7983AE4C" w14:textId="77777777" w:rsidR="00F34AA9" w:rsidRPr="001E7D0F" w:rsidRDefault="00F34AA9" w:rsidP="00AA5DF1">
            <w:pPr>
              <w:spacing w:after="0"/>
              <w:rPr>
                <w:rFonts w:eastAsia="Times New Roman"/>
                <w:color w:val="000000"/>
              </w:rPr>
            </w:pPr>
            <w:r w:rsidRPr="001E7D0F">
              <w:rPr>
                <w:rFonts w:eastAsia="Times New Roman"/>
                <w:color w:val="000000"/>
                <w:lang w:val="fr-CA"/>
              </w:rPr>
              <w:t>100</w:t>
            </w:r>
          </w:p>
        </w:tc>
      </w:tr>
    </w:tbl>
    <w:p w14:paraId="03825317" w14:textId="77777777" w:rsidR="00F34AA9" w:rsidRPr="001E7D0F" w:rsidRDefault="00F34AA9" w:rsidP="00F34AA9">
      <w:pPr>
        <w:tabs>
          <w:tab w:val="left" w:pos="1080"/>
        </w:tabs>
        <w:spacing w:after="0"/>
      </w:pPr>
    </w:p>
    <w:p w14:paraId="39BA45B7" w14:textId="77777777" w:rsidR="00F34AA9" w:rsidRPr="001E7D0F" w:rsidRDefault="00F34AA9" w:rsidP="00F34AA9">
      <w:pPr>
        <w:tabs>
          <w:tab w:val="left" w:pos="1080"/>
        </w:tabs>
        <w:spacing w:after="0"/>
      </w:pPr>
    </w:p>
    <w:p w14:paraId="3A114556" w14:textId="77777777" w:rsidR="00F34AA9" w:rsidRPr="001E7D0F" w:rsidRDefault="00F34AA9" w:rsidP="00F34AA9"/>
    <w:p w14:paraId="439DD580" w14:textId="77777777" w:rsidR="00F34AA9" w:rsidRPr="001E7D0F" w:rsidRDefault="00F34AA9" w:rsidP="00F34AA9">
      <w:pPr>
        <w:rPr>
          <w:b/>
        </w:rPr>
      </w:pPr>
    </w:p>
    <w:p w14:paraId="19146080" w14:textId="77777777" w:rsidR="00F34AA9" w:rsidRPr="001E7D0F" w:rsidRDefault="00F34AA9" w:rsidP="00F34AA9">
      <w:pPr>
        <w:rPr>
          <w:b/>
        </w:rPr>
      </w:pPr>
    </w:p>
    <w:p w14:paraId="3DC6CF8A" w14:textId="77777777" w:rsidR="00F34AA9" w:rsidRPr="001E7D0F" w:rsidRDefault="00F34AA9" w:rsidP="00F34AA9">
      <w:pPr>
        <w:pStyle w:val="Titre2"/>
      </w:pPr>
      <w:proofErr w:type="spellStart"/>
      <w:r w:rsidRPr="001E7D0F">
        <w:t>Annexe</w:t>
      </w:r>
      <w:proofErr w:type="spellEnd"/>
      <w:r w:rsidRPr="001E7D0F">
        <w:t xml:space="preserve"> D)</w:t>
      </w:r>
    </w:p>
    <w:p w14:paraId="27674A60" w14:textId="5FE21ECC" w:rsidR="00F34AA9" w:rsidRPr="001E7D0F" w:rsidRDefault="59366C24" w:rsidP="59366C24">
      <w:pPr>
        <w:spacing w:after="0"/>
        <w:rPr>
          <w:b/>
          <w:bCs/>
        </w:rPr>
      </w:pPr>
      <w:r w:rsidRPr="59366C24">
        <w:rPr>
          <w:b/>
          <w:bCs/>
          <w:lang w:val="fr-CA"/>
        </w:rPr>
        <w:t>Certifications</w:t>
      </w:r>
    </w:p>
    <w:p w14:paraId="409D0A2F" w14:textId="77777777" w:rsidR="00F34AA9" w:rsidRPr="001E7D0F" w:rsidRDefault="00F34AA9" w:rsidP="00F34AA9">
      <w:pPr>
        <w:spacing w:after="0"/>
        <w:rPr>
          <w:b/>
        </w:rPr>
      </w:pPr>
    </w:p>
    <w:p w14:paraId="639C8796" w14:textId="77777777" w:rsidR="00F34AA9" w:rsidRPr="001E7D0F" w:rsidRDefault="00F34AA9" w:rsidP="006C3B8F">
      <w:pPr>
        <w:numPr>
          <w:ilvl w:val="0"/>
          <w:numId w:val="27"/>
        </w:numPr>
        <w:spacing w:after="0"/>
        <w:contextualSpacing/>
        <w:rPr>
          <w:rFonts w:eastAsia="Times New Roman"/>
          <w:b/>
          <w:lang w:eastAsia="es-ES"/>
        </w:rPr>
      </w:pPr>
      <w:r w:rsidRPr="001E7D0F">
        <w:rPr>
          <w:b/>
          <w:lang w:val="fr-CA"/>
        </w:rPr>
        <w:t>CERTIFICATION SUR LES QUESTIONS CONCERNANT LA RESPONSABILITÉ.</w:t>
      </w:r>
    </w:p>
    <w:p w14:paraId="070A6F85" w14:textId="77777777" w:rsidR="00F34AA9" w:rsidRPr="001E7D0F" w:rsidRDefault="00F34AA9" w:rsidP="00F34AA9">
      <w:pPr>
        <w:spacing w:after="0"/>
        <w:rPr>
          <w:b/>
        </w:rPr>
      </w:pPr>
    </w:p>
    <w:p w14:paraId="3664F59E" w14:textId="77777777" w:rsidR="00F34AA9" w:rsidRPr="001E7D0F" w:rsidRDefault="00F34AA9" w:rsidP="00F34AA9">
      <w:pPr>
        <w:spacing w:after="0"/>
        <w:rPr>
          <w:rFonts w:eastAsia="Times New Roman"/>
          <w:b/>
          <w:lang w:eastAsia="es-ES"/>
        </w:rPr>
      </w:pPr>
      <w:proofErr w:type="gramStart"/>
      <w:r w:rsidRPr="001E7D0F">
        <w:rPr>
          <w:b/>
          <w:lang w:val="fr-CA"/>
        </w:rPr>
        <w:t>Référence  FAR</w:t>
      </w:r>
      <w:proofErr w:type="gramEnd"/>
      <w:r w:rsidRPr="001E7D0F">
        <w:rPr>
          <w:b/>
          <w:lang w:val="fr-CA"/>
        </w:rPr>
        <w:t xml:space="preserve"> 52.209-5.</w:t>
      </w:r>
    </w:p>
    <w:p w14:paraId="5A2F7FFE" w14:textId="77777777" w:rsidR="00F34AA9" w:rsidRPr="001E7D0F" w:rsidRDefault="00F34AA9" w:rsidP="00F34AA9">
      <w:pPr>
        <w:spacing w:after="0"/>
        <w:rPr>
          <w:rFonts w:eastAsia="Times New Roman"/>
          <w:b/>
          <w:lang w:eastAsia="es-ES"/>
        </w:rPr>
      </w:pPr>
    </w:p>
    <w:p w14:paraId="6B4E2C0E" w14:textId="77777777" w:rsidR="00F34AA9" w:rsidRPr="001E7D0F" w:rsidRDefault="00F34AA9" w:rsidP="00F34AA9">
      <w:r w:rsidRPr="001E7D0F">
        <w:rPr>
          <w:lang w:val="fr-CA"/>
        </w:rPr>
        <w:t>Comme prescrit au paragraphe 9.104-7 (a), insérer la disposition suivante:</w:t>
      </w:r>
      <w:r w:rsidRPr="001E7D0F">
        <w:rPr>
          <w:lang w:val="fr-CA"/>
        </w:rPr>
        <w:br/>
      </w:r>
      <w:r w:rsidRPr="001E7D0F">
        <w:rPr>
          <w:lang w:val="fr-CA"/>
        </w:rPr>
        <w:br/>
        <w:t>Certification concernant les questions de responsabilité (</w:t>
      </w:r>
      <w:proofErr w:type="spellStart"/>
      <w:r w:rsidRPr="001E7D0F">
        <w:rPr>
          <w:lang w:val="fr-CA"/>
        </w:rPr>
        <w:t>Aug</w:t>
      </w:r>
      <w:proofErr w:type="spellEnd"/>
      <w:r w:rsidRPr="001E7D0F">
        <w:rPr>
          <w:lang w:val="fr-CA"/>
        </w:rPr>
        <w:t xml:space="preserve"> 2020)</w:t>
      </w:r>
    </w:p>
    <w:p w14:paraId="30FD0DCC" w14:textId="77777777" w:rsidR="00F34AA9" w:rsidRPr="001E7D0F" w:rsidRDefault="00F34AA9" w:rsidP="006C3B8F">
      <w:pPr>
        <w:numPr>
          <w:ilvl w:val="0"/>
          <w:numId w:val="15"/>
        </w:numPr>
        <w:spacing w:after="0"/>
        <w:contextualSpacing/>
      </w:pPr>
      <w:r w:rsidRPr="001E7D0F">
        <w:rPr>
          <w:lang w:val="fr-CA"/>
        </w:rPr>
        <w:t>(1)   Le soumissionnaire certifie, au meilleur de sa connaissance et de sa croyance, que –</w:t>
      </w:r>
    </w:p>
    <w:p w14:paraId="7707168F" w14:textId="77777777" w:rsidR="00F34AA9" w:rsidRPr="001E7D0F" w:rsidRDefault="00F34AA9" w:rsidP="00F34AA9">
      <w:pPr>
        <w:spacing w:after="0"/>
        <w:ind w:left="360"/>
        <w:contextualSpacing/>
      </w:pPr>
    </w:p>
    <w:p w14:paraId="65F968C7" w14:textId="77777777" w:rsidR="00F34AA9" w:rsidRPr="001E7D0F" w:rsidRDefault="00F34AA9" w:rsidP="006C3B8F">
      <w:pPr>
        <w:numPr>
          <w:ilvl w:val="0"/>
          <w:numId w:val="16"/>
        </w:numPr>
        <w:spacing w:after="0"/>
        <w:ind w:left="1080" w:hanging="360"/>
        <w:contextualSpacing/>
      </w:pPr>
      <w:r w:rsidRPr="001E7D0F">
        <w:rPr>
          <w:lang w:val="fr-CA"/>
        </w:rPr>
        <w:t>Le soumissionnaire et/ou l'un de ses dirigeants –</w:t>
      </w:r>
    </w:p>
    <w:p w14:paraId="2C358BD0" w14:textId="77777777" w:rsidR="00F34AA9" w:rsidRPr="001E7D0F" w:rsidRDefault="00F34AA9" w:rsidP="00F34AA9">
      <w:pPr>
        <w:spacing w:after="0"/>
      </w:pPr>
    </w:p>
    <w:p w14:paraId="1D416529" w14:textId="77777777" w:rsidR="00F34AA9" w:rsidRPr="001E7D0F" w:rsidRDefault="00F34AA9" w:rsidP="006C3B8F">
      <w:pPr>
        <w:numPr>
          <w:ilvl w:val="0"/>
          <w:numId w:val="17"/>
        </w:numPr>
        <w:spacing w:after="0"/>
        <w:ind w:left="1440"/>
        <w:contextualSpacing/>
        <w:rPr>
          <w:b/>
        </w:rPr>
      </w:pPr>
      <w:r w:rsidRPr="001E7D0F">
        <w:rPr>
          <w:lang w:val="fr-CA"/>
        </w:rPr>
        <w:t>Ne sont pas actuellement interdit, suspendu, proposé pour radiation, ou déclaré non éligibles à l'attribution des marchés par tout organisme fédéral ;</w:t>
      </w:r>
    </w:p>
    <w:p w14:paraId="70D28B04" w14:textId="77777777" w:rsidR="00F34AA9" w:rsidRPr="001E7D0F" w:rsidRDefault="00F34AA9" w:rsidP="00F34AA9">
      <w:pPr>
        <w:spacing w:after="0"/>
        <w:ind w:left="1440"/>
        <w:contextualSpacing/>
        <w:rPr>
          <w:b/>
        </w:rPr>
      </w:pPr>
    </w:p>
    <w:p w14:paraId="582C1056" w14:textId="77777777" w:rsidR="00F34AA9" w:rsidRPr="001E7D0F" w:rsidRDefault="00F34AA9" w:rsidP="006C3B8F">
      <w:pPr>
        <w:numPr>
          <w:ilvl w:val="0"/>
          <w:numId w:val="17"/>
        </w:numPr>
        <w:spacing w:after="0"/>
        <w:ind w:left="1440"/>
        <w:contextualSpacing/>
      </w:pPr>
      <w:r w:rsidRPr="001E7D0F">
        <w:rPr>
          <w:lang w:val="fr-CA"/>
        </w:rPr>
        <w:t xml:space="preserve"> N'ont pas dans un délai de trois ans précédant cette offre, été reconnus coupables ou ont eu un jugement civil  prononcé contre eux pour: fraude ou une infraction pénale en rapport avec l'obtention, la tentative d'obtention ou d'exécution d'un contrat ou sous-traitance public (fédéral , état ou local); d’une violation des lois antitrust fédérales ou  d’état relatives à la soumission des offres; ou la commission de détournement de fonds, de vol, de faux, de corruption, de falsification ou de destruction d'enregistrements, de fausses déclarations, d'évasion fiscale, de violation des lois fiscales fédérales, ou de réception de biens volés; et</w:t>
      </w:r>
    </w:p>
    <w:p w14:paraId="2D7BA50F" w14:textId="77777777" w:rsidR="00F34AA9" w:rsidRPr="001E7D0F" w:rsidRDefault="00F34AA9" w:rsidP="00F34AA9">
      <w:pPr>
        <w:spacing w:after="0"/>
      </w:pPr>
    </w:p>
    <w:p w14:paraId="7B7806EA" w14:textId="29E7E7FF" w:rsidR="00F34AA9" w:rsidRPr="001E7D0F" w:rsidRDefault="3F196611" w:rsidP="006C3B8F">
      <w:pPr>
        <w:numPr>
          <w:ilvl w:val="0"/>
          <w:numId w:val="17"/>
        </w:numPr>
        <w:spacing w:after="0"/>
        <w:ind w:left="1440"/>
        <w:contextualSpacing/>
        <w:rPr>
          <w:lang w:val="fr-CA"/>
        </w:rPr>
      </w:pPr>
      <w:r w:rsidRPr="3F196611">
        <w:rPr>
          <w:lang w:val="fr-CA"/>
        </w:rPr>
        <w:t>Ne sont pas actuellement inculpés ou accusés de façon criminelle ou civile par une entité gouvernementale ayant commis une des infractions énumérées à l'alinéa a) (1) (i) (B) de cette disposition.</w:t>
      </w:r>
    </w:p>
    <w:p w14:paraId="46AE3060" w14:textId="77777777" w:rsidR="00F34AA9" w:rsidRPr="001E7D0F" w:rsidRDefault="00F34AA9" w:rsidP="00F34AA9">
      <w:pPr>
        <w:spacing w:after="0"/>
        <w:ind w:left="720"/>
        <w:contextualSpacing/>
      </w:pPr>
    </w:p>
    <w:p w14:paraId="2382A5F9" w14:textId="77777777" w:rsidR="00F34AA9" w:rsidRPr="001E7D0F" w:rsidRDefault="00F34AA9" w:rsidP="006C3B8F">
      <w:pPr>
        <w:pStyle w:val="Paragraphedeliste"/>
        <w:numPr>
          <w:ilvl w:val="0"/>
          <w:numId w:val="17"/>
        </w:numPr>
        <w:ind w:left="1418" w:hanging="284"/>
      </w:pPr>
      <w:r w:rsidRPr="001E7D0F">
        <w:rPr>
          <w:lang w:val="fr-CA"/>
        </w:rPr>
        <w:t>N'ont pas pendant une période de trois ans précédant cette offre, a été informé d'aucun impôt fédéral en attente pour un montant qui dépasse 3 000 $ pour laquelle le passif demeure insatisfait.</w:t>
      </w:r>
    </w:p>
    <w:p w14:paraId="662605CA" w14:textId="77777777" w:rsidR="00F34AA9" w:rsidRPr="001E7D0F" w:rsidRDefault="00F34AA9" w:rsidP="006C3B8F">
      <w:pPr>
        <w:numPr>
          <w:ilvl w:val="1"/>
          <w:numId w:val="16"/>
        </w:numPr>
        <w:spacing w:after="0"/>
        <w:contextualSpacing/>
      </w:pPr>
      <w:r w:rsidRPr="001E7D0F">
        <w:rPr>
          <w:lang w:val="fr-CA"/>
        </w:rPr>
        <w:t>Les taxes fédérales sont considérées comme défaillantes si les deux critères suivants s'appliquent:</w:t>
      </w:r>
    </w:p>
    <w:p w14:paraId="5BB90965" w14:textId="77777777" w:rsidR="00F34AA9" w:rsidRPr="001E7D0F" w:rsidRDefault="00F34AA9" w:rsidP="00F34AA9">
      <w:pPr>
        <w:spacing w:after="0"/>
        <w:ind w:left="1440"/>
        <w:contextualSpacing/>
      </w:pPr>
    </w:p>
    <w:p w14:paraId="64AA60EC" w14:textId="77777777" w:rsidR="00F34AA9" w:rsidRPr="001E7D0F" w:rsidRDefault="00F34AA9" w:rsidP="006C3B8F">
      <w:pPr>
        <w:numPr>
          <w:ilvl w:val="0"/>
          <w:numId w:val="23"/>
        </w:numPr>
        <w:spacing w:after="0"/>
        <w:ind w:hanging="360"/>
        <w:contextualSpacing/>
      </w:pPr>
      <w:r w:rsidRPr="001E7D0F">
        <w:rPr>
          <w:i/>
          <w:lang w:val="fr-CA"/>
        </w:rPr>
        <w:t>La dette fiscale est finalement déterminée.</w:t>
      </w:r>
      <w:r w:rsidRPr="001E7D0F">
        <w:rPr>
          <w:lang w:val="fr-CA"/>
        </w:rPr>
        <w:t xml:space="preserve"> La responsabilité est finalement déterminée si elle a été évaluée. Un passif n'est finalement pas déterminé s'il existe une contestation administrative ou judiciaire en instance. Dans le cas d'une contestation judiciaire de la responsabilité, la responsabilité n'est finalement déterminée que lorsque tous les droits de recours judiciaires ont été épuisés.</w:t>
      </w:r>
    </w:p>
    <w:p w14:paraId="775539E3" w14:textId="77777777" w:rsidR="00F34AA9" w:rsidRPr="001E7D0F" w:rsidRDefault="00F34AA9" w:rsidP="00F34AA9">
      <w:pPr>
        <w:spacing w:after="0"/>
        <w:ind w:left="2160"/>
        <w:contextualSpacing/>
      </w:pPr>
    </w:p>
    <w:p w14:paraId="1B9AB8D8" w14:textId="77777777" w:rsidR="00F34AA9" w:rsidRPr="001E7D0F" w:rsidRDefault="00F34AA9" w:rsidP="006C3B8F">
      <w:pPr>
        <w:numPr>
          <w:ilvl w:val="0"/>
          <w:numId w:val="23"/>
        </w:numPr>
        <w:spacing w:after="0"/>
        <w:ind w:hanging="360"/>
        <w:contextualSpacing/>
      </w:pPr>
      <w:r w:rsidRPr="001E7D0F">
        <w:rPr>
          <w:i/>
          <w:lang w:val="fr-CA"/>
        </w:rPr>
        <w:t>Le contribuable est en défaut de paiement.</w:t>
      </w:r>
      <w:r w:rsidRPr="001E7D0F">
        <w:rPr>
          <w:lang w:val="fr-CA"/>
        </w:rPr>
        <w:t xml:space="preserve"> Un contribuable est en défaut si le contribuable n'a pas payé le passif d'impôt lorsque le paiement intégral était dû et exigé. Un contribuable n'est pas délinquant dans les cas où une action de recouvrement forcée est exclue.</w:t>
      </w:r>
    </w:p>
    <w:p w14:paraId="19B20838" w14:textId="77777777" w:rsidR="00F34AA9" w:rsidRPr="001E7D0F" w:rsidRDefault="00F34AA9" w:rsidP="00F34AA9">
      <w:pPr>
        <w:spacing w:after="0"/>
        <w:ind w:left="1800"/>
        <w:contextualSpacing/>
      </w:pPr>
    </w:p>
    <w:p w14:paraId="5DF20656" w14:textId="77777777" w:rsidR="00F34AA9" w:rsidRPr="001E7D0F" w:rsidRDefault="00F34AA9" w:rsidP="00F34AA9">
      <w:pPr>
        <w:spacing w:after="0"/>
        <w:ind w:left="1800"/>
        <w:contextualSpacing/>
      </w:pPr>
    </w:p>
    <w:p w14:paraId="28EA01B6" w14:textId="77777777" w:rsidR="00F34AA9" w:rsidRPr="001E7D0F" w:rsidRDefault="00F34AA9" w:rsidP="006C3B8F">
      <w:pPr>
        <w:numPr>
          <w:ilvl w:val="1"/>
          <w:numId w:val="16"/>
        </w:numPr>
        <w:spacing w:after="0"/>
        <w:contextualSpacing/>
      </w:pPr>
      <w:r w:rsidRPr="001E7D0F">
        <w:rPr>
          <w:i/>
          <w:iCs/>
          <w:lang w:val="fr-CA"/>
        </w:rPr>
        <w:t>Exemples</w:t>
      </w:r>
      <w:r w:rsidRPr="001E7D0F">
        <w:rPr>
          <w:lang w:val="fr-CA"/>
        </w:rPr>
        <w:t>.</w:t>
      </w:r>
    </w:p>
    <w:p w14:paraId="34506F3F" w14:textId="77777777" w:rsidR="00F34AA9" w:rsidRPr="001E7D0F" w:rsidRDefault="00F34AA9" w:rsidP="00F34AA9">
      <w:pPr>
        <w:spacing w:after="0"/>
        <w:ind w:left="2160"/>
        <w:contextualSpacing/>
      </w:pPr>
    </w:p>
    <w:p w14:paraId="0CC88C59" w14:textId="77777777" w:rsidR="00F34AA9" w:rsidRPr="001E7D0F" w:rsidRDefault="00F34AA9" w:rsidP="006C3B8F">
      <w:pPr>
        <w:numPr>
          <w:ilvl w:val="0"/>
          <w:numId w:val="24"/>
        </w:numPr>
        <w:spacing w:after="0"/>
        <w:ind w:left="2160" w:hanging="360"/>
        <w:contextualSpacing/>
      </w:pPr>
      <w:r w:rsidRPr="001E7D0F">
        <w:rPr>
          <w:lang w:val="fr-CA"/>
        </w:rPr>
        <w:t xml:space="preserve">Le contribuable a reçu un avis d'insuffisance, en vertu de l'I.R.C. § 6212, qui donne droit au contribuable de demander un examen de la Cour de l'Impôt taxe proposée sont élevées. Ce n'est pas un délinquant parce qu'il n'est pas un impôt final. Les contribuables devraient demander l'examen de la Cour de l'impôt, ce ne sera pas un impôt à payer final jusqu'à ce que le contribuable </w:t>
      </w:r>
      <w:proofErr w:type="gramStart"/>
      <w:r w:rsidRPr="001E7D0F">
        <w:rPr>
          <w:lang w:val="fr-CA"/>
        </w:rPr>
        <w:t>a</w:t>
      </w:r>
      <w:proofErr w:type="gramEnd"/>
      <w:r w:rsidRPr="001E7D0F">
        <w:rPr>
          <w:lang w:val="fr-CA"/>
        </w:rPr>
        <w:t xml:space="preserve"> exercé tous les droits d'appel judiciaire.</w:t>
      </w:r>
    </w:p>
    <w:p w14:paraId="04BCD840" w14:textId="77777777" w:rsidR="00F34AA9" w:rsidRPr="001E7D0F" w:rsidRDefault="00F34AA9" w:rsidP="00F34AA9">
      <w:pPr>
        <w:spacing w:after="0"/>
        <w:ind w:left="2160"/>
        <w:contextualSpacing/>
      </w:pPr>
    </w:p>
    <w:p w14:paraId="5BC0BF47" w14:textId="77777777" w:rsidR="00F34AA9" w:rsidRPr="001E7D0F" w:rsidRDefault="00F34AA9" w:rsidP="006C3B8F">
      <w:pPr>
        <w:pStyle w:val="Paragraphedeliste"/>
        <w:numPr>
          <w:ilvl w:val="0"/>
          <w:numId w:val="24"/>
        </w:numPr>
        <w:ind w:left="2127" w:hanging="327"/>
      </w:pPr>
      <w:r w:rsidRPr="001E7D0F">
        <w:rPr>
          <w:lang w:val="fr-CA"/>
        </w:rPr>
        <w:t xml:space="preserve">L'IRS a déposé un avis de privilège d'impôt fédéral en ce qui a trait à une obligation fiscale, et que le contribuable a reçu un avis en vertu de l'I.R.C. § 6320 autorisant le contribuable à demander une audience auprès du Bureau d’appel de l’IRS contestant le dépôt de privilège, et à faire appel à la Cour de l'impôt si l'IRS détermine le maintien du dépôt de privilège. Au cours de l'audition, le contribuable a le droit de contester le passif </w:t>
      </w:r>
      <w:proofErr w:type="gramStart"/>
      <w:r w:rsidRPr="001E7D0F">
        <w:rPr>
          <w:lang w:val="fr-CA"/>
        </w:rPr>
        <w:t>d’ l'impôt</w:t>
      </w:r>
      <w:proofErr w:type="gramEnd"/>
      <w:r w:rsidRPr="001E7D0F">
        <w:rPr>
          <w:lang w:val="fr-CA"/>
        </w:rPr>
        <w:t xml:space="preserve"> sous-jacent parce que le contribuable n'a pas eu auparavant la possibilité de contester le passif. Ce n'est pas une taxe en souffrance parce ce n'est pas un passif d'impôt final. Si le contribuable demande une révision de la Cour des impôts, ce ne sera pas un dernier impôt jusqu'à ce que le contribuable ait exercé tous les droits d'appel judiciaire</w:t>
      </w:r>
    </w:p>
    <w:p w14:paraId="0C76F132" w14:textId="77777777" w:rsidR="00F34AA9" w:rsidRPr="001E7D0F" w:rsidRDefault="00F34AA9" w:rsidP="006C3B8F">
      <w:pPr>
        <w:numPr>
          <w:ilvl w:val="0"/>
          <w:numId w:val="24"/>
        </w:numPr>
        <w:spacing w:after="0"/>
        <w:ind w:left="2160" w:hanging="360"/>
        <w:contextualSpacing/>
      </w:pPr>
      <w:r w:rsidRPr="001E7D0F">
        <w:rPr>
          <w:lang w:val="fr-CA"/>
        </w:rPr>
        <w:t xml:space="preserve">Le contribuable a conclu une entente échelonnée conformément à l'I.R.C. § 6159. Le contribuable effectue des paiements en temps opportun </w:t>
      </w:r>
      <w:proofErr w:type="gramStart"/>
      <w:r w:rsidRPr="001E7D0F">
        <w:rPr>
          <w:lang w:val="fr-CA"/>
        </w:rPr>
        <w:t>et  se</w:t>
      </w:r>
      <w:proofErr w:type="gramEnd"/>
      <w:r w:rsidRPr="001E7D0F">
        <w:rPr>
          <w:lang w:val="fr-CA"/>
        </w:rPr>
        <w:t xml:space="preserve"> conformant entièrement aux termes du contrat. Le contribuable n'est pas délinquant parce qu’il n'est pas tenu de verser le paiement intégral.</w:t>
      </w:r>
    </w:p>
    <w:p w14:paraId="4A0FBBF1" w14:textId="77777777" w:rsidR="00F34AA9" w:rsidRPr="001E7D0F" w:rsidRDefault="00F34AA9" w:rsidP="00F34AA9">
      <w:pPr>
        <w:spacing w:after="0"/>
        <w:ind w:left="720"/>
        <w:contextualSpacing/>
      </w:pPr>
    </w:p>
    <w:p w14:paraId="58A9EFE8" w14:textId="77777777" w:rsidR="00F34AA9" w:rsidRPr="001E7D0F" w:rsidRDefault="00F34AA9" w:rsidP="006C3B8F">
      <w:pPr>
        <w:pStyle w:val="Paragraphedeliste"/>
        <w:numPr>
          <w:ilvl w:val="0"/>
          <w:numId w:val="24"/>
        </w:numPr>
        <w:ind w:left="2268" w:hanging="468"/>
      </w:pPr>
      <w:r w:rsidRPr="001E7D0F">
        <w:rPr>
          <w:lang w:val="fr-CA"/>
        </w:rPr>
        <w:t>Le contribuable a déposé une demande de protection contre la faillite. Le contribuable n'est pas délinquant car la mesure de recouvrement forcée est restée sous 11 USC. 362 (le Code de la faillite).</w:t>
      </w:r>
    </w:p>
    <w:p w14:paraId="0A656B94" w14:textId="77777777" w:rsidR="00F34AA9" w:rsidRPr="001E7D0F" w:rsidRDefault="00F34AA9" w:rsidP="006C3B8F">
      <w:pPr>
        <w:pStyle w:val="Paragraphedeliste"/>
        <w:numPr>
          <w:ilvl w:val="0"/>
          <w:numId w:val="16"/>
        </w:numPr>
        <w:spacing w:after="0"/>
      </w:pPr>
      <w:r w:rsidRPr="001E7D0F">
        <w:rPr>
          <w:lang w:val="fr-CA"/>
        </w:rPr>
        <w:t>Le soumissionnaire n'a pas, dans une période de trois ans précédant cette offre, a un ou plusieurs contrats résiliés par défaut par une agence fédérale.</w:t>
      </w:r>
    </w:p>
    <w:p w14:paraId="6FDCCD80" w14:textId="77777777" w:rsidR="00F34AA9" w:rsidRPr="001E7D0F" w:rsidRDefault="00F34AA9" w:rsidP="00F34AA9">
      <w:pPr>
        <w:spacing w:after="0"/>
        <w:contextualSpacing/>
      </w:pPr>
    </w:p>
    <w:p w14:paraId="04C4A54F" w14:textId="77777777" w:rsidR="00F34AA9" w:rsidRPr="001E7D0F" w:rsidRDefault="00F34AA9" w:rsidP="006C3B8F">
      <w:pPr>
        <w:pStyle w:val="Paragraphedeliste"/>
        <w:numPr>
          <w:ilvl w:val="0"/>
          <w:numId w:val="18"/>
        </w:numPr>
        <w:spacing w:after="0"/>
      </w:pPr>
      <w:r w:rsidRPr="001E7D0F">
        <w:rPr>
          <w:lang w:val="fr-CA"/>
        </w:rPr>
        <w:t>‘’Dirigeants’’ aux fins de cette attestation, désigne agents, directeurs, propriétaires partenaires ; et, les personnes ayant des responsabilités principales de supervision ou de gestion au sein d'une entreprise (p. ex., directeur général ; le directeur d'usine ; chef d'une filiale, division ou secteur d'activité et des postes similaires.</w:t>
      </w:r>
    </w:p>
    <w:p w14:paraId="07067A48" w14:textId="77777777" w:rsidR="00F34AA9" w:rsidRPr="001E7D0F" w:rsidRDefault="00F34AA9" w:rsidP="00F34AA9">
      <w:pPr>
        <w:spacing w:after="0"/>
        <w:ind w:left="720"/>
        <w:contextualSpacing/>
      </w:pPr>
    </w:p>
    <w:p w14:paraId="1E8DC093" w14:textId="77777777" w:rsidR="00F34AA9" w:rsidRPr="001E7D0F" w:rsidRDefault="00F34AA9" w:rsidP="00F34AA9">
      <w:pPr>
        <w:spacing w:after="0"/>
        <w:ind w:left="720"/>
        <w:contextualSpacing/>
      </w:pPr>
      <w:r w:rsidRPr="001E7D0F">
        <w:rPr>
          <w:lang w:val="fr-CA"/>
        </w:rPr>
        <w:t>Cette certification concerne une question relevant de la compétence d'une Agence des États-Unis et la fabrication d'une attestation fausse, fictive ou frauduleuse soumettant ainsi le fabricant aux poursuites judiciaires conformément à l'article 1001, Titre 18 du Code des États-Unis.</w:t>
      </w:r>
    </w:p>
    <w:p w14:paraId="3F218585" w14:textId="77777777" w:rsidR="00F34AA9" w:rsidRPr="001E7D0F" w:rsidRDefault="00F34AA9" w:rsidP="00F34AA9">
      <w:pPr>
        <w:spacing w:after="0"/>
        <w:ind w:left="360"/>
        <w:contextualSpacing/>
      </w:pPr>
    </w:p>
    <w:p w14:paraId="040C090D" w14:textId="77777777" w:rsidR="00F34AA9" w:rsidRPr="001E7D0F" w:rsidRDefault="00F34AA9" w:rsidP="006C3B8F">
      <w:pPr>
        <w:pStyle w:val="Paragraphedeliste"/>
        <w:numPr>
          <w:ilvl w:val="0"/>
          <w:numId w:val="15"/>
        </w:numPr>
        <w:spacing w:after="0"/>
      </w:pPr>
      <w:r w:rsidRPr="001E7D0F">
        <w:rPr>
          <w:lang w:val="fr-CA"/>
        </w:rPr>
        <w:lastRenderedPageBreak/>
        <w:t>Le soumissionnaire doit fournir immédiatement un avis écrit à l'agent contractant si, à tout moment avant l'attribution du marché, l'entrepreneur apprend que sa certification était erronée lorsqu'elle a été soumise ou qu'elle est devenue erronée à cause d'un changement de circonstances.</w:t>
      </w:r>
    </w:p>
    <w:p w14:paraId="5CC3E102" w14:textId="77777777" w:rsidR="00F34AA9" w:rsidRPr="001E7D0F" w:rsidRDefault="00F34AA9" w:rsidP="00F34AA9">
      <w:pPr>
        <w:spacing w:after="0"/>
        <w:ind w:left="360"/>
        <w:contextualSpacing/>
      </w:pPr>
    </w:p>
    <w:p w14:paraId="619BE6C9" w14:textId="77777777" w:rsidR="00F34AA9" w:rsidRPr="001E7D0F" w:rsidRDefault="00F34AA9" w:rsidP="006C3B8F">
      <w:pPr>
        <w:pStyle w:val="Paragraphedeliste"/>
        <w:numPr>
          <w:ilvl w:val="0"/>
          <w:numId w:val="15"/>
        </w:numPr>
        <w:spacing w:after="0"/>
      </w:pPr>
      <w:r w:rsidRPr="001E7D0F">
        <w:rPr>
          <w:lang w:val="fr-CA"/>
        </w:rPr>
        <w:t>Une attestation indiquant que l'un des articles figurant à l'alinéa a) de cette disposition n'entraînera pas forcément la retenue d'une décision en vertu de la présente invitation. Toutefois, la certification sera considérée dans le cadre de la détermination de la responsabilité de l'initiateur: responsabilité. L'omission de l'initiateur de fournir une attestation ou de fournir les informations complémentaires requises par l'agent contractant peut rendre l'entrepreneur non responsable.</w:t>
      </w:r>
    </w:p>
    <w:p w14:paraId="34F19DCA" w14:textId="77777777" w:rsidR="00F34AA9" w:rsidRPr="001E7D0F" w:rsidRDefault="00F34AA9" w:rsidP="00F34AA9">
      <w:pPr>
        <w:spacing w:after="0"/>
        <w:ind w:left="720"/>
        <w:contextualSpacing/>
      </w:pPr>
    </w:p>
    <w:p w14:paraId="343F1005" w14:textId="77777777" w:rsidR="00F34AA9" w:rsidRPr="001E7D0F" w:rsidRDefault="00F34AA9" w:rsidP="006C3B8F">
      <w:pPr>
        <w:numPr>
          <w:ilvl w:val="0"/>
          <w:numId w:val="15"/>
        </w:numPr>
        <w:spacing w:after="0"/>
        <w:contextualSpacing/>
      </w:pPr>
      <w:r w:rsidRPr="001E7D0F">
        <w:rPr>
          <w:lang w:val="fr-CA"/>
        </w:rPr>
        <w:t>Rien dans ce qui précède ne sera interprété comme exigeant l'établissement d'un système d'enregistrements afin de rendre, de bonne foi, l'attestation exigée par le paragraphe (a) de cette disposition. La connaissance et l'information de Le soumissionnaire ne sont pas exigées pour excéder ce qui est normalement possédé par une personne prudente dans le cours normal des affaires.</w:t>
      </w:r>
    </w:p>
    <w:p w14:paraId="72566E26" w14:textId="77777777" w:rsidR="00F34AA9" w:rsidRPr="001E7D0F" w:rsidRDefault="00F34AA9" w:rsidP="00F34AA9">
      <w:pPr>
        <w:spacing w:after="0"/>
        <w:ind w:left="720"/>
        <w:contextualSpacing/>
      </w:pPr>
    </w:p>
    <w:p w14:paraId="78CC9BF1" w14:textId="77777777" w:rsidR="00F34AA9" w:rsidRPr="001E7D0F" w:rsidRDefault="00F34AA9" w:rsidP="006C3B8F">
      <w:pPr>
        <w:pStyle w:val="Paragraphedeliste"/>
        <w:numPr>
          <w:ilvl w:val="0"/>
          <w:numId w:val="15"/>
        </w:numPr>
        <w:spacing w:after="0"/>
      </w:pPr>
      <w:r w:rsidRPr="001E7D0F">
        <w:rPr>
          <w:lang w:val="fr-CA"/>
        </w:rPr>
        <w:t>La certification figurant à l'alinéa a) de cette disposition est une représentation matérielle des faits sur laquelle on s'est appuyée lors de l’attribution. S'il est déterminé plus tard que Le soumissionnaire a sciemment délivré une attestation erronée, en plus d'autres voies recours dont dispose le gouvernement, l'agent contractant peut mettre fin au contrat à la suite de cette sollicitation défaillante.</w:t>
      </w:r>
    </w:p>
    <w:p w14:paraId="5C875B5E" w14:textId="77777777" w:rsidR="00F34AA9" w:rsidRPr="001E7D0F" w:rsidRDefault="00F34AA9" w:rsidP="00F34AA9">
      <w:pPr>
        <w:spacing w:after="0"/>
        <w:contextualSpacing/>
        <w:rPr>
          <w:b/>
          <w:bCs/>
          <w:color w:val="000000"/>
        </w:rPr>
      </w:pPr>
    </w:p>
    <w:p w14:paraId="4FC917DD" w14:textId="77777777" w:rsidR="00F34AA9" w:rsidRPr="001E7D0F" w:rsidRDefault="00F34AA9" w:rsidP="006C3B8F">
      <w:pPr>
        <w:pStyle w:val="Paragraphedeliste"/>
        <w:numPr>
          <w:ilvl w:val="0"/>
          <w:numId w:val="27"/>
        </w:numPr>
        <w:spacing w:after="0"/>
        <w:rPr>
          <w:b/>
        </w:rPr>
      </w:pPr>
      <w:r w:rsidRPr="001E7D0F">
        <w:rPr>
          <w:b/>
          <w:bCs/>
          <w:color w:val="000000"/>
          <w:lang w:val="fr-CA"/>
        </w:rPr>
        <w:t>CERTIFICATION INDIVIDUELLE DES INFRACTIONS EN MATIÈRE DE STUPÉFIANTS ET DE TRAFIC DE DROGUE</w:t>
      </w:r>
    </w:p>
    <w:p w14:paraId="70A556A5" w14:textId="77777777" w:rsidR="00F34AA9" w:rsidRPr="001E7D0F" w:rsidRDefault="00F34AA9" w:rsidP="00F34AA9">
      <w:pPr>
        <w:spacing w:after="0"/>
        <w:rPr>
          <w:b/>
          <w:bCs/>
          <w:color w:val="000000"/>
        </w:rPr>
      </w:pPr>
    </w:p>
    <w:p w14:paraId="11F9DE39" w14:textId="77777777" w:rsidR="00F34AA9" w:rsidRPr="001E7D0F" w:rsidRDefault="00F34AA9" w:rsidP="00F34AA9">
      <w:pPr>
        <w:spacing w:after="0"/>
        <w:rPr>
          <w:color w:val="000000"/>
        </w:rPr>
      </w:pPr>
      <w:r w:rsidRPr="001E7D0F">
        <w:rPr>
          <w:color w:val="000000"/>
          <w:lang w:val="fr-CA"/>
        </w:rPr>
        <w:t>22 CFR Part 140, l'interdiction sur l'assistance aux trafiquants de drogue.</w:t>
      </w:r>
    </w:p>
    <w:p w14:paraId="39CEE1F0" w14:textId="77777777" w:rsidR="00F34AA9" w:rsidRPr="001E7D0F" w:rsidRDefault="00F34AA9" w:rsidP="00F34AA9">
      <w:pPr>
        <w:spacing w:after="0"/>
        <w:rPr>
          <w:color w:val="000000"/>
        </w:rPr>
      </w:pPr>
    </w:p>
    <w:p w14:paraId="50BE74A0" w14:textId="77777777" w:rsidR="00F34AA9" w:rsidRPr="001E7D0F" w:rsidRDefault="00F34AA9" w:rsidP="00F34AA9">
      <w:pPr>
        <w:spacing w:after="0"/>
        <w:rPr>
          <w:i/>
          <w:color w:val="000000"/>
        </w:rPr>
      </w:pPr>
      <w:r w:rsidRPr="001E7D0F">
        <w:rPr>
          <w:i/>
          <w:color w:val="000000"/>
          <w:lang w:val="fr-CA"/>
        </w:rPr>
        <w:t xml:space="preserve">Remarque : Cette attestation doit être remplie par toute personne clé proposée dans le projet. </w:t>
      </w:r>
    </w:p>
    <w:p w14:paraId="358D000F" w14:textId="77777777" w:rsidR="00F34AA9" w:rsidRPr="001E7D0F" w:rsidRDefault="00F34AA9" w:rsidP="00F34AA9">
      <w:pPr>
        <w:spacing w:after="0"/>
        <w:rPr>
          <w:color w:val="000000"/>
        </w:rPr>
      </w:pPr>
    </w:p>
    <w:p w14:paraId="7D48026F" w14:textId="77777777" w:rsidR="00F34AA9" w:rsidRPr="001E7D0F" w:rsidRDefault="00F34AA9" w:rsidP="00F34AA9">
      <w:pPr>
        <w:spacing w:after="0"/>
        <w:rPr>
          <w:color w:val="000000"/>
        </w:rPr>
      </w:pPr>
      <w:r w:rsidRPr="001E7D0F">
        <w:rPr>
          <w:color w:val="000000"/>
          <w:lang w:val="fr-CA"/>
        </w:rPr>
        <w:t xml:space="preserve">J'atteste qu'au cours des dix dernières années : </w:t>
      </w:r>
    </w:p>
    <w:p w14:paraId="4E924500" w14:textId="77777777" w:rsidR="00F34AA9" w:rsidRPr="001E7D0F" w:rsidRDefault="00F34AA9" w:rsidP="00F34AA9">
      <w:pPr>
        <w:spacing w:after="0"/>
        <w:rPr>
          <w:color w:val="000000"/>
        </w:rPr>
      </w:pPr>
    </w:p>
    <w:p w14:paraId="5C6DE166" w14:textId="77777777" w:rsidR="00F34AA9" w:rsidRPr="001E7D0F" w:rsidRDefault="00F34AA9" w:rsidP="006C3B8F">
      <w:pPr>
        <w:numPr>
          <w:ilvl w:val="0"/>
          <w:numId w:val="25"/>
        </w:numPr>
        <w:spacing w:after="0"/>
        <w:contextualSpacing/>
        <w:rPr>
          <w:color w:val="000000"/>
        </w:rPr>
      </w:pPr>
      <w:r w:rsidRPr="001E7D0F">
        <w:rPr>
          <w:i/>
          <w:color w:val="000000"/>
          <w:lang w:val="fr-CA"/>
        </w:rPr>
        <w:t>Je n'ai pas été reconnu coupable d'une violation ou d'une conspiration pour violer toute loi ou règlement des États-Unis ou de tout autre pays concernant les stupéfiants ou les psychotropes ou d'autres substances réglementées</w:t>
      </w:r>
      <w:r w:rsidRPr="001E7D0F">
        <w:rPr>
          <w:color w:val="000000"/>
          <w:lang w:val="fr-CA"/>
        </w:rPr>
        <w:t>.</w:t>
      </w:r>
    </w:p>
    <w:p w14:paraId="7E6CDC12" w14:textId="77777777" w:rsidR="00F34AA9" w:rsidRPr="001E7D0F" w:rsidRDefault="00F34AA9" w:rsidP="00F34AA9">
      <w:pPr>
        <w:spacing w:after="0"/>
        <w:ind w:left="720"/>
        <w:contextualSpacing/>
        <w:rPr>
          <w:color w:val="000000"/>
        </w:rPr>
      </w:pPr>
    </w:p>
    <w:p w14:paraId="31438C76" w14:textId="77777777" w:rsidR="00F34AA9" w:rsidRPr="001E7D0F" w:rsidRDefault="00F34AA9" w:rsidP="006C3B8F">
      <w:pPr>
        <w:pStyle w:val="Paragraphedeliste"/>
        <w:numPr>
          <w:ilvl w:val="0"/>
          <w:numId w:val="25"/>
        </w:numPr>
        <w:spacing w:after="0"/>
        <w:rPr>
          <w:color w:val="000000"/>
        </w:rPr>
      </w:pPr>
      <w:r w:rsidRPr="001E7D0F">
        <w:rPr>
          <w:color w:val="000000"/>
          <w:lang w:val="fr-CA"/>
        </w:rPr>
        <w:t>Je ne suis pas et n'a pas été un trafiquant de drogues des substances r</w:t>
      </w:r>
      <w:r w:rsidRPr="001E7D0F">
        <w:rPr>
          <w:i/>
          <w:color w:val="000000"/>
          <w:lang w:val="fr-CA"/>
        </w:rPr>
        <w:t>églementées.</w:t>
      </w:r>
    </w:p>
    <w:p w14:paraId="07705054" w14:textId="77777777" w:rsidR="00F34AA9" w:rsidRPr="001E7D0F" w:rsidRDefault="00F34AA9" w:rsidP="00F34AA9">
      <w:pPr>
        <w:pStyle w:val="Paragraphedeliste"/>
        <w:rPr>
          <w:color w:val="000000"/>
        </w:rPr>
      </w:pPr>
    </w:p>
    <w:p w14:paraId="7AC66899" w14:textId="77777777" w:rsidR="00F34AA9" w:rsidRPr="001E7D0F" w:rsidRDefault="00F34AA9" w:rsidP="006C3B8F">
      <w:pPr>
        <w:pStyle w:val="Paragraphedeliste"/>
        <w:numPr>
          <w:ilvl w:val="0"/>
          <w:numId w:val="25"/>
        </w:numPr>
        <w:tabs>
          <w:tab w:val="left" w:pos="-720"/>
          <w:tab w:val="left" w:pos="0"/>
        </w:tabs>
        <w:suppressAutoHyphens/>
        <w:spacing w:after="0"/>
      </w:pPr>
      <w:r w:rsidRPr="001E7D0F">
        <w:rPr>
          <w:i/>
          <w:color w:val="000000"/>
          <w:lang w:val="fr-CA"/>
        </w:rPr>
        <w:t>Je ne suis pas et n’a pas été un assistant, un inspirateur, un conspirateur ou en collusion avec d'autres personnes dans le trafic illicite de ces drogues ou substances</w:t>
      </w:r>
      <w:r w:rsidRPr="001E7D0F">
        <w:rPr>
          <w:lang w:val="fr-CA"/>
        </w:rPr>
        <w:t>.</w:t>
      </w:r>
    </w:p>
    <w:p w14:paraId="28A7BDBA" w14:textId="77777777" w:rsidR="00F34AA9" w:rsidRPr="001E7D0F" w:rsidRDefault="00F34AA9" w:rsidP="00F34AA9">
      <w:pPr>
        <w:tabs>
          <w:tab w:val="left" w:pos="-720"/>
          <w:tab w:val="left" w:pos="0"/>
        </w:tabs>
        <w:suppressAutoHyphens/>
        <w:spacing w:after="0"/>
      </w:pPr>
      <w:r w:rsidRPr="001E7D0F">
        <w:t xml:space="preserve"> </w:t>
      </w:r>
    </w:p>
    <w:p w14:paraId="4626640F" w14:textId="77777777" w:rsidR="00F34AA9" w:rsidRPr="001E7D0F" w:rsidRDefault="00F34AA9" w:rsidP="00F34AA9">
      <w:pPr>
        <w:tabs>
          <w:tab w:val="left" w:pos="-720"/>
          <w:tab w:val="left" w:pos="0"/>
        </w:tabs>
        <w:suppressAutoHyphens/>
        <w:spacing w:after="0"/>
      </w:pPr>
    </w:p>
    <w:p w14:paraId="49D964F9" w14:textId="77777777" w:rsidR="00F34AA9" w:rsidRPr="001E7D0F" w:rsidRDefault="00F34AA9" w:rsidP="00F34AA9">
      <w:pPr>
        <w:tabs>
          <w:tab w:val="left" w:pos="-720"/>
          <w:tab w:val="left" w:pos="0"/>
        </w:tabs>
        <w:suppressAutoHyphens/>
        <w:spacing w:after="0"/>
        <w:rPr>
          <w:b/>
        </w:rPr>
      </w:pPr>
      <w:r w:rsidRPr="001E7D0F">
        <w:rPr>
          <w:b/>
          <w:lang w:val="fr-CA"/>
        </w:rPr>
        <w:t xml:space="preserve">REMARQUE: </w:t>
      </w:r>
    </w:p>
    <w:p w14:paraId="34036FE9" w14:textId="77777777" w:rsidR="00F34AA9" w:rsidRPr="001E7D0F" w:rsidRDefault="00F34AA9" w:rsidP="00F34AA9">
      <w:pPr>
        <w:tabs>
          <w:tab w:val="left" w:pos="-720"/>
          <w:tab w:val="left" w:pos="0"/>
        </w:tabs>
        <w:suppressAutoHyphens/>
        <w:spacing w:after="0"/>
        <w:rPr>
          <w:b/>
        </w:rPr>
      </w:pPr>
    </w:p>
    <w:p w14:paraId="02E9141E" w14:textId="77777777" w:rsidR="00F34AA9" w:rsidRPr="001E7D0F" w:rsidRDefault="00F34AA9" w:rsidP="006C3B8F">
      <w:pPr>
        <w:pStyle w:val="Paragraphedeliste"/>
        <w:numPr>
          <w:ilvl w:val="0"/>
          <w:numId w:val="26"/>
        </w:numPr>
      </w:pPr>
      <w:r w:rsidRPr="001E7D0F">
        <w:rPr>
          <w:lang w:val="fr-CA"/>
        </w:rPr>
        <w:t>Vous êtes tenu de signer cette attestation en vertu des dispositions du 22 CFR part 140, Interdiction sur l'Assistance aux trafiquants de drogue. Ces règlements ont été émis par le Département d'</w:t>
      </w:r>
      <w:proofErr w:type="spellStart"/>
      <w:r w:rsidRPr="001E7D0F">
        <w:rPr>
          <w:lang w:val="fr-CA"/>
        </w:rPr>
        <w:t>Etat</w:t>
      </w:r>
      <w:proofErr w:type="spellEnd"/>
      <w:r w:rsidRPr="001E7D0F">
        <w:rPr>
          <w:lang w:val="fr-CA"/>
        </w:rPr>
        <w:t xml:space="preserve"> et exigent que certains individus importants des organisations doivent signer cette attestation</w:t>
      </w:r>
    </w:p>
    <w:p w14:paraId="42B5678A" w14:textId="552442E0" w:rsidR="00F34AA9" w:rsidRPr="001E7D0F" w:rsidRDefault="59366C24" w:rsidP="006C3B8F">
      <w:pPr>
        <w:numPr>
          <w:ilvl w:val="0"/>
          <w:numId w:val="26"/>
        </w:numPr>
        <w:suppressAutoHyphens/>
        <w:spacing w:after="0"/>
        <w:contextualSpacing/>
      </w:pPr>
      <w:r w:rsidRPr="59366C24">
        <w:rPr>
          <w:lang w:val="fr-CA"/>
        </w:rPr>
        <w:lastRenderedPageBreak/>
        <w:t xml:space="preserve">Si vous faites une fausse certification, vous êtes assujetti aux poursuites pénales américaines en vertu de 18 U.S.C. 1001. </w:t>
      </w:r>
    </w:p>
    <w:p w14:paraId="4451EC28" w14:textId="77777777" w:rsidR="00F34AA9" w:rsidRPr="001E7D0F" w:rsidRDefault="00F34AA9" w:rsidP="00F34AA9">
      <w:pPr>
        <w:spacing w:after="0"/>
        <w:ind w:left="720"/>
        <w:contextualSpacing/>
      </w:pPr>
    </w:p>
    <w:p w14:paraId="15DD8EE7" w14:textId="0183B848" w:rsidR="00F34AA9" w:rsidRPr="001E7D0F" w:rsidRDefault="59366C24" w:rsidP="006C3B8F">
      <w:pPr>
        <w:numPr>
          <w:ilvl w:val="0"/>
          <w:numId w:val="26"/>
        </w:numPr>
        <w:suppressAutoHyphens/>
        <w:spacing w:after="0"/>
        <w:contextualSpacing/>
      </w:pPr>
      <w:r w:rsidRPr="59366C24">
        <w:rPr>
          <w:lang w:val="fr-CA"/>
        </w:rPr>
        <w:t>Une fausse attestation d'une personne clé impliquée dans le projet, entrainera la cessation de son contrat avec l’opérateur.</w:t>
      </w:r>
    </w:p>
    <w:p w14:paraId="6FBFFB9F" w14:textId="77777777" w:rsidR="00F34AA9" w:rsidRPr="001E7D0F" w:rsidRDefault="00F34AA9" w:rsidP="00F34AA9">
      <w:pPr>
        <w:spacing w:after="0"/>
      </w:pPr>
    </w:p>
    <w:p w14:paraId="3324FC72" w14:textId="77777777" w:rsidR="00F34AA9" w:rsidRPr="001E7D0F" w:rsidRDefault="00F34AA9" w:rsidP="00F34AA9">
      <w:pPr>
        <w:spacing w:after="0"/>
        <w:rPr>
          <w:rFonts w:eastAsia="Times New Roman"/>
          <w:b/>
          <w:lang w:eastAsia="es-ES"/>
        </w:rPr>
      </w:pPr>
    </w:p>
    <w:p w14:paraId="2CF57AA8" w14:textId="77777777" w:rsidR="00F34AA9" w:rsidRPr="001E7D0F" w:rsidRDefault="00F34AA9" w:rsidP="006C3B8F">
      <w:pPr>
        <w:numPr>
          <w:ilvl w:val="0"/>
          <w:numId w:val="27"/>
        </w:numPr>
        <w:spacing w:after="0"/>
        <w:rPr>
          <w:rFonts w:eastAsia="Times New Roman"/>
          <w:b/>
          <w:lang w:eastAsia="es-ES"/>
        </w:rPr>
      </w:pPr>
      <w:r w:rsidRPr="001E7D0F">
        <w:rPr>
          <w:b/>
          <w:lang w:val="fr-CA"/>
        </w:rPr>
        <w:t>CERTIFICATION CONCERNANT LE FINANCEMENT DES ACTIVITÉS TERRORISTES</w:t>
      </w:r>
    </w:p>
    <w:p w14:paraId="606F3F51" w14:textId="77777777" w:rsidR="00F34AA9" w:rsidRPr="001E7D0F" w:rsidRDefault="00F34AA9" w:rsidP="00F34AA9">
      <w:pPr>
        <w:spacing w:after="0"/>
        <w:ind w:left="360"/>
        <w:rPr>
          <w:rFonts w:eastAsia="Times New Roman"/>
          <w:lang w:eastAsia="es-ES"/>
        </w:rPr>
      </w:pPr>
    </w:p>
    <w:p w14:paraId="26DD00C9" w14:textId="77777777" w:rsidR="00F34AA9" w:rsidRPr="001E7D0F" w:rsidRDefault="00F34AA9" w:rsidP="00F34AA9">
      <w:pPr>
        <w:spacing w:after="0"/>
        <w:ind w:firstLine="360"/>
        <w:rPr>
          <w:rFonts w:eastAsia="Times New Roman"/>
          <w:b/>
          <w:lang w:eastAsia="es-ES"/>
        </w:rPr>
      </w:pPr>
      <w:r w:rsidRPr="001E7D0F">
        <w:rPr>
          <w:snapToGrid w:val="0"/>
          <w:lang w:val="fr-CA"/>
        </w:rPr>
        <w:t>Mise en œuvre de l'ordonnance exécutive 13224</w:t>
      </w:r>
    </w:p>
    <w:p w14:paraId="0773EA40" w14:textId="77777777" w:rsidR="00F34AA9" w:rsidRPr="001E7D0F" w:rsidRDefault="00F34AA9" w:rsidP="00F34AA9">
      <w:pPr>
        <w:spacing w:after="0"/>
        <w:rPr>
          <w:rFonts w:eastAsia="Times New Roman"/>
          <w:b/>
          <w:lang w:eastAsia="es-ES"/>
        </w:rPr>
      </w:pPr>
    </w:p>
    <w:p w14:paraId="04EE5AD1" w14:textId="77777777" w:rsidR="00F34AA9" w:rsidRPr="001E7D0F" w:rsidRDefault="00F34AA9" w:rsidP="00F34AA9">
      <w:pPr>
        <w:spacing w:after="0"/>
        <w:rPr>
          <w:snapToGrid w:val="0"/>
        </w:rPr>
      </w:pPr>
      <w:r w:rsidRPr="001E7D0F">
        <w:rPr>
          <w:snapToGrid w:val="0"/>
          <w:lang w:val="fr-CA"/>
        </w:rPr>
        <w:tab/>
        <w:t>Certification concernant le financement des activités terroristes. Mise en œuvre de l'ordonnance exécutive 13224</w:t>
      </w:r>
    </w:p>
    <w:p w14:paraId="471EB4EE" w14:textId="77777777" w:rsidR="00F34AA9" w:rsidRPr="001E7D0F" w:rsidRDefault="00F34AA9" w:rsidP="00F34AA9">
      <w:pPr>
        <w:spacing w:after="0"/>
        <w:rPr>
          <w:snapToGrid w:val="0"/>
        </w:rPr>
      </w:pPr>
      <w:r w:rsidRPr="001E7D0F">
        <w:rPr>
          <w:snapToGrid w:val="0"/>
        </w:rPr>
        <w:t xml:space="preserve"> </w:t>
      </w:r>
    </w:p>
    <w:p w14:paraId="000FE05D" w14:textId="77777777" w:rsidR="00F34AA9" w:rsidRPr="001E7D0F" w:rsidRDefault="00F34AA9" w:rsidP="006C3B8F">
      <w:pPr>
        <w:numPr>
          <w:ilvl w:val="0"/>
          <w:numId w:val="20"/>
        </w:numPr>
        <w:spacing w:after="0"/>
        <w:contextualSpacing/>
      </w:pPr>
      <w:r w:rsidRPr="001E7D0F">
        <w:rPr>
          <w:snapToGrid w:val="0"/>
          <w:lang w:val="fr-CA"/>
        </w:rPr>
        <w:t>Le bénéficiaire, au meilleur de ses connaissances actuelles, n'a pas fourni, au cours des dix dernières années, et prendra toutes les mesures raisonnables pour s'assurer qu'il ne fournira pas sciemment, un soutien matériel ou des ressources à toute personne ou entité qui s'engage, tente de commettre, défend, facilite, ou participe à des actes terroristes, ou qu'il a commis, tenté de commettre, facilité ou participé à des actes terroristes, tel que ce terme est défini au paragraphe (c).</w:t>
      </w:r>
    </w:p>
    <w:p w14:paraId="7C1EF15A" w14:textId="77777777" w:rsidR="00F34AA9" w:rsidRPr="001E7D0F" w:rsidRDefault="00F34AA9" w:rsidP="00F34AA9">
      <w:pPr>
        <w:spacing w:after="0"/>
        <w:ind w:left="360"/>
        <w:contextualSpacing/>
        <w:rPr>
          <w:snapToGrid w:val="0"/>
        </w:rPr>
      </w:pPr>
    </w:p>
    <w:p w14:paraId="4A1DF1EC" w14:textId="77777777" w:rsidR="00F34AA9" w:rsidRPr="001E7D0F" w:rsidRDefault="00F34AA9" w:rsidP="006C3B8F">
      <w:pPr>
        <w:pStyle w:val="Paragraphedeliste"/>
        <w:numPr>
          <w:ilvl w:val="0"/>
          <w:numId w:val="20"/>
        </w:numPr>
        <w:spacing w:after="0"/>
        <w:rPr>
          <w:snapToGrid w:val="0"/>
        </w:rPr>
      </w:pPr>
      <w:r w:rsidRPr="001E7D0F">
        <w:rPr>
          <w:snapToGrid w:val="0"/>
          <w:lang w:val="fr-CA"/>
        </w:rPr>
        <w:t>Les étapes suivantes peuvent permettre au bénéficiaire de se conformer à ses obligations en vertu de l'alinéa (a)</w:t>
      </w:r>
    </w:p>
    <w:p w14:paraId="79D6C552" w14:textId="77777777" w:rsidR="00F34AA9" w:rsidRPr="001E7D0F" w:rsidRDefault="00F34AA9" w:rsidP="00F34AA9">
      <w:pPr>
        <w:spacing w:after="0"/>
        <w:ind w:left="720"/>
        <w:contextualSpacing/>
        <w:rPr>
          <w:snapToGrid w:val="0"/>
        </w:rPr>
      </w:pPr>
    </w:p>
    <w:p w14:paraId="3F5CCBC8" w14:textId="77777777" w:rsidR="00F34AA9" w:rsidRPr="001E7D0F" w:rsidRDefault="00F34AA9" w:rsidP="006C3B8F">
      <w:pPr>
        <w:numPr>
          <w:ilvl w:val="0"/>
          <w:numId w:val="21"/>
        </w:numPr>
        <w:spacing w:after="0"/>
        <w:ind w:left="720"/>
        <w:contextualSpacing/>
        <w:rPr>
          <w:snapToGrid w:val="0"/>
        </w:rPr>
      </w:pPr>
      <w:r w:rsidRPr="001E7D0F">
        <w:rPr>
          <w:snapToGrid w:val="0"/>
          <w:lang w:val="fr-CA"/>
        </w:rPr>
        <w:t xml:space="preserve">Avant de fournir tout soutien matériel ou des ressources à une personne ou une entité, le bénéficiaire devra vérifier que l'individu ou l'entité ne dispose pas (i) apparaissent sur la liste principale des Ressortissants Spécialement Désignés et des Personnes Bloquées, laquelle liste est gérée par le Trésor américain le bureau de contrôle des avoirs étrangers (OFAC) et est disponible en ligne à : site web de l'OFAC </w:t>
      </w:r>
      <w:hyperlink r:id="rId14" w:history="1">
        <w:r w:rsidRPr="001E7D0F">
          <w:rPr>
            <w:snapToGrid w:val="0"/>
            <w:color w:val="0000FF" w:themeColor="hyperlink"/>
            <w:u w:val="single"/>
            <w:lang w:val="fr-CA"/>
          </w:rPr>
          <w:t>Http://www.treas.gov/offices/eotffc/ofac/sdn/t11sdn.pdf</w:t>
        </w:r>
      </w:hyperlink>
      <w:r w:rsidRPr="001E7D0F">
        <w:rPr>
          <w:snapToGrid w:val="0"/>
          <w:lang w:val="fr-CA"/>
        </w:rPr>
        <w:t>, ou (ii) n'est pas incluse dans les informations supplémentaires concernant des personnes ou entités qui peuvent être fournis par l'USAID pour le bénéficiaire.</w:t>
      </w:r>
    </w:p>
    <w:p w14:paraId="66028E32" w14:textId="77777777" w:rsidR="00F34AA9" w:rsidRPr="001E7D0F" w:rsidRDefault="00F34AA9" w:rsidP="00F34AA9">
      <w:pPr>
        <w:spacing w:after="0"/>
        <w:ind w:left="720"/>
        <w:contextualSpacing/>
        <w:rPr>
          <w:snapToGrid w:val="0"/>
        </w:rPr>
      </w:pPr>
    </w:p>
    <w:p w14:paraId="0B160C81" w14:textId="77777777" w:rsidR="00F34AA9" w:rsidRPr="001E7D0F" w:rsidRDefault="00F34AA9" w:rsidP="006C3B8F">
      <w:pPr>
        <w:numPr>
          <w:ilvl w:val="0"/>
          <w:numId w:val="21"/>
        </w:numPr>
        <w:spacing w:after="0"/>
        <w:ind w:left="720"/>
        <w:contextualSpacing/>
        <w:rPr>
          <w:snapToGrid w:val="0"/>
        </w:rPr>
      </w:pPr>
      <w:r w:rsidRPr="001E7D0F">
        <w:rPr>
          <w:snapToGrid w:val="0"/>
          <w:lang w:val="fr-CA"/>
        </w:rPr>
        <w:t xml:space="preserve">Avant de fournir tout soutien matériel ou des ressources à une personne ou une entité, le bénéficiaire vérifie également que la personne ou l'entité n'a pas été désigné par le service de sécurité des Nations Unies (CSNU) Comité des sanctions créé par la résolution 1267 (1999) (le "Comité") [1267 individus et entités associés aux Taliban, Oussama ben Laden, ou l'Organisation Al-Qaïda]. Pour déterminer s'il y a eu désignation de publié une personne ou entité par le Comité 1267, le bénéficiaire devrait se reporter à la liste disponible en ligne sur le site web du Comité : </w:t>
      </w:r>
      <w:hyperlink r:id="rId15" w:history="1">
        <w:r w:rsidRPr="001E7D0F">
          <w:rPr>
            <w:snapToGrid w:val="0"/>
            <w:color w:val="0000FF" w:themeColor="hyperlink"/>
            <w:u w:val="single"/>
            <w:lang w:val="fr-CA"/>
          </w:rPr>
          <w:t>Http://www.un.org/Docs/sc/committees/1267/1267ListEng.htm</w:t>
        </w:r>
      </w:hyperlink>
      <w:r w:rsidRPr="001E7D0F">
        <w:rPr>
          <w:snapToGrid w:val="0"/>
          <w:lang w:val="fr-CA"/>
        </w:rPr>
        <w:t>.</w:t>
      </w:r>
    </w:p>
    <w:p w14:paraId="67EA5966" w14:textId="77777777" w:rsidR="00F34AA9" w:rsidRPr="001E7D0F" w:rsidRDefault="00F34AA9" w:rsidP="00F34AA9">
      <w:pPr>
        <w:spacing w:after="0"/>
        <w:ind w:left="720"/>
        <w:contextualSpacing/>
        <w:rPr>
          <w:snapToGrid w:val="0"/>
        </w:rPr>
      </w:pPr>
    </w:p>
    <w:p w14:paraId="24748229" w14:textId="77777777" w:rsidR="00F34AA9" w:rsidRPr="001E7D0F" w:rsidRDefault="00F34AA9" w:rsidP="006C3B8F">
      <w:pPr>
        <w:numPr>
          <w:ilvl w:val="0"/>
          <w:numId w:val="21"/>
        </w:numPr>
        <w:spacing w:after="0"/>
        <w:ind w:left="720"/>
        <w:contextualSpacing/>
        <w:rPr>
          <w:snapToGrid w:val="0"/>
        </w:rPr>
      </w:pPr>
      <w:r w:rsidRPr="001E7D0F">
        <w:rPr>
          <w:snapToGrid w:val="0"/>
          <w:lang w:val="fr-CA"/>
        </w:rPr>
        <w:t>Avant de fournir tout soutien matériel ou des ressources à une personne ou une entité, le bénéficiaire devra tenir compte de toutes les informations au sujet de cette personne ou entité dont elle a connaissance et toutes les informations qui peuvent raisonnablement être à sa disposition ou dont il devrait être au courant.</w:t>
      </w:r>
    </w:p>
    <w:p w14:paraId="24B22C26" w14:textId="77777777" w:rsidR="00F34AA9" w:rsidRPr="001E7D0F" w:rsidRDefault="00F34AA9" w:rsidP="00F34AA9">
      <w:pPr>
        <w:spacing w:after="0"/>
        <w:ind w:left="720"/>
        <w:contextualSpacing/>
        <w:rPr>
          <w:snapToGrid w:val="0"/>
        </w:rPr>
      </w:pPr>
    </w:p>
    <w:p w14:paraId="62546BB2" w14:textId="77777777" w:rsidR="00F34AA9" w:rsidRPr="001E7D0F" w:rsidRDefault="00F34AA9" w:rsidP="006C3B8F">
      <w:pPr>
        <w:numPr>
          <w:ilvl w:val="0"/>
          <w:numId w:val="21"/>
        </w:numPr>
        <w:spacing w:after="0"/>
        <w:ind w:left="720"/>
        <w:contextualSpacing/>
        <w:rPr>
          <w:snapToGrid w:val="0"/>
        </w:rPr>
      </w:pPr>
      <w:r w:rsidRPr="001E7D0F">
        <w:rPr>
          <w:snapToGrid w:val="0"/>
          <w:lang w:val="fr-CA"/>
        </w:rPr>
        <w:lastRenderedPageBreak/>
        <w:t>Le bénéficiaire va également mettre en œuvre des procédures de contrôle et de surveillance pour protéger contre l'aide détournée pour soutenir des activités terroristes.</w:t>
      </w:r>
    </w:p>
    <w:p w14:paraId="5BB466DA" w14:textId="77777777" w:rsidR="00F34AA9" w:rsidRPr="001E7D0F" w:rsidRDefault="00F34AA9" w:rsidP="00F34AA9">
      <w:pPr>
        <w:spacing w:after="0"/>
        <w:rPr>
          <w:snapToGrid w:val="0"/>
        </w:rPr>
      </w:pPr>
    </w:p>
    <w:p w14:paraId="32DA9535" w14:textId="77777777" w:rsidR="00F34AA9" w:rsidRPr="001E7D0F" w:rsidRDefault="00F34AA9" w:rsidP="006C3B8F">
      <w:pPr>
        <w:numPr>
          <w:ilvl w:val="0"/>
          <w:numId w:val="21"/>
        </w:numPr>
        <w:spacing w:after="0"/>
        <w:ind w:left="720"/>
        <w:contextualSpacing/>
        <w:rPr>
          <w:snapToGrid w:val="0"/>
        </w:rPr>
      </w:pPr>
      <w:r w:rsidRPr="001E7D0F">
        <w:rPr>
          <w:snapToGrid w:val="0"/>
          <w:lang w:val="fr-CA"/>
        </w:rPr>
        <w:t>Le bénéficiaire va également mettre en œuvre des procédures de contrôle et de surveillance pour protéger contre l'aide détournée pour soutenir des activités terroristes.</w:t>
      </w:r>
    </w:p>
    <w:p w14:paraId="069AEE32" w14:textId="77777777" w:rsidR="00F34AA9" w:rsidRPr="001E7D0F" w:rsidRDefault="00F34AA9" w:rsidP="00F34AA9">
      <w:pPr>
        <w:spacing w:after="0"/>
        <w:rPr>
          <w:snapToGrid w:val="0"/>
        </w:rPr>
      </w:pPr>
    </w:p>
    <w:p w14:paraId="00B0A2C6" w14:textId="77777777" w:rsidR="00F34AA9" w:rsidRPr="001E7D0F" w:rsidRDefault="00F34AA9" w:rsidP="006C3B8F">
      <w:pPr>
        <w:numPr>
          <w:ilvl w:val="0"/>
          <w:numId w:val="20"/>
        </w:numPr>
        <w:spacing w:after="0"/>
        <w:contextualSpacing/>
        <w:rPr>
          <w:snapToGrid w:val="0"/>
        </w:rPr>
      </w:pPr>
      <w:r w:rsidRPr="001E7D0F">
        <w:rPr>
          <w:snapToGrid w:val="0"/>
          <w:lang w:val="fr-CA"/>
        </w:rPr>
        <w:t>Aux fins de cette certification –</w:t>
      </w:r>
    </w:p>
    <w:p w14:paraId="136138A9" w14:textId="77777777" w:rsidR="00F34AA9" w:rsidRPr="001E7D0F" w:rsidRDefault="00F34AA9" w:rsidP="00F34AA9">
      <w:pPr>
        <w:spacing w:after="0"/>
        <w:ind w:left="360"/>
        <w:contextualSpacing/>
        <w:rPr>
          <w:snapToGrid w:val="0"/>
        </w:rPr>
      </w:pPr>
    </w:p>
    <w:p w14:paraId="13C75DC0" w14:textId="77777777" w:rsidR="00F34AA9" w:rsidRPr="001E7D0F" w:rsidRDefault="00F34AA9" w:rsidP="00F34AA9">
      <w:pPr>
        <w:pStyle w:val="Paragraphedeliste"/>
        <w:spacing w:after="0"/>
        <w:rPr>
          <w:snapToGrid w:val="0"/>
        </w:rPr>
      </w:pPr>
      <w:r w:rsidRPr="001E7D0F">
        <w:rPr>
          <w:snapToGrid w:val="0"/>
          <w:lang w:val="fr-CA"/>
        </w:rPr>
        <w:t xml:space="preserve">(1) Un soutien matériel et des ressources" désignent les espèces ou instruments monétaires </w:t>
      </w:r>
      <w:proofErr w:type="gramStart"/>
      <w:r w:rsidRPr="001E7D0F">
        <w:rPr>
          <w:snapToGrid w:val="0"/>
          <w:lang w:val="fr-CA"/>
        </w:rPr>
        <w:t>ou  titres</w:t>
      </w:r>
      <w:proofErr w:type="gramEnd"/>
      <w:r w:rsidRPr="001E7D0F">
        <w:rPr>
          <w:snapToGrid w:val="0"/>
          <w:lang w:val="fr-CA"/>
        </w:rPr>
        <w:t xml:space="preserve"> financiers, services financiers, hébergement, formation, conseils d'experts ou  l'aide, coffres-forts, de faux documents ou 'identification, l'équipement de communication, des installations, des armes, des substances létales, d'explosifs, de personnel, de transport, et d'autres biens physiques, à l'exception d'objets médicaux ou religieux</w:t>
      </w:r>
    </w:p>
    <w:p w14:paraId="62645020" w14:textId="77777777" w:rsidR="00F34AA9" w:rsidRPr="001E7D0F" w:rsidRDefault="00F34AA9" w:rsidP="00F34AA9">
      <w:pPr>
        <w:tabs>
          <w:tab w:val="left" w:pos="2160"/>
        </w:tabs>
        <w:spacing w:after="0"/>
        <w:ind w:left="720"/>
        <w:contextualSpacing/>
        <w:rPr>
          <w:snapToGrid w:val="0"/>
        </w:rPr>
      </w:pPr>
    </w:p>
    <w:p w14:paraId="3D62B4C1" w14:textId="77777777" w:rsidR="00F34AA9" w:rsidRPr="001E7D0F" w:rsidRDefault="00F34AA9" w:rsidP="006C3B8F">
      <w:pPr>
        <w:pStyle w:val="Paragraphedeliste"/>
        <w:numPr>
          <w:ilvl w:val="0"/>
          <w:numId w:val="30"/>
        </w:numPr>
        <w:tabs>
          <w:tab w:val="left" w:pos="2160"/>
        </w:tabs>
        <w:spacing w:after="0"/>
        <w:rPr>
          <w:snapToGrid w:val="0"/>
        </w:rPr>
      </w:pPr>
      <w:r w:rsidRPr="001E7D0F">
        <w:rPr>
          <w:snapToGrid w:val="0"/>
          <w:lang w:val="fr-CA"/>
        </w:rPr>
        <w:t>Acte de terrorisme" signifie-</w:t>
      </w:r>
    </w:p>
    <w:p w14:paraId="0EBD1919" w14:textId="77777777" w:rsidR="00F34AA9" w:rsidRPr="001E7D0F" w:rsidRDefault="00F34AA9" w:rsidP="00F34AA9">
      <w:pPr>
        <w:spacing w:after="0"/>
        <w:ind w:left="720"/>
        <w:contextualSpacing/>
        <w:rPr>
          <w:snapToGrid w:val="0"/>
        </w:rPr>
      </w:pPr>
    </w:p>
    <w:p w14:paraId="0778846A" w14:textId="77777777" w:rsidR="00F34AA9" w:rsidRPr="001E7D0F" w:rsidRDefault="00F34AA9" w:rsidP="006C3B8F">
      <w:pPr>
        <w:numPr>
          <w:ilvl w:val="0"/>
          <w:numId w:val="22"/>
        </w:numPr>
        <w:tabs>
          <w:tab w:val="left" w:pos="2160"/>
        </w:tabs>
        <w:spacing w:after="0"/>
        <w:ind w:left="1080" w:hanging="360"/>
        <w:contextualSpacing/>
        <w:rPr>
          <w:snapToGrid w:val="0"/>
        </w:rPr>
      </w:pPr>
      <w:r w:rsidRPr="001E7D0F">
        <w:rPr>
          <w:snapToGrid w:val="0"/>
          <w:lang w:val="fr-CA"/>
        </w:rPr>
        <w:t xml:space="preserve">Un acte interdit en vertu de l'une des 12 conventions et protocoles des Nations Unies relatifs au terrorisme (voir ONU terrorisme Site Internet : </w:t>
      </w:r>
      <w:hyperlink r:id="rId16" w:history="1">
        <w:r w:rsidRPr="001E7D0F">
          <w:rPr>
            <w:snapToGrid w:val="0"/>
            <w:color w:val="0000FF" w:themeColor="hyperlink"/>
            <w:u w:val="single"/>
            <w:lang w:val="fr-CA"/>
          </w:rPr>
          <w:t>Http://untreaty.un.org/English/Terrorism.asp</w:t>
        </w:r>
      </w:hyperlink>
      <w:r w:rsidRPr="001E7D0F">
        <w:rPr>
          <w:snapToGrid w:val="0"/>
          <w:lang w:val="fr-CA"/>
        </w:rPr>
        <w:t xml:space="preserve">) ; </w:t>
      </w:r>
      <w:proofErr w:type="gramStart"/>
      <w:r w:rsidRPr="001E7D0F">
        <w:rPr>
          <w:snapToGrid w:val="0"/>
          <w:lang w:val="fr-CA"/>
        </w:rPr>
        <w:t>ou</w:t>
      </w:r>
      <w:proofErr w:type="gramEnd"/>
    </w:p>
    <w:p w14:paraId="357C900E" w14:textId="77777777" w:rsidR="00F34AA9" w:rsidRPr="001E7D0F" w:rsidRDefault="00F34AA9" w:rsidP="00F34AA9">
      <w:pPr>
        <w:tabs>
          <w:tab w:val="left" w:pos="2160"/>
        </w:tabs>
        <w:spacing w:after="0"/>
        <w:ind w:left="1080"/>
        <w:contextualSpacing/>
        <w:rPr>
          <w:snapToGrid w:val="0"/>
        </w:rPr>
      </w:pPr>
    </w:p>
    <w:p w14:paraId="06AF2FBF" w14:textId="77777777" w:rsidR="00F34AA9" w:rsidRPr="001E7D0F" w:rsidRDefault="00F34AA9" w:rsidP="006C3B8F">
      <w:pPr>
        <w:numPr>
          <w:ilvl w:val="0"/>
          <w:numId w:val="22"/>
        </w:numPr>
        <w:tabs>
          <w:tab w:val="left" w:pos="2160"/>
        </w:tabs>
        <w:spacing w:after="0"/>
        <w:ind w:left="1080" w:hanging="360"/>
        <w:contextualSpacing/>
        <w:rPr>
          <w:snapToGrid w:val="0"/>
        </w:rPr>
      </w:pPr>
      <w:r w:rsidRPr="001E7D0F">
        <w:rPr>
          <w:snapToGrid w:val="0"/>
          <w:lang w:val="fr-CA"/>
        </w:rPr>
        <w:t xml:space="preserve">Un acte prémédité, de la violence à caractère politique perpétrés contre des cibles non par des groupes sous-nationaux ou des agents clandestins ; </w:t>
      </w:r>
      <w:proofErr w:type="gramStart"/>
      <w:r w:rsidRPr="001E7D0F">
        <w:rPr>
          <w:snapToGrid w:val="0"/>
          <w:lang w:val="fr-CA"/>
        </w:rPr>
        <w:t>ou</w:t>
      </w:r>
      <w:proofErr w:type="gramEnd"/>
    </w:p>
    <w:p w14:paraId="09C770E1" w14:textId="77777777" w:rsidR="00F34AA9" w:rsidRPr="001E7D0F" w:rsidRDefault="00F34AA9" w:rsidP="00F34AA9">
      <w:pPr>
        <w:tabs>
          <w:tab w:val="left" w:pos="2160"/>
        </w:tabs>
        <w:spacing w:after="0"/>
        <w:ind w:left="1080"/>
        <w:contextualSpacing/>
        <w:rPr>
          <w:snapToGrid w:val="0"/>
        </w:rPr>
      </w:pPr>
    </w:p>
    <w:p w14:paraId="43422DF2" w14:textId="77777777" w:rsidR="00F34AA9" w:rsidRPr="001E7D0F" w:rsidRDefault="00F34AA9" w:rsidP="006C3B8F">
      <w:pPr>
        <w:numPr>
          <w:ilvl w:val="0"/>
          <w:numId w:val="22"/>
        </w:numPr>
        <w:tabs>
          <w:tab w:val="left" w:pos="2160"/>
        </w:tabs>
        <w:spacing w:after="0"/>
        <w:ind w:left="1080" w:hanging="360"/>
        <w:contextualSpacing/>
        <w:rPr>
          <w:snapToGrid w:val="0"/>
        </w:rPr>
      </w:pPr>
      <w:r w:rsidRPr="001E7D0F">
        <w:rPr>
          <w:snapToGrid w:val="0"/>
          <w:lang w:val="fr-CA"/>
        </w:rPr>
        <w:t xml:space="preserve"> Tout autre acte destiné à causer la mort ou des blessures corporelles graves à un civil ou à toute autre personne qui ne participe pas activement aux hostilités dans une situation de conflit armé, lorsque le but d'un tel acte, par sa nature ou son contexte, est d'intimider une population, ou d'obliger un gouvernement ou une organisation internationale à faire ou à s'abstenir de faire un acte</w:t>
      </w:r>
    </w:p>
    <w:p w14:paraId="5CE97E52" w14:textId="77777777" w:rsidR="00F34AA9" w:rsidRPr="001E7D0F" w:rsidRDefault="00F34AA9" w:rsidP="00F34AA9">
      <w:pPr>
        <w:rPr>
          <w:snapToGrid w:val="0"/>
        </w:rPr>
      </w:pPr>
    </w:p>
    <w:p w14:paraId="049FEEBA" w14:textId="77777777" w:rsidR="00F34AA9" w:rsidRPr="001E7D0F" w:rsidRDefault="00F34AA9" w:rsidP="006C3B8F">
      <w:pPr>
        <w:pStyle w:val="Paragraphedeliste"/>
        <w:numPr>
          <w:ilvl w:val="0"/>
          <w:numId w:val="30"/>
        </w:numPr>
        <w:spacing w:after="0"/>
        <w:rPr>
          <w:snapToGrid w:val="0"/>
        </w:rPr>
      </w:pPr>
      <w:r w:rsidRPr="001E7D0F">
        <w:rPr>
          <w:snapToGrid w:val="0"/>
          <w:lang w:val="fr-CA"/>
        </w:rPr>
        <w:t>“Entité "signifie un partenariat, une association, une société ou une autre organisation, groupe ou sous-groupe.</w:t>
      </w:r>
    </w:p>
    <w:p w14:paraId="06960E5F" w14:textId="77777777" w:rsidR="00F34AA9" w:rsidRPr="001E7D0F" w:rsidRDefault="00F34AA9" w:rsidP="00F34AA9">
      <w:pPr>
        <w:pStyle w:val="Paragraphedeliste"/>
        <w:spacing w:after="0"/>
        <w:ind w:left="1080"/>
        <w:rPr>
          <w:snapToGrid w:val="0"/>
        </w:rPr>
      </w:pPr>
    </w:p>
    <w:p w14:paraId="45B1F9D9" w14:textId="77777777" w:rsidR="00F34AA9" w:rsidRPr="001E7D0F" w:rsidRDefault="00F34AA9" w:rsidP="006C3B8F">
      <w:pPr>
        <w:pStyle w:val="Paragraphedeliste"/>
        <w:numPr>
          <w:ilvl w:val="0"/>
          <w:numId w:val="30"/>
        </w:numPr>
        <w:spacing w:after="0"/>
        <w:rPr>
          <w:snapToGrid w:val="0"/>
        </w:rPr>
      </w:pPr>
      <w:r w:rsidRPr="001E7D0F">
        <w:rPr>
          <w:snapToGrid w:val="0"/>
          <w:lang w:val="fr-CA"/>
        </w:rPr>
        <w:t>Les références dans cette certification à la fourniture d'un soutien matériel et des ressources ne sont pas considérées comme incluant la fourniture de fonds de l'USAID ou de produits financés par l'USAID aux bénéficiaires ultimes de l'aide de l'USAID, tels que les bénéficiaires d'aliments, de soins médicaux, prêts aux micro- entreprises, le logement, etc., à moins que le bénéficiaire ne puisse croire qu'un ou plusieurs de ces bénéficiaires s'engagent, tentent de commettre, prônent, facilitent ou participent à des actes terroristes ou ont commis, tenté de commettre, de faciliter ou de participer aux actes terroristes.</w:t>
      </w:r>
    </w:p>
    <w:p w14:paraId="57CAE188" w14:textId="77777777" w:rsidR="00F34AA9" w:rsidRPr="001E7D0F" w:rsidRDefault="00F34AA9" w:rsidP="00F34AA9">
      <w:pPr>
        <w:pStyle w:val="Paragraphedeliste"/>
        <w:rPr>
          <w:snapToGrid w:val="0"/>
        </w:rPr>
      </w:pPr>
    </w:p>
    <w:p w14:paraId="1D3B073C" w14:textId="77777777" w:rsidR="00F34AA9" w:rsidRPr="001E7D0F" w:rsidRDefault="00F34AA9" w:rsidP="006C3B8F">
      <w:pPr>
        <w:pStyle w:val="Paragraphedeliste"/>
        <w:numPr>
          <w:ilvl w:val="0"/>
          <w:numId w:val="30"/>
        </w:numPr>
        <w:spacing w:after="0"/>
        <w:rPr>
          <w:snapToGrid w:val="0"/>
        </w:rPr>
      </w:pPr>
      <w:r w:rsidRPr="001E7D0F">
        <w:rPr>
          <w:snapToGrid w:val="0"/>
          <w:lang w:val="fr-CA"/>
        </w:rPr>
        <w:t xml:space="preserve">Les obligations du bénéficiaire en vertu de l'alinéa a) ne sont pas applicables à l'achat de biens et/ou services par le bénéficiaire qui sont acquis dans le cours normal des affaires par l'intermédiaire de marché ou de l'achat, par exemple, les services publics, les loyers, les fournitures de bureau, de l'essence, etc., à moins que le bénéficiaire a des raisons de croire qu'un vendeur ou fournisseur de ces biens et services s'engage, tente de commettre, défendre, facilite, ou participe à des actes </w:t>
      </w:r>
      <w:r w:rsidRPr="001E7D0F">
        <w:rPr>
          <w:snapToGrid w:val="0"/>
          <w:lang w:val="fr-CA"/>
        </w:rPr>
        <w:lastRenderedPageBreak/>
        <w:t>terroristes, ou qu'il a commis, tenté de commettre, facilité ou participé à des actes terroristes</w:t>
      </w:r>
    </w:p>
    <w:p w14:paraId="7C9140B1" w14:textId="77777777" w:rsidR="00F34AA9" w:rsidRPr="001E7D0F" w:rsidRDefault="00F34AA9" w:rsidP="00F34AA9">
      <w:pPr>
        <w:spacing w:after="0"/>
        <w:rPr>
          <w:snapToGrid w:val="0"/>
        </w:rPr>
      </w:pPr>
    </w:p>
    <w:p w14:paraId="6B6BB378" w14:textId="77777777" w:rsidR="00F34AA9" w:rsidRPr="001E7D0F" w:rsidRDefault="00F34AA9" w:rsidP="00F34AA9">
      <w:pPr>
        <w:spacing w:after="0"/>
        <w:rPr>
          <w:snapToGrid w:val="0"/>
        </w:rPr>
      </w:pPr>
      <w:r w:rsidRPr="001E7D0F">
        <w:rPr>
          <w:snapToGrid w:val="0"/>
          <w:lang w:val="fr-CA"/>
        </w:rPr>
        <w:t>Cette certification est un terme et une condition expresse de l'accord et toute violation de celui-ci sera un motif de résiliation unilatérale de l'accord par l'USAID avant la fin de son mandat."</w:t>
      </w:r>
    </w:p>
    <w:p w14:paraId="1DD0F576" w14:textId="77777777" w:rsidR="00F34AA9" w:rsidRPr="001E7D0F" w:rsidRDefault="00F34AA9" w:rsidP="00F34AA9">
      <w:pPr>
        <w:spacing w:after="0"/>
        <w:rPr>
          <w:snapToGrid w:val="0"/>
        </w:rPr>
      </w:pPr>
    </w:p>
    <w:p w14:paraId="746574E0" w14:textId="77777777" w:rsidR="00F34AA9" w:rsidRPr="001E7D0F" w:rsidRDefault="00F34AA9" w:rsidP="00F34AA9">
      <w:pPr>
        <w:spacing w:after="0"/>
        <w:rPr>
          <w:snapToGrid w:val="0"/>
        </w:rPr>
      </w:pPr>
    </w:p>
    <w:p w14:paraId="73419A60" w14:textId="77777777" w:rsidR="00F34AA9" w:rsidRPr="001E7D0F" w:rsidRDefault="00F34AA9" w:rsidP="006C3B8F">
      <w:pPr>
        <w:keepNext/>
        <w:numPr>
          <w:ilvl w:val="0"/>
          <w:numId w:val="27"/>
        </w:numPr>
        <w:spacing w:after="0"/>
        <w:outlineLvl w:val="0"/>
        <w:rPr>
          <w:rFonts w:eastAsia="Times New Roman"/>
          <w:b/>
          <w:bCs/>
          <w:kern w:val="32"/>
        </w:rPr>
      </w:pPr>
      <w:r w:rsidRPr="001E7D0F">
        <w:rPr>
          <w:b/>
          <w:bCs/>
          <w:lang w:val="fr-CA"/>
        </w:rPr>
        <w:t>Procédures ANTI-KICKBACK</w:t>
      </w:r>
    </w:p>
    <w:p w14:paraId="36CC4F62" w14:textId="77777777" w:rsidR="00F34AA9" w:rsidRPr="001E7D0F" w:rsidRDefault="00F34AA9" w:rsidP="00F34AA9">
      <w:pPr>
        <w:spacing w:after="0"/>
        <w:rPr>
          <w:lang w:eastAsia="es-ES"/>
        </w:rPr>
      </w:pPr>
    </w:p>
    <w:p w14:paraId="570E3BD7" w14:textId="77777777" w:rsidR="00F34AA9" w:rsidRPr="001E7D0F" w:rsidRDefault="00F34AA9" w:rsidP="00F34AA9">
      <w:pPr>
        <w:spacing w:after="0"/>
        <w:rPr>
          <w:rFonts w:eastAsia="Times New Roman"/>
          <w:b/>
        </w:rPr>
      </w:pPr>
      <w:r w:rsidRPr="001E7D0F">
        <w:rPr>
          <w:b/>
          <w:lang w:val="fr-CA"/>
        </w:rPr>
        <w:t xml:space="preserve">Référence 52.203-7 FAR (« U.S. </w:t>
      </w:r>
      <w:proofErr w:type="spellStart"/>
      <w:r w:rsidRPr="001E7D0F">
        <w:rPr>
          <w:b/>
          <w:lang w:val="fr-CA"/>
        </w:rPr>
        <w:t>Federal</w:t>
      </w:r>
      <w:proofErr w:type="spellEnd"/>
      <w:r w:rsidRPr="001E7D0F">
        <w:rPr>
          <w:b/>
          <w:lang w:val="fr-CA"/>
        </w:rPr>
        <w:t xml:space="preserve"> Acquisition </w:t>
      </w:r>
      <w:proofErr w:type="spellStart"/>
      <w:r w:rsidRPr="001E7D0F">
        <w:rPr>
          <w:b/>
          <w:lang w:val="fr-CA"/>
        </w:rPr>
        <w:t>Regulations</w:t>
      </w:r>
      <w:proofErr w:type="spellEnd"/>
      <w:r w:rsidRPr="001E7D0F">
        <w:rPr>
          <w:b/>
          <w:lang w:val="fr-CA"/>
        </w:rPr>
        <w:t> »).</w:t>
      </w:r>
    </w:p>
    <w:p w14:paraId="581A8DC2" w14:textId="77777777" w:rsidR="00F34AA9" w:rsidRPr="001E7D0F" w:rsidRDefault="00F34AA9" w:rsidP="00F34AA9">
      <w:pPr>
        <w:spacing w:after="0"/>
        <w:rPr>
          <w:rFonts w:eastAsia="Times New Roman"/>
          <w:b/>
          <w:lang w:eastAsia="es-ES"/>
        </w:rPr>
      </w:pPr>
    </w:p>
    <w:p w14:paraId="0DBD1F79" w14:textId="77777777" w:rsidR="00F34AA9" w:rsidRPr="001E7D0F" w:rsidRDefault="00F34AA9" w:rsidP="00F34AA9">
      <w:pPr>
        <w:spacing w:after="0"/>
      </w:pPr>
      <w:r w:rsidRPr="001E7D0F">
        <w:rPr>
          <w:lang w:val="fr-CA"/>
        </w:rPr>
        <w:t>Comme prescrit au 3.502-3, insérer l'article suivant :</w:t>
      </w:r>
    </w:p>
    <w:p w14:paraId="2B6D3030" w14:textId="77777777" w:rsidR="00F34AA9" w:rsidRPr="001E7D0F" w:rsidRDefault="00F34AA9" w:rsidP="00F34AA9">
      <w:pPr>
        <w:spacing w:after="0"/>
      </w:pPr>
    </w:p>
    <w:p w14:paraId="16DE6301" w14:textId="77777777" w:rsidR="00F34AA9" w:rsidRPr="001E7D0F" w:rsidRDefault="00F34AA9" w:rsidP="00F34AA9">
      <w:pPr>
        <w:spacing w:after="0"/>
      </w:pPr>
      <w:r w:rsidRPr="001E7D0F">
        <w:rPr>
          <w:lang w:val="fr-CA"/>
        </w:rPr>
        <w:t>Procédures Anti-</w:t>
      </w:r>
      <w:proofErr w:type="spellStart"/>
      <w:r w:rsidRPr="001E7D0F">
        <w:rPr>
          <w:lang w:val="fr-CA"/>
        </w:rPr>
        <w:t>Kickback</w:t>
      </w:r>
      <w:proofErr w:type="spellEnd"/>
      <w:r w:rsidRPr="001E7D0F">
        <w:rPr>
          <w:lang w:val="fr-CA"/>
        </w:rPr>
        <w:t xml:space="preserve"> (Jun 2020)</w:t>
      </w:r>
    </w:p>
    <w:p w14:paraId="6C88CE5D" w14:textId="77777777" w:rsidR="00F34AA9" w:rsidRPr="001E7D0F" w:rsidRDefault="00F34AA9" w:rsidP="00F34AA9">
      <w:pPr>
        <w:spacing w:after="0"/>
      </w:pPr>
    </w:p>
    <w:p w14:paraId="5761BE0B" w14:textId="77777777" w:rsidR="00F34AA9" w:rsidRPr="001E7D0F" w:rsidRDefault="00F34AA9" w:rsidP="006C3B8F">
      <w:pPr>
        <w:numPr>
          <w:ilvl w:val="0"/>
          <w:numId w:val="11"/>
        </w:numPr>
        <w:spacing w:after="0"/>
        <w:contextualSpacing/>
      </w:pPr>
      <w:r w:rsidRPr="001E7D0F">
        <w:rPr>
          <w:lang w:val="fr-CA"/>
        </w:rPr>
        <w:t>Définitions.</w:t>
      </w:r>
    </w:p>
    <w:p w14:paraId="5BC49A5D" w14:textId="77777777" w:rsidR="00F34AA9" w:rsidRPr="001E7D0F" w:rsidRDefault="00F34AA9" w:rsidP="00F34AA9">
      <w:pPr>
        <w:spacing w:after="0"/>
        <w:contextualSpacing/>
      </w:pPr>
      <w:r w:rsidRPr="001E7D0F">
        <w:rPr>
          <w:lang w:val="fr-CA"/>
        </w:rPr>
        <w:t>.</w:t>
      </w:r>
    </w:p>
    <w:p w14:paraId="2062D0FB" w14:textId="77777777" w:rsidR="00F34AA9" w:rsidRPr="001E7D0F" w:rsidRDefault="00F34AA9" w:rsidP="00F34AA9">
      <w:pPr>
        <w:spacing w:after="0"/>
        <w:ind w:left="525"/>
      </w:pPr>
      <w:r w:rsidRPr="001E7D0F">
        <w:rPr>
          <w:lang w:val="fr-CA"/>
        </w:rPr>
        <w:t>« Pot-de-vin », tel qu’employé dans le présent article, désigne tout argent, frais, commission, crédit, cadeau, gratification, une chose de valeur, ou compensation de quelque nature que ce soit qui est assuré, directement ou indirectement, à tout entrepreneur principal, l'entrepreneur principal ,son employé, sous-traitant, son employé dans le but d'obtenir indûment ou de récompenser un traitement favorable dans le cadre d'un premier contrat ou dans le cadre d'un contrat de sous-traitance portant sur un premier contrat.</w:t>
      </w:r>
    </w:p>
    <w:p w14:paraId="09F7F5F1" w14:textId="77777777" w:rsidR="00F34AA9" w:rsidRPr="001E7D0F" w:rsidRDefault="00F34AA9" w:rsidP="00F34AA9">
      <w:pPr>
        <w:spacing w:after="0"/>
        <w:ind w:left="525"/>
      </w:pPr>
    </w:p>
    <w:p w14:paraId="08A2E057" w14:textId="77777777" w:rsidR="00F34AA9" w:rsidRPr="001E7D0F" w:rsidRDefault="00F34AA9" w:rsidP="00F34AA9">
      <w:pPr>
        <w:ind w:left="525"/>
      </w:pPr>
      <w:bookmarkStart w:id="9" w:name="_Hlk494337694"/>
      <w:r w:rsidRPr="001E7D0F">
        <w:rPr>
          <w:lang w:val="fr-CA"/>
        </w:rPr>
        <w:t xml:space="preserve">« Personne », </w:t>
      </w:r>
      <w:bookmarkEnd w:id="9"/>
      <w:r w:rsidRPr="001E7D0F">
        <w:rPr>
          <w:lang w:val="fr-CA"/>
        </w:rPr>
        <w:t>tel qu'utilisé dans cette clause, désigne une société, un partenariat, une association commerciale de toute nature, une fiducie, une société par actions ou un particulier.</w:t>
      </w:r>
    </w:p>
    <w:p w14:paraId="6B852F83" w14:textId="77777777" w:rsidR="00F34AA9" w:rsidRPr="001E7D0F" w:rsidRDefault="00F34AA9" w:rsidP="00F34AA9">
      <w:pPr>
        <w:spacing w:after="0"/>
        <w:ind w:left="525"/>
      </w:pPr>
      <w:r w:rsidRPr="001E7D0F">
        <w:rPr>
          <w:lang w:val="fr-CA"/>
        </w:rPr>
        <w:t xml:space="preserve"> « Premier contrat », tel qu’employé dans le présent article, désigne un contrat ou un contrat d'action conclu par les États-Unis en vue de l'obtention de fournitures, matériels, équipements ou services de quelque nature que ce soit.</w:t>
      </w:r>
    </w:p>
    <w:p w14:paraId="6F7CA07C" w14:textId="77777777" w:rsidR="00F34AA9" w:rsidRPr="001E7D0F" w:rsidRDefault="00F34AA9" w:rsidP="00F34AA9">
      <w:pPr>
        <w:spacing w:after="0"/>
        <w:ind w:left="525"/>
      </w:pPr>
    </w:p>
    <w:p w14:paraId="1B25A478" w14:textId="77777777" w:rsidR="00F34AA9" w:rsidRPr="001E7D0F" w:rsidRDefault="00F34AA9" w:rsidP="00F34AA9">
      <w:pPr>
        <w:spacing w:after="0"/>
        <w:ind w:left="525"/>
      </w:pPr>
      <w:r w:rsidRPr="001E7D0F">
        <w:rPr>
          <w:lang w:val="fr-CA"/>
        </w:rPr>
        <w:t>« Entrepreneur principal » utilisé dans cette clause désigne une personne qui a conclu un contrat principal avec les États-Unis.</w:t>
      </w:r>
    </w:p>
    <w:p w14:paraId="0E2346F8" w14:textId="77777777" w:rsidR="00F34AA9" w:rsidRPr="001E7D0F" w:rsidRDefault="00F34AA9" w:rsidP="00F34AA9">
      <w:pPr>
        <w:spacing w:after="0"/>
        <w:ind w:left="525"/>
      </w:pPr>
    </w:p>
    <w:p w14:paraId="7A66547C" w14:textId="7AE75B76" w:rsidR="00F34AA9" w:rsidRPr="001E7D0F" w:rsidRDefault="3F196611" w:rsidP="00F34AA9">
      <w:pPr>
        <w:spacing w:after="0"/>
        <w:ind w:left="525"/>
      </w:pPr>
      <w:r w:rsidRPr="3F196611">
        <w:rPr>
          <w:lang w:val="fr-CA"/>
        </w:rPr>
        <w:t xml:space="preserve"> « Employé de l'entrepreneur principal », tel qu'utilisé dans cet article, désigne tout agent, associé, employé ou agent d'un entrepreneur principal.</w:t>
      </w:r>
    </w:p>
    <w:p w14:paraId="42C40252" w14:textId="77777777" w:rsidR="00F34AA9" w:rsidRPr="001E7D0F" w:rsidRDefault="00F34AA9" w:rsidP="00F34AA9">
      <w:pPr>
        <w:spacing w:after="0"/>
        <w:ind w:left="525"/>
      </w:pPr>
    </w:p>
    <w:p w14:paraId="7499E591" w14:textId="77777777" w:rsidR="00F34AA9" w:rsidRPr="001E7D0F" w:rsidRDefault="00F34AA9" w:rsidP="00F34AA9">
      <w:pPr>
        <w:spacing w:after="0"/>
        <w:ind w:left="525"/>
      </w:pPr>
      <w:bookmarkStart w:id="10" w:name="_Hlk494337730"/>
      <w:r w:rsidRPr="001E7D0F">
        <w:rPr>
          <w:lang w:val="fr-CA"/>
        </w:rPr>
        <w:t xml:space="preserve">« Sous-traitant </w:t>
      </w:r>
      <w:bookmarkEnd w:id="10"/>
      <w:r w:rsidRPr="001E7D0F">
        <w:rPr>
          <w:lang w:val="fr-CA"/>
        </w:rPr>
        <w:t>», employé dans le présent article, s'entend d'un contrat ou d'action contractuel conclu par un entrepreneur principal ou sous-traitant en vue de l'obtention de fournitures, matériels, équipements, ou des services de toute nature en vertu d'un contrat principal.</w:t>
      </w:r>
    </w:p>
    <w:p w14:paraId="4F08ED73" w14:textId="77777777" w:rsidR="00F34AA9" w:rsidRPr="001E7D0F" w:rsidRDefault="00F34AA9" w:rsidP="00F34AA9">
      <w:pPr>
        <w:spacing w:after="0"/>
        <w:ind w:left="525"/>
      </w:pPr>
    </w:p>
    <w:p w14:paraId="248A45B2" w14:textId="77777777" w:rsidR="00F34AA9" w:rsidRPr="001E7D0F" w:rsidRDefault="00F34AA9" w:rsidP="00F34AA9">
      <w:pPr>
        <w:spacing w:after="0"/>
        <w:ind w:left="525"/>
      </w:pPr>
    </w:p>
    <w:p w14:paraId="67A08D3C" w14:textId="77777777" w:rsidR="00F34AA9" w:rsidRPr="001E7D0F" w:rsidRDefault="00F34AA9" w:rsidP="00F34AA9">
      <w:pPr>
        <w:spacing w:after="0"/>
        <w:ind w:left="525"/>
      </w:pPr>
      <w:r w:rsidRPr="001E7D0F">
        <w:rPr>
          <w:lang w:val="fr-CA"/>
        </w:rPr>
        <w:t>« Sous-traitant », tel qu’employé dans le présent article,</w:t>
      </w:r>
    </w:p>
    <w:p w14:paraId="15573341" w14:textId="77777777" w:rsidR="00F34AA9" w:rsidRPr="001E7D0F" w:rsidRDefault="00F34AA9" w:rsidP="00F34AA9">
      <w:pPr>
        <w:spacing w:after="0"/>
      </w:pPr>
    </w:p>
    <w:p w14:paraId="4D561323" w14:textId="4A3AF7CF" w:rsidR="00F34AA9" w:rsidRPr="001E7D0F" w:rsidRDefault="3F196611" w:rsidP="006C3B8F">
      <w:pPr>
        <w:pStyle w:val="Paragraphedeliste"/>
        <w:numPr>
          <w:ilvl w:val="0"/>
          <w:numId w:val="12"/>
        </w:numPr>
        <w:spacing w:after="0"/>
      </w:pPr>
      <w:r w:rsidRPr="3F196611">
        <w:rPr>
          <w:lang w:val="fr-CA"/>
        </w:rPr>
        <w:t xml:space="preserve">Désigne toute personne, autre que le premier entrepreneur, qui se propose de fournir ou fournit des fournitures, matériaux, équipements, ou des services de toute nature en </w:t>
      </w:r>
      <w:r w:rsidRPr="3F196611">
        <w:rPr>
          <w:lang w:val="fr-CA"/>
        </w:rPr>
        <w:lastRenderedPageBreak/>
        <w:t>vertu d'un premier contrat ou d'une sous-traitance conclue dans le cadre de ce premier contrat, et</w:t>
      </w:r>
    </w:p>
    <w:p w14:paraId="7A290D56" w14:textId="77777777" w:rsidR="00F34AA9" w:rsidRPr="001E7D0F" w:rsidRDefault="00F34AA9" w:rsidP="00F34AA9">
      <w:pPr>
        <w:spacing w:after="0"/>
        <w:ind w:left="885"/>
        <w:contextualSpacing/>
      </w:pPr>
    </w:p>
    <w:p w14:paraId="13F1A477" w14:textId="77777777" w:rsidR="00F34AA9" w:rsidRPr="001E7D0F" w:rsidRDefault="00F34AA9" w:rsidP="006C3B8F">
      <w:pPr>
        <w:numPr>
          <w:ilvl w:val="0"/>
          <w:numId w:val="12"/>
        </w:numPr>
        <w:spacing w:after="0"/>
        <w:contextualSpacing/>
      </w:pPr>
      <w:r w:rsidRPr="001E7D0F">
        <w:rPr>
          <w:lang w:val="fr-CA"/>
        </w:rPr>
        <w:t>Il s’agit de toute personne qui propose de fournir ou fournit des fournitures générales pour l'entrepreneur principal ou un sous-traitant de niveau supérieur.</w:t>
      </w:r>
    </w:p>
    <w:p w14:paraId="383F2566" w14:textId="77777777" w:rsidR="00F34AA9" w:rsidRPr="001E7D0F" w:rsidRDefault="00F34AA9" w:rsidP="00F34AA9">
      <w:pPr>
        <w:spacing w:after="0"/>
        <w:ind w:left="525"/>
      </w:pPr>
    </w:p>
    <w:p w14:paraId="698A8E6C" w14:textId="77777777" w:rsidR="00F34AA9" w:rsidRPr="001E7D0F" w:rsidRDefault="00F34AA9" w:rsidP="00F34AA9">
      <w:pPr>
        <w:spacing w:after="0"/>
        <w:ind w:left="525"/>
      </w:pPr>
      <w:r w:rsidRPr="001E7D0F">
        <w:rPr>
          <w:lang w:val="fr-CA"/>
        </w:rPr>
        <w:t xml:space="preserve">« Sous-traitant, employé » employé dans le présent article, désigne tout agent, associé, employé ou agent d'un sous-traitant. </w:t>
      </w:r>
    </w:p>
    <w:p w14:paraId="0386B34F" w14:textId="77777777" w:rsidR="00F34AA9" w:rsidRPr="001E7D0F" w:rsidRDefault="00F34AA9" w:rsidP="00F34AA9">
      <w:pPr>
        <w:spacing w:after="0"/>
      </w:pPr>
    </w:p>
    <w:p w14:paraId="61998AA8" w14:textId="77777777" w:rsidR="00F34AA9" w:rsidRPr="001E7D0F" w:rsidRDefault="00F34AA9" w:rsidP="006C3B8F">
      <w:pPr>
        <w:numPr>
          <w:ilvl w:val="0"/>
          <w:numId w:val="11"/>
        </w:numPr>
        <w:spacing w:after="0"/>
        <w:contextualSpacing/>
      </w:pPr>
      <w:r w:rsidRPr="001E7D0F">
        <w:rPr>
          <w:lang w:val="fr-CA"/>
        </w:rPr>
        <w:t>La loi Anti-Kick back de 1986 (41 U.S.C.51-58) (la Loi) interdit à toute personne de -</w:t>
      </w:r>
    </w:p>
    <w:p w14:paraId="5A692845" w14:textId="77777777" w:rsidR="00F34AA9" w:rsidRPr="001E7D0F" w:rsidRDefault="00F34AA9" w:rsidP="00F34AA9">
      <w:pPr>
        <w:spacing w:after="0"/>
        <w:ind w:left="525"/>
        <w:contextualSpacing/>
      </w:pPr>
    </w:p>
    <w:p w14:paraId="0F3AC5B9" w14:textId="7B5D3804" w:rsidR="00F34AA9" w:rsidRPr="001E7D0F" w:rsidRDefault="3F196611" w:rsidP="006C3B8F">
      <w:pPr>
        <w:numPr>
          <w:ilvl w:val="0"/>
          <w:numId w:val="13"/>
        </w:numPr>
        <w:spacing w:after="0"/>
        <w:contextualSpacing/>
      </w:pPr>
      <w:r w:rsidRPr="3F196611">
        <w:rPr>
          <w:lang w:val="fr-CA"/>
        </w:rPr>
        <w:t>Fournir ou de tenter de fournir ou se proposer de fournir tout Pot-de-vin;</w:t>
      </w:r>
    </w:p>
    <w:p w14:paraId="5CBFF7D6" w14:textId="77777777" w:rsidR="00F34AA9" w:rsidRPr="001E7D0F" w:rsidRDefault="00F34AA9" w:rsidP="00F34AA9">
      <w:pPr>
        <w:spacing w:after="0"/>
        <w:ind w:left="885"/>
        <w:contextualSpacing/>
      </w:pPr>
    </w:p>
    <w:p w14:paraId="4B93BE55" w14:textId="77777777" w:rsidR="00F34AA9" w:rsidRPr="001E7D0F" w:rsidRDefault="00F34AA9" w:rsidP="006C3B8F">
      <w:pPr>
        <w:numPr>
          <w:ilvl w:val="0"/>
          <w:numId w:val="13"/>
        </w:numPr>
        <w:spacing w:after="0"/>
        <w:contextualSpacing/>
      </w:pPr>
      <w:r w:rsidRPr="001E7D0F">
        <w:rPr>
          <w:lang w:val="fr-CA"/>
        </w:rPr>
        <w:t xml:space="preserve">Solliciter, d'accepter ou d'essayer d'accepter Pot-de-vin ; </w:t>
      </w:r>
      <w:proofErr w:type="gramStart"/>
      <w:r w:rsidRPr="001E7D0F">
        <w:rPr>
          <w:lang w:val="fr-CA"/>
        </w:rPr>
        <w:t>ou</w:t>
      </w:r>
      <w:proofErr w:type="gramEnd"/>
    </w:p>
    <w:p w14:paraId="7DF9AACD" w14:textId="77777777" w:rsidR="00F34AA9" w:rsidRPr="001E7D0F" w:rsidRDefault="00F34AA9" w:rsidP="00F34AA9">
      <w:pPr>
        <w:spacing w:after="0"/>
        <w:ind w:left="885"/>
        <w:contextualSpacing/>
      </w:pPr>
    </w:p>
    <w:p w14:paraId="6E1A7833" w14:textId="77777777" w:rsidR="00F34AA9" w:rsidRPr="001E7D0F" w:rsidRDefault="00F34AA9" w:rsidP="006C3B8F">
      <w:pPr>
        <w:numPr>
          <w:ilvl w:val="0"/>
          <w:numId w:val="13"/>
        </w:numPr>
        <w:spacing w:after="0"/>
        <w:contextualSpacing/>
      </w:pPr>
      <w:r w:rsidRPr="001E7D0F">
        <w:rPr>
          <w:lang w:val="fr-CA"/>
        </w:rPr>
        <w:t>Y compris, directement ou indirectement, le montant de tout pot-de-vin dans le prix du contrat facturé par un entrepreneur principal vers les États-Unis ou dans le prix du contrat facturé par un sous-traitant d'un entrepreneur principal ou sous-traitant de niveau supérieur.</w:t>
      </w:r>
    </w:p>
    <w:p w14:paraId="088234F1" w14:textId="77777777" w:rsidR="00F34AA9" w:rsidRPr="001E7D0F" w:rsidRDefault="00F34AA9" w:rsidP="00F34AA9">
      <w:pPr>
        <w:spacing w:after="0"/>
      </w:pPr>
    </w:p>
    <w:p w14:paraId="0635B122" w14:textId="77777777" w:rsidR="00F34AA9" w:rsidRPr="001E7D0F" w:rsidRDefault="00F34AA9" w:rsidP="006C3B8F">
      <w:pPr>
        <w:numPr>
          <w:ilvl w:val="0"/>
          <w:numId w:val="11"/>
        </w:numPr>
        <w:spacing w:after="0"/>
        <w:rPr>
          <w:rFonts w:eastAsia="Times New Roman"/>
          <w:b/>
          <w:bCs/>
          <w:lang w:eastAsia="es-ES"/>
        </w:rPr>
      </w:pPr>
      <w:r w:rsidRPr="001E7D0F">
        <w:rPr>
          <w:rFonts w:eastAsia="Times New Roman"/>
          <w:b/>
          <w:bCs/>
          <w:lang w:eastAsia="es-ES"/>
        </w:rPr>
        <w:t xml:space="preserve"> </w:t>
      </w:r>
    </w:p>
    <w:p w14:paraId="54D925F0" w14:textId="77777777" w:rsidR="00F34AA9" w:rsidRPr="001E7D0F" w:rsidRDefault="00F34AA9" w:rsidP="00F34AA9">
      <w:pPr>
        <w:spacing w:after="0"/>
        <w:ind w:left="525"/>
        <w:contextualSpacing/>
      </w:pPr>
    </w:p>
    <w:p w14:paraId="2991580F" w14:textId="77777777" w:rsidR="00F34AA9" w:rsidRPr="001E7D0F" w:rsidRDefault="00F34AA9" w:rsidP="006C3B8F">
      <w:pPr>
        <w:pStyle w:val="Paragraphedeliste"/>
        <w:numPr>
          <w:ilvl w:val="0"/>
          <w:numId w:val="14"/>
        </w:numPr>
        <w:spacing w:after="0"/>
      </w:pPr>
      <w:r w:rsidRPr="001E7D0F">
        <w:rPr>
          <w:lang w:val="fr-CA"/>
        </w:rPr>
        <w:t xml:space="preserve">L'entrepreneur doit mettre en place et suivre des procédures raisonnables conçues pour prévenir et détecter les éventuelles violations décrites au paragraphe (b) de cette clause dans ses propres activités et de diriger les relations d'affaires </w:t>
      </w:r>
    </w:p>
    <w:p w14:paraId="47EBF231" w14:textId="77777777" w:rsidR="00F34AA9" w:rsidRPr="001E7D0F" w:rsidRDefault="00F34AA9" w:rsidP="00F34AA9">
      <w:pPr>
        <w:spacing w:after="0"/>
        <w:ind w:left="885"/>
        <w:contextualSpacing/>
      </w:pPr>
    </w:p>
    <w:p w14:paraId="41B72B3A" w14:textId="77777777" w:rsidR="00F34AA9" w:rsidRPr="001E7D0F" w:rsidRDefault="00F34AA9" w:rsidP="006C3B8F">
      <w:pPr>
        <w:numPr>
          <w:ilvl w:val="0"/>
          <w:numId w:val="14"/>
        </w:numPr>
        <w:spacing w:after="0"/>
        <w:contextualSpacing/>
      </w:pPr>
      <w:r w:rsidRPr="001E7D0F">
        <w:rPr>
          <w:lang w:val="fr-CA"/>
        </w:rPr>
        <w:t>Lorsque l'entrepreneur a des motifs raisonnables de croire qu'une violation décrite à l'alinéa (b) de la présente clause peut avoir eu lieu, l’entrepreneur doit signaler par écrit la violation éventuelle. Ces rapports doivent être adressés à l'inspecteur général de l'agence contractante, le chef de l'agence contractante si l'agence n'a pas d'inspecteur général ou le ministère de la Justice.</w:t>
      </w:r>
    </w:p>
    <w:p w14:paraId="2B02195A" w14:textId="77777777" w:rsidR="00F34AA9" w:rsidRPr="001E7D0F" w:rsidRDefault="00F34AA9" w:rsidP="00F34AA9">
      <w:pPr>
        <w:spacing w:after="0"/>
        <w:ind w:left="720"/>
        <w:contextualSpacing/>
      </w:pPr>
    </w:p>
    <w:p w14:paraId="0A935DE7" w14:textId="2D835FF0" w:rsidR="00F34AA9" w:rsidRPr="001E7D0F" w:rsidRDefault="3F196611" w:rsidP="006C3B8F">
      <w:pPr>
        <w:pStyle w:val="Paragraphedeliste"/>
        <w:numPr>
          <w:ilvl w:val="0"/>
          <w:numId w:val="14"/>
        </w:numPr>
      </w:pPr>
      <w:r w:rsidRPr="3F196611">
        <w:rPr>
          <w:lang w:val="fr-CA"/>
        </w:rPr>
        <w:t>L'entrepreneur doit coopérer pleinement avec tout organisme fédéral chargé d’enquêter sur une possible violation de l'alinéa (b) de la présente clause.</w:t>
      </w:r>
    </w:p>
    <w:p w14:paraId="52860FFA" w14:textId="77777777" w:rsidR="00F34AA9" w:rsidRPr="001E7D0F" w:rsidRDefault="00F34AA9" w:rsidP="00F34AA9">
      <w:pPr>
        <w:spacing w:after="0"/>
        <w:ind w:left="720"/>
        <w:contextualSpacing/>
      </w:pPr>
    </w:p>
    <w:p w14:paraId="7C1FD856" w14:textId="77777777" w:rsidR="00F34AA9" w:rsidRPr="001E7D0F" w:rsidRDefault="00F34AA9" w:rsidP="006C3B8F">
      <w:pPr>
        <w:pStyle w:val="Paragraphedeliste"/>
        <w:numPr>
          <w:ilvl w:val="0"/>
          <w:numId w:val="14"/>
        </w:numPr>
        <w:spacing w:after="0"/>
      </w:pPr>
      <w:r w:rsidRPr="001E7D0F">
        <w:rPr>
          <w:lang w:val="fr-CA"/>
        </w:rPr>
        <w:t>L'agent des marchés peut</w:t>
      </w:r>
    </w:p>
    <w:p w14:paraId="6CBB585F" w14:textId="77777777" w:rsidR="00F34AA9" w:rsidRPr="001E7D0F" w:rsidRDefault="00F34AA9" w:rsidP="00F34AA9">
      <w:pPr>
        <w:pStyle w:val="Paragraphedeliste"/>
      </w:pPr>
    </w:p>
    <w:p w14:paraId="6A3A1B89" w14:textId="77777777" w:rsidR="00F34AA9" w:rsidRPr="001E7D0F" w:rsidRDefault="00F34AA9" w:rsidP="00F34AA9">
      <w:pPr>
        <w:pStyle w:val="Paragraphedeliste"/>
        <w:spacing w:after="0"/>
        <w:ind w:left="885"/>
      </w:pPr>
    </w:p>
    <w:p w14:paraId="523F4DAE" w14:textId="77777777" w:rsidR="00F34AA9" w:rsidRPr="001E7D0F" w:rsidRDefault="00F34AA9" w:rsidP="006C3B8F">
      <w:pPr>
        <w:pStyle w:val="Paragraphedeliste"/>
        <w:numPr>
          <w:ilvl w:val="0"/>
          <w:numId w:val="29"/>
        </w:numPr>
        <w:spacing w:after="0"/>
      </w:pPr>
      <w:r w:rsidRPr="001E7D0F">
        <w:rPr>
          <w:lang w:val="fr-CA"/>
        </w:rPr>
        <w:t>Compenser le montant du pot-de-vin par rapport aux sommes dues par les États-Unis en vertu du contrat principal et/ou</w:t>
      </w:r>
    </w:p>
    <w:p w14:paraId="6193F02A" w14:textId="77777777" w:rsidR="00F34AA9" w:rsidRPr="001E7D0F" w:rsidRDefault="00F34AA9" w:rsidP="00F34AA9">
      <w:pPr>
        <w:pStyle w:val="Paragraphedeliste"/>
        <w:spacing w:after="0"/>
        <w:ind w:left="1245"/>
      </w:pPr>
    </w:p>
    <w:p w14:paraId="037160F1" w14:textId="77777777" w:rsidR="00F34AA9" w:rsidRPr="001E7D0F" w:rsidRDefault="00F34AA9" w:rsidP="006C3B8F">
      <w:pPr>
        <w:pStyle w:val="Paragraphedeliste"/>
        <w:numPr>
          <w:ilvl w:val="0"/>
          <w:numId w:val="29"/>
        </w:numPr>
        <w:spacing w:after="0"/>
      </w:pPr>
      <w:r w:rsidRPr="001E7D0F">
        <w:rPr>
          <w:lang w:val="fr-CA"/>
        </w:rPr>
        <w:t>Ordonner que l'entrepreneur principal retienne du sous-traitant des sommes dues en vertu du contrat principal du montant du pot-de-vin. L'agent peut ordonner que les montants retenus en vertu de la subdivision (c)(4)(ii) de la présente clause sera versée au gouvernement à moins que le gouvernement ait déjà compensé ces sommes à la sous-section (c)(4)(i) de la présente clause. Dans les deux cas, l'entrepreneur principal doit informer l'agent contractant lorsque l'argent est retenu.</w:t>
      </w:r>
    </w:p>
    <w:p w14:paraId="2FA09D52" w14:textId="77777777" w:rsidR="00F34AA9" w:rsidRPr="001E7D0F" w:rsidRDefault="00F34AA9" w:rsidP="00F34AA9">
      <w:pPr>
        <w:tabs>
          <w:tab w:val="left" w:pos="4550"/>
        </w:tabs>
        <w:spacing w:after="0"/>
        <w:ind w:left="851"/>
        <w:contextualSpacing/>
      </w:pPr>
      <w:r w:rsidRPr="001E7D0F">
        <w:tab/>
      </w:r>
    </w:p>
    <w:p w14:paraId="3FC02D3A" w14:textId="77777777" w:rsidR="00F34AA9" w:rsidRPr="001E7D0F" w:rsidRDefault="00F34AA9" w:rsidP="00F34AA9">
      <w:pPr>
        <w:spacing w:after="0"/>
      </w:pPr>
      <w:r w:rsidRPr="001E7D0F">
        <w:lastRenderedPageBreak/>
        <w:t xml:space="preserve">    </w:t>
      </w:r>
    </w:p>
    <w:p w14:paraId="4A93ED20" w14:textId="77777777" w:rsidR="00F34AA9" w:rsidRPr="001E7D0F" w:rsidRDefault="00F34AA9" w:rsidP="00F34AA9">
      <w:pPr>
        <w:spacing w:after="0"/>
        <w:ind w:left="720"/>
      </w:pPr>
      <w:r w:rsidRPr="001E7D0F">
        <w:rPr>
          <w:lang w:val="fr-CA"/>
        </w:rPr>
        <w:t xml:space="preserve">(5) L’'entrepreneur s'engage à incorporer le contenu de cette clause, dont le sous-alinéa </w:t>
      </w:r>
    </w:p>
    <w:p w14:paraId="27FCC369" w14:textId="77777777" w:rsidR="00F34AA9" w:rsidRPr="001E7D0F" w:rsidRDefault="00F34AA9" w:rsidP="00F34AA9">
      <w:pPr>
        <w:spacing w:after="0"/>
        <w:ind w:left="720"/>
      </w:pPr>
      <w:r w:rsidRPr="001E7D0F">
        <w:rPr>
          <w:lang w:val="fr-CA"/>
        </w:rPr>
        <w:t xml:space="preserve">      (</w:t>
      </w:r>
      <w:proofErr w:type="gramStart"/>
      <w:r w:rsidRPr="001E7D0F">
        <w:rPr>
          <w:lang w:val="fr-CA"/>
        </w:rPr>
        <w:t>c</w:t>
      </w:r>
      <w:proofErr w:type="gramEnd"/>
      <w:r w:rsidRPr="001E7D0F">
        <w:rPr>
          <w:lang w:val="fr-CA"/>
        </w:rPr>
        <w:t xml:space="preserve">)(5) mais à l'exception de l'alinéa (c)(1), dans tous les contrats de sous-traitance  </w:t>
      </w:r>
    </w:p>
    <w:p w14:paraId="26E1645E" w14:textId="77777777" w:rsidR="00F34AA9" w:rsidRPr="001E7D0F" w:rsidRDefault="00F34AA9" w:rsidP="00F34AA9">
      <w:pPr>
        <w:spacing w:after="0"/>
        <w:ind w:left="720"/>
      </w:pPr>
      <w:r w:rsidRPr="001E7D0F">
        <w:rPr>
          <w:lang w:val="fr-CA"/>
        </w:rPr>
        <w:t xml:space="preserve">      </w:t>
      </w:r>
      <w:proofErr w:type="gramStart"/>
      <w:r w:rsidRPr="001E7D0F">
        <w:rPr>
          <w:lang w:val="fr-CA"/>
        </w:rPr>
        <w:t>dans</w:t>
      </w:r>
      <w:proofErr w:type="gramEnd"/>
      <w:r w:rsidRPr="001E7D0F">
        <w:rPr>
          <w:lang w:val="fr-CA"/>
        </w:rPr>
        <w:t xml:space="preserve"> le cadre de ce contrat qui dépassent 150 000 $.</w:t>
      </w:r>
    </w:p>
    <w:p w14:paraId="2FD44018" w14:textId="77777777" w:rsidR="00F34AA9" w:rsidRPr="001E7D0F" w:rsidRDefault="00F34AA9" w:rsidP="00F34AA9">
      <w:pPr>
        <w:spacing w:after="0"/>
        <w:rPr>
          <w:rFonts w:eastAsia="Times New Roman"/>
          <w:b/>
          <w:lang w:eastAsia="es-ES"/>
        </w:rPr>
      </w:pPr>
    </w:p>
    <w:p w14:paraId="7CAB994E" w14:textId="77777777" w:rsidR="00F34AA9" w:rsidRPr="001E7D0F" w:rsidRDefault="00F34AA9" w:rsidP="006C3B8F">
      <w:pPr>
        <w:pStyle w:val="Paragraphedeliste"/>
        <w:numPr>
          <w:ilvl w:val="0"/>
          <w:numId w:val="27"/>
        </w:numPr>
        <w:rPr>
          <w:b/>
        </w:rPr>
      </w:pPr>
      <w:r w:rsidRPr="001E7D0F">
        <w:rPr>
          <w:b/>
          <w:lang w:val="fr-CA"/>
        </w:rPr>
        <w:t>CERTIFICATION ET DIVULGATION CONCERNANT LES PAIEMENTS POUR INFLUENCER CERTAINES TRANSACTIONS FÉDÉRALES</w:t>
      </w:r>
    </w:p>
    <w:p w14:paraId="5E253534" w14:textId="77777777" w:rsidR="00F34AA9" w:rsidRPr="001E7D0F" w:rsidRDefault="00F34AA9" w:rsidP="00F34AA9">
      <w:pPr>
        <w:spacing w:after="0"/>
        <w:rPr>
          <w:rFonts w:eastAsia="Times New Roman"/>
          <w:b/>
          <w:lang w:eastAsia="es-ES"/>
        </w:rPr>
      </w:pPr>
      <w:r w:rsidRPr="001E7D0F">
        <w:rPr>
          <w:b/>
          <w:lang w:val="fr-CA"/>
        </w:rPr>
        <w:t>FAR Référence 52.203-11.</w:t>
      </w:r>
    </w:p>
    <w:p w14:paraId="5476ED12" w14:textId="77777777" w:rsidR="00F34AA9" w:rsidRPr="001E7D0F" w:rsidRDefault="00F34AA9" w:rsidP="00F34AA9">
      <w:pPr>
        <w:spacing w:after="0"/>
        <w:rPr>
          <w:rFonts w:eastAsia="Times New Roman"/>
          <w:b/>
          <w:lang w:eastAsia="es-ES"/>
        </w:rPr>
      </w:pPr>
    </w:p>
    <w:p w14:paraId="7171BBEE" w14:textId="77777777" w:rsidR="00F34AA9" w:rsidRPr="001E7D0F" w:rsidRDefault="00F34AA9" w:rsidP="00F34AA9">
      <w:pPr>
        <w:spacing w:after="0"/>
      </w:pPr>
      <w:r w:rsidRPr="001E7D0F">
        <w:rPr>
          <w:lang w:val="fr-CA"/>
        </w:rPr>
        <w:t>Comme prescrit dans 3,808(a), insérer la disposition suivante :</w:t>
      </w:r>
    </w:p>
    <w:p w14:paraId="334384FC" w14:textId="77777777" w:rsidR="00F34AA9" w:rsidRPr="001E7D0F" w:rsidRDefault="00F34AA9" w:rsidP="00F34AA9">
      <w:pPr>
        <w:spacing w:after="0"/>
      </w:pPr>
    </w:p>
    <w:p w14:paraId="40518433" w14:textId="77777777" w:rsidR="00F34AA9" w:rsidRPr="001E7D0F" w:rsidRDefault="00F34AA9" w:rsidP="00F34AA9">
      <w:pPr>
        <w:rPr>
          <w:rFonts w:eastAsia="Times New Roman"/>
          <w:b/>
          <w:lang w:eastAsia="es-ES"/>
        </w:rPr>
      </w:pPr>
      <w:r w:rsidRPr="001E7D0F">
        <w:rPr>
          <w:rFonts w:eastAsia="Times New Roman"/>
          <w:b/>
          <w:lang w:val="fr-CA" w:eastAsia="es-ES"/>
        </w:rPr>
        <w:t>Certification et Divulgation Concernant les Paiements pour Influencer Certaines Transactions Fédérales</w:t>
      </w:r>
    </w:p>
    <w:p w14:paraId="12496B67" w14:textId="77777777" w:rsidR="00F34AA9" w:rsidRPr="001E7D0F" w:rsidRDefault="00F34AA9" w:rsidP="00F34AA9">
      <w:pPr>
        <w:spacing w:after="0"/>
        <w:rPr>
          <w:rFonts w:eastAsia="Times New Roman"/>
          <w:b/>
          <w:lang w:eastAsia="es-ES"/>
        </w:rPr>
      </w:pPr>
      <w:r w:rsidRPr="001E7D0F">
        <w:rPr>
          <w:rFonts w:eastAsia="Times New Roman"/>
          <w:b/>
          <w:lang w:val="fr-CA" w:eastAsia="es-ES"/>
        </w:rPr>
        <w:t xml:space="preserve"> (SEPT 2007)</w:t>
      </w:r>
    </w:p>
    <w:p w14:paraId="25A9FDD9" w14:textId="77777777" w:rsidR="00F34AA9" w:rsidRPr="001E7D0F" w:rsidRDefault="00F34AA9" w:rsidP="00F34AA9">
      <w:pPr>
        <w:tabs>
          <w:tab w:val="left" w:pos="-720"/>
        </w:tabs>
        <w:suppressAutoHyphens/>
        <w:spacing w:after="0"/>
      </w:pPr>
    </w:p>
    <w:p w14:paraId="057C46DA" w14:textId="77777777" w:rsidR="00F34AA9" w:rsidRPr="001E7D0F" w:rsidRDefault="00F34AA9" w:rsidP="006C3B8F">
      <w:pPr>
        <w:numPr>
          <w:ilvl w:val="0"/>
          <w:numId w:val="19"/>
        </w:numPr>
        <w:tabs>
          <w:tab w:val="left" w:pos="-720"/>
        </w:tabs>
        <w:suppressAutoHyphens/>
        <w:spacing w:after="0"/>
        <w:contextualSpacing/>
      </w:pPr>
      <w:r w:rsidRPr="001E7D0F">
        <w:rPr>
          <w:lang w:val="fr-CA"/>
        </w:rPr>
        <w:t>Définitions. Comme utilisé dans cette disposition-" le contact de lobbying " s'entend au sens prévu dans 2 U.S.C. 1602(8). Les termes "agence", "influencer ou tentative d'influence ", "agent ou employé d'une agence", "personne", "une compensation raisonnable," et "employé régulier" sont définis dans le présent article intitulé "Limitation sur les paiements pour d'influencer sur certaines transactions fédérales" (52.203-12).).</w:t>
      </w:r>
    </w:p>
    <w:p w14:paraId="0BB6C495" w14:textId="77777777" w:rsidR="00F34AA9" w:rsidRPr="001E7D0F" w:rsidRDefault="00F34AA9" w:rsidP="00F34AA9">
      <w:pPr>
        <w:tabs>
          <w:tab w:val="left" w:pos="-720"/>
        </w:tabs>
        <w:suppressAutoHyphens/>
        <w:spacing w:after="0"/>
        <w:ind w:left="360"/>
        <w:contextualSpacing/>
      </w:pPr>
    </w:p>
    <w:p w14:paraId="7DA0421F" w14:textId="77777777" w:rsidR="00F34AA9" w:rsidRPr="001E7D0F" w:rsidRDefault="00F34AA9" w:rsidP="006C3B8F">
      <w:pPr>
        <w:numPr>
          <w:ilvl w:val="0"/>
          <w:numId w:val="19"/>
        </w:numPr>
        <w:tabs>
          <w:tab w:val="left" w:pos="-720"/>
        </w:tabs>
        <w:suppressAutoHyphens/>
        <w:spacing w:after="0"/>
        <w:contextualSpacing/>
      </w:pPr>
      <w:r w:rsidRPr="001E7D0F">
        <w:rPr>
          <w:lang w:val="fr-CA"/>
        </w:rPr>
        <w:t>Interdiction. L'interdiction et les exceptions contenues dans la clause FAR de cette sollicitation intitulée</w:t>
      </w:r>
      <w:proofErr w:type="gramStart"/>
      <w:r w:rsidRPr="001E7D0F">
        <w:rPr>
          <w:lang w:val="fr-CA"/>
        </w:rPr>
        <w:t xml:space="preserve"> «Limitation</w:t>
      </w:r>
      <w:proofErr w:type="gramEnd"/>
      <w:r w:rsidRPr="001E7D0F">
        <w:rPr>
          <w:lang w:val="fr-CA"/>
        </w:rPr>
        <w:t xml:space="preserve"> des paiements pour influer sur certaines transactions fédérales» (52.203-12) sont incorporées par renvoi dans cette disposition.</w:t>
      </w:r>
    </w:p>
    <w:p w14:paraId="08158FBC" w14:textId="77777777" w:rsidR="00F34AA9" w:rsidRPr="001E7D0F" w:rsidRDefault="00F34AA9" w:rsidP="00F34AA9">
      <w:pPr>
        <w:tabs>
          <w:tab w:val="left" w:pos="-720"/>
        </w:tabs>
        <w:suppressAutoHyphens/>
        <w:spacing w:after="0"/>
        <w:ind w:left="360"/>
        <w:contextualSpacing/>
      </w:pPr>
      <w:r w:rsidRPr="001E7D0F">
        <w:t xml:space="preserve"> </w:t>
      </w:r>
    </w:p>
    <w:p w14:paraId="3E37C523" w14:textId="77777777" w:rsidR="00F34AA9" w:rsidRPr="001E7D0F" w:rsidRDefault="00F34AA9" w:rsidP="006C3B8F">
      <w:pPr>
        <w:pStyle w:val="Paragraphedeliste"/>
        <w:numPr>
          <w:ilvl w:val="0"/>
          <w:numId w:val="19"/>
        </w:numPr>
        <w:tabs>
          <w:tab w:val="left" w:pos="-720"/>
        </w:tabs>
        <w:suppressAutoHyphens/>
        <w:spacing w:after="0"/>
      </w:pPr>
      <w:r w:rsidRPr="001E7D0F">
        <w:rPr>
          <w:lang w:val="fr-CA"/>
        </w:rPr>
        <w:t>La certification. Le soumissionnaire, par la signature de son offre, certifie, au meilleur de sa connaissance et de sa conviction qu'aucune affectation de fonds fédéraux a été payés ou ne sera accordé à une personne pour l'influencer ou de tenter d'influencer un fonctionnaire ou un employé d'une agence, d'un membre du Congrès, un agent ou un employé du Congrès, ou un employé d'un membre du Congrès en son nom dans le cadre de l'attribution de ce contrat.</w:t>
      </w:r>
    </w:p>
    <w:p w14:paraId="7C929F23" w14:textId="77777777" w:rsidR="00F34AA9" w:rsidRPr="001E7D0F" w:rsidRDefault="00F34AA9" w:rsidP="00F34AA9">
      <w:pPr>
        <w:tabs>
          <w:tab w:val="left" w:pos="-720"/>
        </w:tabs>
        <w:suppressAutoHyphens/>
        <w:spacing w:after="0"/>
        <w:ind w:left="360"/>
        <w:contextualSpacing/>
      </w:pPr>
    </w:p>
    <w:p w14:paraId="1FEFF03D" w14:textId="77777777" w:rsidR="00F34AA9" w:rsidRPr="001E7D0F" w:rsidRDefault="00F34AA9" w:rsidP="006C3B8F">
      <w:pPr>
        <w:numPr>
          <w:ilvl w:val="0"/>
          <w:numId w:val="19"/>
        </w:numPr>
        <w:tabs>
          <w:tab w:val="left" w:pos="-720"/>
        </w:tabs>
        <w:suppressAutoHyphens/>
        <w:spacing w:after="0"/>
        <w:contextualSpacing/>
      </w:pPr>
      <w:r w:rsidRPr="001E7D0F">
        <w:rPr>
          <w:lang w:val="fr-CA"/>
        </w:rPr>
        <w:t>La divulgation. Si des inscrits en vertu de la Loi sur la divulgation de lobbying de 1995 ont fait un contact de lobbying au nom de Le soumissionnaire à l'égard de ce contrat, Le soumissionnaire doit remplir et soumettre, avec son offre, le Formulaire Standard de OMB LLL, la divulgation des activités de lobbying pour fournir le nom des inscrits. Le soumissionnaire n’a pas besoin de faire régulièrement le rapport sur les cadres ou employés de Le soumissionnaire à qui les paiements de compensation raisonnable ont été effectués.</w:t>
      </w:r>
    </w:p>
    <w:p w14:paraId="52E004A3" w14:textId="77777777" w:rsidR="00F34AA9" w:rsidRPr="001E7D0F" w:rsidRDefault="00F34AA9" w:rsidP="00F34AA9">
      <w:pPr>
        <w:spacing w:after="0"/>
        <w:ind w:left="720"/>
        <w:contextualSpacing/>
      </w:pPr>
    </w:p>
    <w:p w14:paraId="771ECF0F" w14:textId="77777777" w:rsidR="00F34AA9" w:rsidRPr="001E7D0F" w:rsidRDefault="00F34AA9" w:rsidP="006C3B8F">
      <w:pPr>
        <w:numPr>
          <w:ilvl w:val="0"/>
          <w:numId w:val="19"/>
        </w:numPr>
        <w:tabs>
          <w:tab w:val="left" w:pos="-720"/>
        </w:tabs>
        <w:suppressAutoHyphens/>
        <w:spacing w:after="0"/>
        <w:contextualSpacing/>
      </w:pPr>
      <w:r w:rsidRPr="001E7D0F">
        <w:rPr>
          <w:lang w:val="fr-CA"/>
        </w:rPr>
        <w:t>Pénalité. Présentation de cette certification et la communication est une condition préalable à l'établissement ou à la conclusion de ce contrat imposé par 31 U.S.C. 1352.Toute personne qui effectue une dépense interdite en vertu de la présente disposition ou qui omet de produire ou modifier la divulgation doit être produite ou modifiée par la présente disposition, seront soumis à une amende civile d’au moins de 10 000 $, et d’au plus de 100 000 $, pour chaque défaillance.</w:t>
      </w:r>
    </w:p>
    <w:p w14:paraId="73FA573A" w14:textId="77777777" w:rsidR="00F34AA9" w:rsidRPr="001E7D0F" w:rsidRDefault="00F34AA9" w:rsidP="00F34AA9">
      <w:pPr>
        <w:spacing w:after="0"/>
      </w:pPr>
    </w:p>
    <w:p w14:paraId="65F131BF" w14:textId="77777777" w:rsidR="00F34AA9" w:rsidRPr="001E7D0F" w:rsidRDefault="00F34AA9" w:rsidP="006C3B8F">
      <w:pPr>
        <w:pStyle w:val="Paragraphedeliste"/>
        <w:numPr>
          <w:ilvl w:val="0"/>
          <w:numId w:val="27"/>
        </w:numPr>
        <w:suppressAutoHyphens/>
        <w:rPr>
          <w:rFonts w:eastAsia="Times New Roman"/>
          <w:b/>
          <w:bCs/>
          <w:lang w:eastAsia="es-ES"/>
        </w:rPr>
      </w:pPr>
      <w:r w:rsidRPr="001E7D0F">
        <w:rPr>
          <w:rFonts w:eastAsia="Times New Roman"/>
          <w:b/>
          <w:bCs/>
          <w:lang w:val="fr-CA" w:eastAsia="es-ES"/>
        </w:rPr>
        <w:lastRenderedPageBreak/>
        <w:t xml:space="preserve">RECONNAISSANCE DES EXIGENCES EN MATIÈRE D'ÉTHIQUE ET DE CONDUITE DES AFFAIRES </w:t>
      </w:r>
    </w:p>
    <w:p w14:paraId="710E58F5" w14:textId="77777777" w:rsidR="00F34AA9" w:rsidRPr="001E7D0F" w:rsidRDefault="00F34AA9" w:rsidP="00F34AA9">
      <w:pPr>
        <w:spacing w:after="0"/>
        <w:rPr>
          <w:rFonts w:eastAsia="Calibri"/>
        </w:rPr>
      </w:pPr>
      <w:r w:rsidRPr="001E7D0F">
        <w:rPr>
          <w:rFonts w:eastAsia="Calibri"/>
          <w:color w:val="FF0000"/>
          <w:lang w:val="fr-CA"/>
        </w:rPr>
        <w:t>Tetra Tech ARD</w:t>
      </w:r>
      <w:r w:rsidRPr="001E7D0F">
        <w:rPr>
          <w:rFonts w:eastAsia="Calibri"/>
          <w:lang w:val="fr-CA"/>
        </w:rPr>
        <w:t xml:space="preserve"> s'engage à faire preuve d'intégrité dans l'approvisionnement et la sous-traitance, et sélectionne uniquement les soumissionnaires sur la base de critères commerciaux objectifs tels que le prix et le mérite technique. </w:t>
      </w:r>
    </w:p>
    <w:p w14:paraId="4E779069" w14:textId="77777777" w:rsidR="00F34AA9" w:rsidRPr="001E7D0F" w:rsidRDefault="00F34AA9" w:rsidP="00F34AA9">
      <w:pPr>
        <w:spacing w:after="0"/>
        <w:rPr>
          <w:rFonts w:eastAsia="Calibri"/>
        </w:rPr>
      </w:pPr>
    </w:p>
    <w:p w14:paraId="5BEBEB14" w14:textId="77777777" w:rsidR="00F34AA9" w:rsidRPr="001E7D0F" w:rsidRDefault="00F34AA9" w:rsidP="00F34AA9">
      <w:pPr>
        <w:spacing w:after="0"/>
        <w:rPr>
          <w:rFonts w:eastAsia="Calibri"/>
        </w:rPr>
      </w:pPr>
      <w:r w:rsidRPr="001E7D0F">
        <w:rPr>
          <w:rFonts w:eastAsia="Calibri"/>
          <w:color w:val="FF0000"/>
          <w:lang w:val="fr-CA"/>
        </w:rPr>
        <w:t>Tetra Tech ARD</w:t>
      </w:r>
      <w:r w:rsidRPr="001E7D0F">
        <w:rPr>
          <w:rFonts w:eastAsia="Calibri"/>
          <w:lang w:val="fr-CA"/>
        </w:rPr>
        <w:t xml:space="preserve"> ne tolère pas la fraude, la collusion entre les soumissionnaires, les propositions/offres falsifiées, la corruption ou les pots-de-vin. Toute entreprise ou personne qui enfreint ces normes sera disqualifiée de ce marché, exclue des possibilités de marchés, et pourra être signalée à la fois à l'USAID et au Bureau de l'Inspecteur général des </w:t>
      </w:r>
      <w:r w:rsidRPr="001E7D0F">
        <w:rPr>
          <w:rFonts w:eastAsia="Calibri"/>
        </w:rPr>
        <w:t>Etats</w:t>
      </w:r>
      <w:r w:rsidRPr="001E7D0F">
        <w:rPr>
          <w:rFonts w:eastAsia="Calibri"/>
          <w:lang w:val="fr-CA"/>
        </w:rPr>
        <w:t>-Unis.</w:t>
      </w:r>
    </w:p>
    <w:p w14:paraId="04A63D6E" w14:textId="77777777" w:rsidR="00F34AA9" w:rsidRPr="001E7D0F" w:rsidRDefault="00F34AA9" w:rsidP="00F34AA9">
      <w:pPr>
        <w:spacing w:after="0"/>
        <w:rPr>
          <w:rFonts w:eastAsia="Calibri"/>
        </w:rPr>
      </w:pPr>
    </w:p>
    <w:p w14:paraId="788F4C4C" w14:textId="77777777" w:rsidR="00F34AA9" w:rsidRPr="001E7D0F" w:rsidRDefault="00F34AA9" w:rsidP="00F34AA9">
      <w:pPr>
        <w:spacing w:after="0"/>
        <w:rPr>
          <w:rFonts w:eastAsia="Calibri"/>
        </w:rPr>
      </w:pPr>
      <w:r w:rsidRPr="001E7D0F">
        <w:rPr>
          <w:rFonts w:eastAsia="Calibri"/>
          <w:lang w:val="fr-CA"/>
        </w:rPr>
        <w:t xml:space="preserve">Il est strictement interdit aux employés et aux agents de </w:t>
      </w:r>
      <w:r w:rsidRPr="001E7D0F">
        <w:rPr>
          <w:rFonts w:eastAsia="Calibri"/>
          <w:color w:val="FF0000"/>
          <w:lang w:val="fr-CA"/>
        </w:rPr>
        <w:t>Tetra Tech ARD</w:t>
      </w:r>
      <w:r w:rsidRPr="001E7D0F">
        <w:rPr>
          <w:rFonts w:eastAsia="Calibri"/>
          <w:lang w:val="fr-CA"/>
        </w:rPr>
        <w:t xml:space="preserve"> de demander ou d'accepter de l'argent, des frais, des commissions, des crédits, des cadeaux, des gratifications, des objets de valeur ou des compensations de la part des Soumissionnaire actuels ou potentiels en échange ou en récompense pour un service rendu. Les employés et les agents qui se livrent à ces pratiques pourront voir leurs contrats résiliés et seront signalés à l'USAID et au Bureau de l'Inspecteur général des E</w:t>
      </w:r>
      <w:r w:rsidRPr="001E7D0F">
        <w:rPr>
          <w:rFonts w:eastAsia="Calibri"/>
        </w:rPr>
        <w:t>tats</w:t>
      </w:r>
      <w:r w:rsidRPr="001E7D0F">
        <w:rPr>
          <w:rFonts w:eastAsia="Calibri"/>
          <w:lang w:val="fr-CA"/>
        </w:rPr>
        <w:t xml:space="preserve">-Unis. En outre, </w:t>
      </w:r>
      <w:r w:rsidRPr="001E7D0F">
        <w:rPr>
          <w:rFonts w:eastAsia="Calibri"/>
          <w:color w:val="FF0000"/>
          <w:lang w:val="fr-CA"/>
        </w:rPr>
        <w:t>Tetra Tech ARD</w:t>
      </w:r>
      <w:r w:rsidRPr="001E7D0F">
        <w:rPr>
          <w:rFonts w:eastAsia="Calibri"/>
          <w:lang w:val="fr-CA"/>
        </w:rPr>
        <w:t xml:space="preserve"> informera l'USAID et le Bureau de l'Inspecteur général de toute offre d'argent, de frais, de commission, de crédit, de cadeau, de gratification, d'objet de valeur ou de compensation par un fournisseur en contrepartie des prestations.</w:t>
      </w:r>
    </w:p>
    <w:p w14:paraId="2C6EE750" w14:textId="77777777" w:rsidR="00F34AA9" w:rsidRPr="001E7D0F" w:rsidRDefault="00F34AA9" w:rsidP="00F34AA9">
      <w:pPr>
        <w:spacing w:after="0"/>
        <w:rPr>
          <w:rFonts w:eastAsia="Calibri"/>
        </w:rPr>
      </w:pPr>
    </w:p>
    <w:p w14:paraId="35ACAA86" w14:textId="77777777" w:rsidR="00F34AA9" w:rsidRPr="001E7D0F" w:rsidRDefault="00F34AA9" w:rsidP="00F34AA9">
      <w:pPr>
        <w:spacing w:after="0"/>
        <w:rPr>
          <w:rFonts w:eastAsia="Calibri"/>
        </w:rPr>
      </w:pPr>
      <w:r w:rsidRPr="001E7D0F">
        <w:rPr>
          <w:rFonts w:eastAsia="Calibri"/>
          <w:lang w:val="fr-CA"/>
        </w:rPr>
        <w:t>Les soumissionnaires qui répondent à la présente DP attestent qu'en soumettant une proposition:</w:t>
      </w:r>
    </w:p>
    <w:p w14:paraId="3C16B4F1" w14:textId="77777777" w:rsidR="00F34AA9" w:rsidRPr="001E7D0F" w:rsidRDefault="00F34AA9" w:rsidP="006C3B8F">
      <w:pPr>
        <w:pStyle w:val="Paragraphedeliste"/>
        <w:numPr>
          <w:ilvl w:val="0"/>
          <w:numId w:val="34"/>
        </w:numPr>
        <w:spacing w:after="0"/>
        <w:rPr>
          <w:rFonts w:eastAsia="Calibri"/>
        </w:rPr>
      </w:pPr>
      <w:r w:rsidRPr="001E7D0F">
        <w:rPr>
          <w:rFonts w:eastAsia="Calibri"/>
          <w:lang w:val="fr-CA"/>
        </w:rPr>
        <w:t xml:space="preserve">Ils ont divulgué toute relation étroite, familiale ou financière avec </w:t>
      </w:r>
      <w:r w:rsidRPr="001E7D0F">
        <w:rPr>
          <w:rFonts w:eastAsia="Calibri"/>
          <w:color w:val="FF0000"/>
          <w:lang w:val="fr-CA"/>
        </w:rPr>
        <w:t>Tetra Tech ARD</w:t>
      </w:r>
      <w:r w:rsidRPr="001E7D0F">
        <w:rPr>
          <w:rFonts w:eastAsia="Calibri"/>
          <w:lang w:val="fr-CA"/>
        </w:rPr>
        <w:t xml:space="preserve"> ou le personnel du projet. Par exemple, si le cousin d'un Soumissionnaire est employé par le projet, le Soumissionnaire doit l'indiquer.</w:t>
      </w:r>
    </w:p>
    <w:p w14:paraId="4E28485C" w14:textId="0DD9D889" w:rsidR="00F34AA9" w:rsidRPr="001E7D0F" w:rsidRDefault="3F196611" w:rsidP="006C3B8F">
      <w:pPr>
        <w:pStyle w:val="Paragraphedeliste"/>
        <w:numPr>
          <w:ilvl w:val="0"/>
          <w:numId w:val="34"/>
        </w:numPr>
        <w:spacing w:after="0"/>
        <w:rPr>
          <w:rFonts w:eastAsia="Calibri"/>
        </w:rPr>
      </w:pPr>
      <w:r w:rsidRPr="3F196611">
        <w:rPr>
          <w:rFonts w:eastAsia="Calibri"/>
          <w:lang w:val="fr-CA"/>
        </w:rPr>
        <w:t xml:space="preserve">Ils ont divulgué toute relation familiale ou financière avec d'autres soumissionnaires qui soumettent des propositions. Par exemple, si le père du soumissionnaire possède une entreprise qui participe au même appel d'offre, le soumissionnaire doit l'indiquer. </w:t>
      </w:r>
    </w:p>
    <w:p w14:paraId="7A6CBDD8" w14:textId="77777777" w:rsidR="00F34AA9" w:rsidRPr="001E7D0F" w:rsidRDefault="00F34AA9" w:rsidP="006C3B8F">
      <w:pPr>
        <w:pStyle w:val="Paragraphedeliste"/>
        <w:numPr>
          <w:ilvl w:val="0"/>
          <w:numId w:val="34"/>
        </w:numPr>
        <w:spacing w:after="0"/>
        <w:rPr>
          <w:rFonts w:eastAsia="Calibri"/>
        </w:rPr>
      </w:pPr>
      <w:r w:rsidRPr="001E7D0F">
        <w:rPr>
          <w:rFonts w:eastAsia="Calibri"/>
          <w:lang w:val="fr-CA"/>
        </w:rPr>
        <w:t>Ils certifient que les prix de l'offre ont été fixés de manière indépendante, sans aucune consultation, communication ou accord avec tout autre soumissionnaire ou concurrent dans le but de restreindre la concurrence.</w:t>
      </w:r>
    </w:p>
    <w:p w14:paraId="38BC1229" w14:textId="77777777" w:rsidR="00F34AA9" w:rsidRPr="001E7D0F" w:rsidRDefault="00F34AA9" w:rsidP="006C3B8F">
      <w:pPr>
        <w:pStyle w:val="Paragraphedeliste"/>
        <w:numPr>
          <w:ilvl w:val="0"/>
          <w:numId w:val="34"/>
        </w:numPr>
        <w:spacing w:after="0"/>
        <w:rPr>
          <w:rFonts w:eastAsia="Calibri"/>
        </w:rPr>
      </w:pPr>
      <w:r w:rsidRPr="001E7D0F">
        <w:rPr>
          <w:rFonts w:eastAsia="Calibri"/>
          <w:lang w:val="fr-CA"/>
        </w:rPr>
        <w:t>Ils certifient que toutes les informations contenues dans la proposition et toutes les pièces justificatives sont authentiques et exactes.</w:t>
      </w:r>
    </w:p>
    <w:p w14:paraId="22119121" w14:textId="77777777" w:rsidR="00F34AA9" w:rsidRPr="001E7D0F" w:rsidRDefault="00F34AA9" w:rsidP="006C3B8F">
      <w:pPr>
        <w:pStyle w:val="Paragraphedeliste"/>
        <w:numPr>
          <w:ilvl w:val="0"/>
          <w:numId w:val="34"/>
        </w:numPr>
        <w:spacing w:after="0"/>
        <w:rPr>
          <w:rFonts w:eastAsia="Calibri"/>
        </w:rPr>
      </w:pPr>
      <w:r w:rsidRPr="001E7D0F">
        <w:rPr>
          <w:rFonts w:eastAsia="Calibri"/>
          <w:lang w:val="fr-CA"/>
        </w:rPr>
        <w:t xml:space="preserve">Ils certifient avoir compris et acceptent les interdictions de </w:t>
      </w:r>
      <w:r w:rsidRPr="001E7D0F">
        <w:rPr>
          <w:rFonts w:eastAsia="Calibri"/>
          <w:color w:val="FF0000"/>
          <w:lang w:val="fr-CA"/>
        </w:rPr>
        <w:t>Tetra Tech ARD</w:t>
      </w:r>
      <w:r w:rsidRPr="001E7D0F">
        <w:rPr>
          <w:rFonts w:eastAsia="Calibri"/>
          <w:lang w:val="fr-CA"/>
        </w:rPr>
        <w:t xml:space="preserve"> contre la fraude, la corruption et les pots-de-vin.</w:t>
      </w:r>
    </w:p>
    <w:p w14:paraId="16F9577D" w14:textId="77777777" w:rsidR="00F34AA9" w:rsidRPr="001E7D0F" w:rsidRDefault="00F34AA9" w:rsidP="00F34AA9">
      <w:pPr>
        <w:spacing w:after="0"/>
        <w:rPr>
          <w:rFonts w:eastAsia="Calibri"/>
        </w:rPr>
      </w:pPr>
    </w:p>
    <w:p w14:paraId="769E083C" w14:textId="262AED88" w:rsidR="00F34AA9" w:rsidRPr="001E7D0F" w:rsidRDefault="3F196611" w:rsidP="00F34AA9">
      <w:pPr>
        <w:spacing w:after="0"/>
        <w:rPr>
          <w:rFonts w:eastAsia="Calibri"/>
        </w:rPr>
      </w:pPr>
      <w:r w:rsidRPr="3F196611">
        <w:rPr>
          <w:rFonts w:eastAsia="Calibri"/>
          <w:lang w:val="fr-CA"/>
        </w:rPr>
        <w:t xml:space="preserve">Veuillez contacter </w:t>
      </w:r>
      <w:hyperlink r:id="rId17">
        <w:r w:rsidRPr="3F196611">
          <w:rPr>
            <w:rStyle w:val="Lienhypertexte"/>
            <w:rFonts w:eastAsia="Calibri"/>
            <w:lang w:val="fr-CA"/>
          </w:rPr>
          <w:t>ARD.Ethics@tetratech.com</w:t>
        </w:r>
      </w:hyperlink>
      <w:r w:rsidRPr="3F196611">
        <w:rPr>
          <w:rFonts w:eastAsia="Calibri"/>
          <w:lang w:val="fr-CA"/>
        </w:rPr>
        <w:t xml:space="preserve">, ou </w:t>
      </w:r>
      <w:hyperlink r:id="rId18">
        <w:r w:rsidRPr="3F196611">
          <w:rPr>
            <w:rStyle w:val="Lienhypertexte"/>
            <w:rFonts w:eastAsia="Calibri"/>
            <w:lang w:val="fr-CA"/>
          </w:rPr>
          <w:t>tetratech@ethicspoint.com</w:t>
        </w:r>
      </w:hyperlink>
      <w:r w:rsidRPr="3F196611">
        <w:rPr>
          <w:rFonts w:eastAsia="Calibri"/>
          <w:lang w:val="fr-CA"/>
        </w:rPr>
        <w:t xml:space="preserve">, pour toute question ou préoccupation concernant les informations ci-dessus ou pour signaler toute violation potentielle. </w:t>
      </w:r>
    </w:p>
    <w:p w14:paraId="27AEDDFC" w14:textId="77777777" w:rsidR="00F34AA9" w:rsidRPr="001E7D0F" w:rsidRDefault="00F34AA9" w:rsidP="00F34AA9">
      <w:pPr>
        <w:spacing w:after="0"/>
      </w:pPr>
    </w:p>
    <w:p w14:paraId="7A86CD82" w14:textId="77777777" w:rsidR="00F34AA9" w:rsidRPr="001E7D0F" w:rsidRDefault="00F34AA9" w:rsidP="00F34AA9">
      <w:pPr>
        <w:spacing w:after="0"/>
      </w:pPr>
    </w:p>
    <w:p w14:paraId="2086E093" w14:textId="77777777" w:rsidR="00F34AA9" w:rsidRPr="001E7D0F" w:rsidRDefault="00F34AA9" w:rsidP="00F34AA9">
      <w:pPr>
        <w:tabs>
          <w:tab w:val="left" w:pos="-720"/>
          <w:tab w:val="left" w:pos="0"/>
        </w:tabs>
        <w:suppressAutoHyphens/>
        <w:spacing w:after="0"/>
      </w:pPr>
      <w:r w:rsidRPr="001E7D0F">
        <w:rPr>
          <w:b/>
          <w:lang w:val="fr-CA"/>
        </w:rPr>
        <w:t>SIGNATURE</w:t>
      </w:r>
    </w:p>
    <w:p w14:paraId="7162340D" w14:textId="77777777" w:rsidR="00F34AA9" w:rsidRPr="001E7D0F" w:rsidRDefault="00F34AA9" w:rsidP="00F34AA9">
      <w:pPr>
        <w:tabs>
          <w:tab w:val="left" w:pos="-720"/>
        </w:tabs>
        <w:suppressAutoHyphens/>
        <w:spacing w:after="0"/>
      </w:pPr>
    </w:p>
    <w:p w14:paraId="5F73CFF4" w14:textId="77777777" w:rsidR="00F34AA9" w:rsidRPr="001E7D0F" w:rsidRDefault="00F34AA9" w:rsidP="00F34AA9">
      <w:pPr>
        <w:tabs>
          <w:tab w:val="left" w:pos="-720"/>
        </w:tabs>
        <w:suppressAutoHyphens/>
        <w:spacing w:after="0"/>
      </w:pPr>
      <w:r w:rsidRPr="001E7D0F">
        <w:rPr>
          <w:lang w:val="fr-CA"/>
        </w:rPr>
        <w:t>Par la signature ci-dessous, ou sur une offre intégrant ces représentations, certifications et autres déclarations d'offrants, l'entrepreneur certifie qu'elles sont exactes, actuelles et complètes, et que l'entrepreneur est au courant de la peine prescrite dans 18 USC. 1001 pour fausses déclarations dans les offres.</w:t>
      </w:r>
    </w:p>
    <w:p w14:paraId="78FDBFF2" w14:textId="77777777" w:rsidR="00F34AA9" w:rsidRPr="001E7D0F" w:rsidRDefault="00F34AA9" w:rsidP="00F34AA9">
      <w:pPr>
        <w:tabs>
          <w:tab w:val="left" w:pos="-720"/>
        </w:tabs>
        <w:suppressAutoHyphens/>
        <w:spacing w:after="0"/>
        <w:rPr>
          <w:b/>
        </w:rPr>
      </w:pPr>
    </w:p>
    <w:p w14:paraId="39B98DDE" w14:textId="77777777" w:rsidR="00F34AA9" w:rsidRPr="001E7D0F" w:rsidRDefault="00F34AA9" w:rsidP="00F34AA9">
      <w:pPr>
        <w:spacing w:after="0"/>
      </w:pPr>
      <w:r w:rsidRPr="001E7D0F">
        <w:rPr>
          <w:lang w:val="fr-CA"/>
        </w:rPr>
        <w:t>En signant ci-dessous, le sous-traitant fournit des certifications pour :</w:t>
      </w:r>
    </w:p>
    <w:p w14:paraId="1E84474E" w14:textId="77777777" w:rsidR="00F34AA9" w:rsidRPr="001E7D0F" w:rsidRDefault="00F34AA9" w:rsidP="00F34AA9">
      <w:pPr>
        <w:spacing w:after="0"/>
      </w:pPr>
    </w:p>
    <w:p w14:paraId="53B04404" w14:textId="77777777" w:rsidR="00F34AA9" w:rsidRPr="001E7D0F" w:rsidRDefault="00F34AA9" w:rsidP="006C3B8F">
      <w:pPr>
        <w:numPr>
          <w:ilvl w:val="0"/>
          <w:numId w:val="28"/>
        </w:numPr>
        <w:spacing w:after="0"/>
        <w:contextualSpacing/>
      </w:pPr>
      <w:r w:rsidRPr="001E7D0F">
        <w:rPr>
          <w:lang w:val="fr-CA"/>
        </w:rPr>
        <w:t xml:space="preserve">Certification </w:t>
      </w:r>
      <w:r w:rsidRPr="001E7D0F">
        <w:rPr>
          <w:color w:val="000000"/>
          <w:lang w:val="fr-CA"/>
        </w:rPr>
        <w:t xml:space="preserve">concernant les questions de responsabilité - </w:t>
      </w:r>
      <w:proofErr w:type="spellStart"/>
      <w:r w:rsidRPr="001E7D0F">
        <w:rPr>
          <w:color w:val="000000"/>
          <w:lang w:val="fr-CA"/>
        </w:rPr>
        <w:t>Aug</w:t>
      </w:r>
      <w:proofErr w:type="spellEnd"/>
      <w:r w:rsidRPr="001E7D0F">
        <w:rPr>
          <w:color w:val="000000"/>
          <w:lang w:val="fr-CA"/>
        </w:rPr>
        <w:t xml:space="preserve"> 2020. (Référence FAR 52.209-5),</w:t>
      </w:r>
    </w:p>
    <w:p w14:paraId="2C2E2EA3" w14:textId="77777777" w:rsidR="00F34AA9" w:rsidRPr="001E7D0F" w:rsidRDefault="00F34AA9" w:rsidP="006C3B8F">
      <w:pPr>
        <w:numPr>
          <w:ilvl w:val="0"/>
          <w:numId w:val="28"/>
        </w:numPr>
        <w:spacing w:after="0"/>
        <w:contextualSpacing/>
        <w:rPr>
          <w:lang w:val="en-US"/>
        </w:rPr>
      </w:pPr>
      <w:r w:rsidRPr="001E7D0F">
        <w:rPr>
          <w:color w:val="000000"/>
          <w:lang w:val="fr-CA"/>
        </w:rPr>
        <w:t>Interdiction de l'assistance aux trafiquants de drogue. (22 CFR Part 140),</w:t>
      </w:r>
    </w:p>
    <w:p w14:paraId="02BFED40" w14:textId="77777777" w:rsidR="00F34AA9" w:rsidRPr="001E7D0F" w:rsidRDefault="00F34AA9" w:rsidP="006C3B8F">
      <w:pPr>
        <w:numPr>
          <w:ilvl w:val="0"/>
          <w:numId w:val="28"/>
        </w:numPr>
        <w:spacing w:after="0"/>
        <w:contextualSpacing/>
      </w:pPr>
      <w:r w:rsidRPr="001E7D0F">
        <w:rPr>
          <w:lang w:val="fr-CA"/>
        </w:rPr>
        <w:t>Certification concernant le financement du terrorisme. (Mise en Œuvre de l'ordre exécutif 13224),</w:t>
      </w:r>
    </w:p>
    <w:p w14:paraId="17FD4F0C" w14:textId="77777777" w:rsidR="00F34AA9" w:rsidRPr="001E7D0F" w:rsidRDefault="00F34AA9" w:rsidP="006C3B8F">
      <w:pPr>
        <w:numPr>
          <w:ilvl w:val="0"/>
          <w:numId w:val="28"/>
        </w:numPr>
        <w:spacing w:after="0"/>
        <w:contextualSpacing/>
      </w:pPr>
      <w:r w:rsidRPr="001E7D0F">
        <w:rPr>
          <w:lang w:val="fr-CA"/>
        </w:rPr>
        <w:t>Procédures Anti-</w:t>
      </w:r>
      <w:proofErr w:type="spellStart"/>
      <w:r w:rsidRPr="001E7D0F">
        <w:rPr>
          <w:lang w:val="fr-CA"/>
        </w:rPr>
        <w:t>Kickback</w:t>
      </w:r>
      <w:proofErr w:type="spellEnd"/>
      <w:r w:rsidRPr="001E7D0F">
        <w:rPr>
          <w:lang w:val="fr-CA"/>
        </w:rPr>
        <w:t xml:space="preserve"> - June 2020. (Ici), et référence 52.203-7) et </w:t>
      </w:r>
    </w:p>
    <w:p w14:paraId="6BCE4BF0" w14:textId="77777777" w:rsidR="00F34AA9" w:rsidRPr="001E7D0F" w:rsidRDefault="00F34AA9" w:rsidP="006C3B8F">
      <w:pPr>
        <w:numPr>
          <w:ilvl w:val="0"/>
          <w:numId w:val="28"/>
        </w:numPr>
        <w:spacing w:after="0"/>
        <w:contextualSpacing/>
      </w:pPr>
      <w:r w:rsidRPr="001E7D0F">
        <w:rPr>
          <w:color w:val="000000"/>
          <w:lang w:val="fr-CA"/>
        </w:rPr>
        <w:t>Certification et divulgation concernant les paiements visant à influencer certaines transactions fédérales - SEP 2007 (référence FAR 52.203-11</w:t>
      </w:r>
    </w:p>
    <w:p w14:paraId="64441917" w14:textId="77777777" w:rsidR="00F34AA9" w:rsidRPr="001E7D0F" w:rsidRDefault="00F34AA9" w:rsidP="006C3B8F">
      <w:pPr>
        <w:pStyle w:val="Paragraphedeliste"/>
        <w:numPr>
          <w:ilvl w:val="0"/>
          <w:numId w:val="28"/>
        </w:numPr>
        <w:spacing w:after="0"/>
      </w:pPr>
      <w:r w:rsidRPr="001E7D0F">
        <w:rPr>
          <w:lang w:val="fr-CA"/>
        </w:rPr>
        <w:t>Reconnaissance des exigences en matière d'éthique et de conduite des affaires</w:t>
      </w:r>
    </w:p>
    <w:p w14:paraId="23837E92" w14:textId="77777777" w:rsidR="00F34AA9" w:rsidRPr="001E7D0F" w:rsidRDefault="00F34AA9" w:rsidP="00F34AA9">
      <w:pPr>
        <w:spacing w:after="0"/>
        <w:ind w:left="720"/>
        <w:contextualSpacing/>
      </w:pPr>
    </w:p>
    <w:p w14:paraId="069B5A25" w14:textId="77777777" w:rsidR="00F34AA9" w:rsidRPr="001E7D0F" w:rsidRDefault="00F34AA9" w:rsidP="00F34AA9">
      <w:pPr>
        <w:tabs>
          <w:tab w:val="left" w:pos="-720"/>
          <w:tab w:val="left" w:pos="0"/>
        </w:tabs>
        <w:suppressAutoHyphens/>
        <w:spacing w:after="0"/>
      </w:pPr>
    </w:p>
    <w:p w14:paraId="10DDEC46" w14:textId="77777777" w:rsidR="00F34AA9" w:rsidRPr="001E7D0F" w:rsidRDefault="00F34AA9" w:rsidP="00F34AA9">
      <w:pPr>
        <w:tabs>
          <w:tab w:val="left" w:pos="-720"/>
          <w:tab w:val="left" w:pos="0"/>
        </w:tabs>
        <w:suppressAutoHyphens/>
        <w:spacing w:after="0" w:line="360" w:lineRule="auto"/>
      </w:pPr>
      <w:r w:rsidRPr="001E7D0F">
        <w:rPr>
          <w:lang w:val="fr-CA"/>
        </w:rPr>
        <w:t xml:space="preserve">DP No et Titre de la DP: ______________________________________________________  </w:t>
      </w:r>
    </w:p>
    <w:p w14:paraId="2CBE0110" w14:textId="77777777" w:rsidR="00F34AA9" w:rsidRPr="001E7D0F" w:rsidRDefault="00F34AA9" w:rsidP="00F34AA9">
      <w:pPr>
        <w:tabs>
          <w:tab w:val="left" w:pos="-720"/>
          <w:tab w:val="left" w:pos="0"/>
        </w:tabs>
        <w:suppressAutoHyphens/>
        <w:spacing w:after="0" w:line="360" w:lineRule="auto"/>
      </w:pPr>
    </w:p>
    <w:p w14:paraId="103B8F2B" w14:textId="77777777" w:rsidR="00F34AA9" w:rsidRPr="001E7D0F" w:rsidRDefault="00F34AA9" w:rsidP="00F34AA9">
      <w:pPr>
        <w:tabs>
          <w:tab w:val="left" w:pos="-720"/>
          <w:tab w:val="left" w:pos="0"/>
        </w:tabs>
        <w:suppressAutoHyphens/>
        <w:spacing w:after="0" w:line="360" w:lineRule="auto"/>
      </w:pPr>
      <w:r w:rsidRPr="001E7D0F">
        <w:rPr>
          <w:lang w:val="fr-CA"/>
        </w:rPr>
        <w:t>Nom de l'Entreprise ou de l'Organisation: _________________________________________</w:t>
      </w:r>
    </w:p>
    <w:p w14:paraId="57F01B9E" w14:textId="77777777" w:rsidR="00F34AA9" w:rsidRPr="001E7D0F" w:rsidRDefault="00F34AA9" w:rsidP="00F34AA9">
      <w:pPr>
        <w:tabs>
          <w:tab w:val="left" w:pos="-720"/>
          <w:tab w:val="left" w:pos="0"/>
        </w:tabs>
        <w:suppressAutoHyphens/>
        <w:spacing w:after="0" w:line="360" w:lineRule="auto"/>
      </w:pPr>
    </w:p>
    <w:p w14:paraId="316062AD" w14:textId="77777777" w:rsidR="00F34AA9" w:rsidRPr="001E7D0F" w:rsidRDefault="00F34AA9" w:rsidP="00F34AA9">
      <w:pPr>
        <w:tabs>
          <w:tab w:val="left" w:pos="-720"/>
          <w:tab w:val="left" w:pos="0"/>
        </w:tabs>
        <w:suppressAutoHyphens/>
        <w:spacing w:after="0" w:line="360" w:lineRule="auto"/>
      </w:pPr>
      <w:r w:rsidRPr="001E7D0F">
        <w:rPr>
          <w:lang w:val="fr-CA"/>
        </w:rPr>
        <w:t>Nom et Titre: ____________________________________________________________</w:t>
      </w:r>
    </w:p>
    <w:p w14:paraId="59B65E5D" w14:textId="77777777" w:rsidR="00F34AA9" w:rsidRPr="001E7D0F" w:rsidRDefault="00F34AA9" w:rsidP="00F34AA9">
      <w:pPr>
        <w:tabs>
          <w:tab w:val="left" w:pos="-720"/>
          <w:tab w:val="left" w:pos="0"/>
        </w:tabs>
        <w:suppressAutoHyphens/>
        <w:spacing w:after="0" w:line="360" w:lineRule="auto"/>
      </w:pPr>
    </w:p>
    <w:p w14:paraId="444EF59E" w14:textId="77777777" w:rsidR="00F34AA9" w:rsidRPr="001E7D0F" w:rsidRDefault="00F34AA9" w:rsidP="00F34AA9">
      <w:pPr>
        <w:tabs>
          <w:tab w:val="left" w:pos="-720"/>
          <w:tab w:val="left" w:pos="0"/>
        </w:tabs>
        <w:suppressAutoHyphens/>
        <w:spacing w:after="0" w:line="360" w:lineRule="auto"/>
      </w:pPr>
      <w:r w:rsidRPr="001E7D0F">
        <w:rPr>
          <w:lang w:val="fr-CA"/>
        </w:rPr>
        <w:t xml:space="preserve">Signature: ____________________________ Date: ______________________ </w:t>
      </w:r>
    </w:p>
    <w:p w14:paraId="24319474" w14:textId="77777777" w:rsidR="00F34AA9" w:rsidRPr="001E7D0F" w:rsidRDefault="00F34AA9" w:rsidP="00F34AA9">
      <w:pPr>
        <w:spacing w:after="0"/>
        <w:rPr>
          <w:b/>
        </w:rPr>
      </w:pPr>
    </w:p>
    <w:p w14:paraId="1D18E8C1" w14:textId="77777777" w:rsidR="00F34AA9" w:rsidRPr="001E7D0F" w:rsidRDefault="00F34AA9" w:rsidP="00F34AA9">
      <w:pPr>
        <w:spacing w:after="0"/>
        <w:rPr>
          <w:b/>
        </w:rPr>
      </w:pPr>
    </w:p>
    <w:p w14:paraId="5FA5F9F2" w14:textId="77777777" w:rsidR="00F34AA9" w:rsidRPr="001E7D0F" w:rsidRDefault="00F34AA9" w:rsidP="00F34AA9">
      <w:pPr>
        <w:rPr>
          <w:b/>
        </w:rPr>
      </w:pPr>
      <w:r w:rsidRPr="001E7D0F">
        <w:rPr>
          <w:b/>
          <w:i/>
          <w:lang w:val="fr-CA"/>
        </w:rPr>
        <w:t xml:space="preserve">Toute l’Annexe D doit être signée par le soumissionner et inclure dans les documents de la proposition. </w:t>
      </w:r>
    </w:p>
    <w:p w14:paraId="239AE3DA" w14:textId="77777777" w:rsidR="00C924B6" w:rsidRPr="00B37EC3" w:rsidRDefault="00C924B6" w:rsidP="00B37EC3"/>
    <w:sectPr w:rsidR="00C924B6" w:rsidRPr="00B37EC3" w:rsidSect="00CF0751">
      <w:headerReference w:type="default" r:id="rId19"/>
      <w:footerReference w:type="default" r:id="rId20"/>
      <w:pgSz w:w="12240" w:h="15840"/>
      <w:pgMar w:top="993"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4AC0" w14:textId="77777777" w:rsidR="006C3B8F" w:rsidRDefault="006C3B8F" w:rsidP="008659B7">
      <w:pPr>
        <w:spacing w:after="0"/>
      </w:pPr>
      <w:r>
        <w:separator/>
      </w:r>
    </w:p>
  </w:endnote>
  <w:endnote w:type="continuationSeparator" w:id="0">
    <w:p w14:paraId="5089F04E" w14:textId="77777777" w:rsidR="006C3B8F" w:rsidRDefault="006C3B8F" w:rsidP="008659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Calibri">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6D7C112" w14:paraId="31B1E3B8" w14:textId="77777777" w:rsidTr="56D7C112">
      <w:trPr>
        <w:trHeight w:val="300"/>
      </w:trPr>
      <w:tc>
        <w:tcPr>
          <w:tcW w:w="3120" w:type="dxa"/>
        </w:tcPr>
        <w:p w14:paraId="25D156F1" w14:textId="20BD2F6A" w:rsidR="56D7C112" w:rsidRDefault="56D7C112" w:rsidP="56D7C112">
          <w:pPr>
            <w:pStyle w:val="En-tte"/>
            <w:ind w:left="-115"/>
          </w:pPr>
        </w:p>
      </w:tc>
      <w:tc>
        <w:tcPr>
          <w:tcW w:w="3120" w:type="dxa"/>
        </w:tcPr>
        <w:p w14:paraId="7A51DD36" w14:textId="451494FD" w:rsidR="56D7C112" w:rsidRDefault="56D7C112" w:rsidP="56D7C112">
          <w:pPr>
            <w:pStyle w:val="En-tte"/>
            <w:jc w:val="center"/>
          </w:pPr>
        </w:p>
      </w:tc>
      <w:tc>
        <w:tcPr>
          <w:tcW w:w="3120" w:type="dxa"/>
        </w:tcPr>
        <w:p w14:paraId="63FB1717" w14:textId="4B98070A" w:rsidR="56D7C112" w:rsidRDefault="56D7C112" w:rsidP="56D7C112">
          <w:pPr>
            <w:pStyle w:val="En-tte"/>
            <w:ind w:right="-115"/>
            <w:jc w:val="right"/>
          </w:pPr>
        </w:p>
      </w:tc>
    </w:tr>
  </w:tbl>
  <w:p w14:paraId="5C203EAC" w14:textId="037BA53E" w:rsidR="56D7C112" w:rsidRDefault="56D7C112" w:rsidP="56D7C1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123D" w14:textId="77777777" w:rsidR="006C3B8F" w:rsidRDefault="006C3B8F" w:rsidP="008659B7">
      <w:pPr>
        <w:spacing w:after="0"/>
      </w:pPr>
      <w:r>
        <w:separator/>
      </w:r>
    </w:p>
  </w:footnote>
  <w:footnote w:type="continuationSeparator" w:id="0">
    <w:p w14:paraId="55D39F3B" w14:textId="77777777" w:rsidR="006C3B8F" w:rsidRDefault="006C3B8F" w:rsidP="008659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E3E0" w14:textId="42AEDF36" w:rsidR="000314F8" w:rsidRPr="00C47246" w:rsidRDefault="000314F8">
    <w:pPr>
      <w:pStyle w:val="En-tte"/>
    </w:pPr>
    <w:r>
      <w:rPr>
        <w:noProof/>
      </w:rPr>
      <w:drawing>
        <wp:inline distT="0" distB="0" distL="0" distR="0" wp14:anchorId="365F2F10" wp14:editId="7454A153">
          <wp:extent cx="1347333" cy="780356"/>
          <wp:effectExtent l="0" t="0" r="0" b="0"/>
          <wp:docPr id="1268090280" name="Image 126809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7333" cy="780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D88"/>
    <w:multiLevelType w:val="hybridMultilevel"/>
    <w:tmpl w:val="9A3A4B9A"/>
    <w:lvl w:ilvl="0" w:tplc="C304EF94">
      <w:start w:val="1"/>
      <w:numFmt w:val="lowerRoman"/>
      <w:lvlText w:val="%1."/>
      <w:lvlJc w:val="right"/>
      <w:pPr>
        <w:ind w:left="1440" w:hanging="360"/>
      </w:pPr>
      <w:rPr>
        <w:b w:val="0"/>
        <w:bCs w:val="0"/>
      </w:rPr>
    </w:lvl>
    <w:lvl w:ilvl="1" w:tplc="A88A5028" w:tentative="1">
      <w:start w:val="1"/>
      <w:numFmt w:val="lowerLetter"/>
      <w:lvlText w:val="%2."/>
      <w:lvlJc w:val="left"/>
      <w:pPr>
        <w:ind w:left="2160" w:hanging="360"/>
      </w:pPr>
    </w:lvl>
    <w:lvl w:ilvl="2" w:tplc="620CFA20" w:tentative="1">
      <w:start w:val="1"/>
      <w:numFmt w:val="lowerRoman"/>
      <w:lvlText w:val="%3."/>
      <w:lvlJc w:val="right"/>
      <w:pPr>
        <w:ind w:left="2880" w:hanging="180"/>
      </w:pPr>
    </w:lvl>
    <w:lvl w:ilvl="3" w:tplc="477240DA" w:tentative="1">
      <w:start w:val="1"/>
      <w:numFmt w:val="decimal"/>
      <w:lvlText w:val="%4."/>
      <w:lvlJc w:val="left"/>
      <w:pPr>
        <w:ind w:left="3600" w:hanging="360"/>
      </w:pPr>
    </w:lvl>
    <w:lvl w:ilvl="4" w:tplc="3BA47A02" w:tentative="1">
      <w:start w:val="1"/>
      <w:numFmt w:val="lowerLetter"/>
      <w:lvlText w:val="%5."/>
      <w:lvlJc w:val="left"/>
      <w:pPr>
        <w:ind w:left="4320" w:hanging="360"/>
      </w:pPr>
    </w:lvl>
    <w:lvl w:ilvl="5" w:tplc="0B74B2F2" w:tentative="1">
      <w:start w:val="1"/>
      <w:numFmt w:val="lowerRoman"/>
      <w:lvlText w:val="%6."/>
      <w:lvlJc w:val="right"/>
      <w:pPr>
        <w:ind w:left="5040" w:hanging="180"/>
      </w:pPr>
    </w:lvl>
    <w:lvl w:ilvl="6" w:tplc="807C7D44" w:tentative="1">
      <w:start w:val="1"/>
      <w:numFmt w:val="decimal"/>
      <w:lvlText w:val="%7."/>
      <w:lvlJc w:val="left"/>
      <w:pPr>
        <w:ind w:left="5760" w:hanging="360"/>
      </w:pPr>
    </w:lvl>
    <w:lvl w:ilvl="7" w:tplc="07CC6D8C" w:tentative="1">
      <w:start w:val="1"/>
      <w:numFmt w:val="lowerLetter"/>
      <w:lvlText w:val="%8."/>
      <w:lvlJc w:val="left"/>
      <w:pPr>
        <w:ind w:left="6480" w:hanging="360"/>
      </w:pPr>
    </w:lvl>
    <w:lvl w:ilvl="8" w:tplc="FEA8FD4C" w:tentative="1">
      <w:start w:val="1"/>
      <w:numFmt w:val="lowerRoman"/>
      <w:lvlText w:val="%9."/>
      <w:lvlJc w:val="right"/>
      <w:pPr>
        <w:ind w:left="7200" w:hanging="180"/>
      </w:pPr>
    </w:lvl>
  </w:abstractNum>
  <w:abstractNum w:abstractNumId="1" w15:restartNumberingAfterBreak="0">
    <w:nsid w:val="0B91EC1F"/>
    <w:multiLevelType w:val="hybridMultilevel"/>
    <w:tmpl w:val="0600AC42"/>
    <w:lvl w:ilvl="0" w:tplc="0DE6A9C0">
      <w:start w:val="1"/>
      <w:numFmt w:val="upperLetter"/>
      <w:lvlText w:val="%1."/>
      <w:lvlJc w:val="left"/>
      <w:pPr>
        <w:ind w:left="720" w:hanging="360"/>
      </w:pPr>
      <w:rPr>
        <w:rFonts w:ascii="Arial" w:hAnsi="Arial" w:hint="default"/>
      </w:rPr>
    </w:lvl>
    <w:lvl w:ilvl="1" w:tplc="D24057B8">
      <w:start w:val="1"/>
      <w:numFmt w:val="lowerLetter"/>
      <w:lvlText w:val="%2."/>
      <w:lvlJc w:val="left"/>
      <w:pPr>
        <w:ind w:left="1440" w:hanging="360"/>
      </w:pPr>
    </w:lvl>
    <w:lvl w:ilvl="2" w:tplc="B7C6D9D0">
      <w:start w:val="1"/>
      <w:numFmt w:val="lowerRoman"/>
      <w:lvlText w:val="%3."/>
      <w:lvlJc w:val="right"/>
      <w:pPr>
        <w:ind w:left="2160" w:hanging="180"/>
      </w:pPr>
    </w:lvl>
    <w:lvl w:ilvl="3" w:tplc="A03A41EE">
      <w:start w:val="1"/>
      <w:numFmt w:val="decimal"/>
      <w:lvlText w:val="%4."/>
      <w:lvlJc w:val="left"/>
      <w:pPr>
        <w:ind w:left="2880" w:hanging="360"/>
      </w:pPr>
    </w:lvl>
    <w:lvl w:ilvl="4" w:tplc="C2085EA8">
      <w:start w:val="1"/>
      <w:numFmt w:val="lowerLetter"/>
      <w:lvlText w:val="%5."/>
      <w:lvlJc w:val="left"/>
      <w:pPr>
        <w:ind w:left="3600" w:hanging="360"/>
      </w:pPr>
    </w:lvl>
    <w:lvl w:ilvl="5" w:tplc="B5E210E8">
      <w:start w:val="1"/>
      <w:numFmt w:val="lowerRoman"/>
      <w:lvlText w:val="%6."/>
      <w:lvlJc w:val="right"/>
      <w:pPr>
        <w:ind w:left="4320" w:hanging="180"/>
      </w:pPr>
    </w:lvl>
    <w:lvl w:ilvl="6" w:tplc="0EF05794">
      <w:start w:val="1"/>
      <w:numFmt w:val="decimal"/>
      <w:lvlText w:val="%7."/>
      <w:lvlJc w:val="left"/>
      <w:pPr>
        <w:ind w:left="5040" w:hanging="360"/>
      </w:pPr>
    </w:lvl>
    <w:lvl w:ilvl="7" w:tplc="1F48679A">
      <w:start w:val="1"/>
      <w:numFmt w:val="lowerLetter"/>
      <w:lvlText w:val="%8."/>
      <w:lvlJc w:val="left"/>
      <w:pPr>
        <w:ind w:left="5760" w:hanging="360"/>
      </w:pPr>
    </w:lvl>
    <w:lvl w:ilvl="8" w:tplc="1624DA44">
      <w:start w:val="1"/>
      <w:numFmt w:val="lowerRoman"/>
      <w:lvlText w:val="%9."/>
      <w:lvlJc w:val="right"/>
      <w:pPr>
        <w:ind w:left="6480" w:hanging="180"/>
      </w:pPr>
    </w:lvl>
  </w:abstractNum>
  <w:abstractNum w:abstractNumId="2" w15:restartNumberingAfterBreak="0">
    <w:nsid w:val="0D5D56E3"/>
    <w:multiLevelType w:val="hybridMultilevel"/>
    <w:tmpl w:val="1A1AD4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123F2ED5"/>
    <w:multiLevelType w:val="hybridMultilevel"/>
    <w:tmpl w:val="4EA47F28"/>
    <w:lvl w:ilvl="0" w:tplc="3710DCC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128E77D9"/>
    <w:multiLevelType w:val="hybridMultilevel"/>
    <w:tmpl w:val="74EC2634"/>
    <w:lvl w:ilvl="0" w:tplc="F954AFD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209106F2"/>
    <w:multiLevelType w:val="hybridMultilevel"/>
    <w:tmpl w:val="11D2E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211CC5"/>
    <w:multiLevelType w:val="hybridMultilevel"/>
    <w:tmpl w:val="40300632"/>
    <w:lvl w:ilvl="0" w:tplc="E50A34B0">
      <w:start w:val="3"/>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43F497D"/>
    <w:multiLevelType w:val="hybridMultilevel"/>
    <w:tmpl w:val="48BE333A"/>
    <w:lvl w:ilvl="0" w:tplc="EE0A81F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15:restartNumberingAfterBreak="0">
    <w:nsid w:val="24AD2DA0"/>
    <w:multiLevelType w:val="hybridMultilevel"/>
    <w:tmpl w:val="44644242"/>
    <w:lvl w:ilvl="0" w:tplc="19926D1C">
      <w:start w:val="1"/>
      <w:numFmt w:val="bullet"/>
      <w:lvlText w:val=""/>
      <w:lvlJc w:val="left"/>
      <w:pPr>
        <w:ind w:left="720" w:hanging="360"/>
      </w:pPr>
      <w:rPr>
        <w:rFonts w:ascii="Symbol" w:hAnsi="Symbol"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C4C2D"/>
    <w:multiLevelType w:val="hybridMultilevel"/>
    <w:tmpl w:val="397E28B4"/>
    <w:lvl w:ilvl="0" w:tplc="E952A640">
      <w:start w:val="1"/>
      <w:numFmt w:val="lowerRoman"/>
      <w:lvlText w:val="%1."/>
      <w:lvlJc w:val="right"/>
      <w:pPr>
        <w:ind w:left="720" w:hanging="360"/>
      </w:pPr>
    </w:lvl>
    <w:lvl w:ilvl="1" w:tplc="5F98C710" w:tentative="1">
      <w:start w:val="1"/>
      <w:numFmt w:val="lowerLetter"/>
      <w:lvlText w:val="%2."/>
      <w:lvlJc w:val="left"/>
      <w:pPr>
        <w:ind w:left="1440" w:hanging="360"/>
      </w:pPr>
    </w:lvl>
    <w:lvl w:ilvl="2" w:tplc="56544B5C" w:tentative="1">
      <w:start w:val="1"/>
      <w:numFmt w:val="lowerRoman"/>
      <w:lvlText w:val="%3."/>
      <w:lvlJc w:val="right"/>
      <w:pPr>
        <w:ind w:left="2160" w:hanging="180"/>
      </w:pPr>
    </w:lvl>
    <w:lvl w:ilvl="3" w:tplc="63E6E3DA" w:tentative="1">
      <w:start w:val="1"/>
      <w:numFmt w:val="decimal"/>
      <w:lvlText w:val="%4."/>
      <w:lvlJc w:val="left"/>
      <w:pPr>
        <w:ind w:left="2880" w:hanging="360"/>
      </w:pPr>
    </w:lvl>
    <w:lvl w:ilvl="4" w:tplc="CDA26ABA" w:tentative="1">
      <w:start w:val="1"/>
      <w:numFmt w:val="lowerLetter"/>
      <w:lvlText w:val="%5."/>
      <w:lvlJc w:val="left"/>
      <w:pPr>
        <w:ind w:left="3600" w:hanging="360"/>
      </w:pPr>
    </w:lvl>
    <w:lvl w:ilvl="5" w:tplc="BEFE9B1A" w:tentative="1">
      <w:start w:val="1"/>
      <w:numFmt w:val="lowerRoman"/>
      <w:lvlText w:val="%6."/>
      <w:lvlJc w:val="right"/>
      <w:pPr>
        <w:ind w:left="4320" w:hanging="180"/>
      </w:pPr>
    </w:lvl>
    <w:lvl w:ilvl="6" w:tplc="CCEC0002" w:tentative="1">
      <w:start w:val="1"/>
      <w:numFmt w:val="decimal"/>
      <w:lvlText w:val="%7."/>
      <w:lvlJc w:val="left"/>
      <w:pPr>
        <w:ind w:left="5040" w:hanging="360"/>
      </w:pPr>
    </w:lvl>
    <w:lvl w:ilvl="7" w:tplc="9244D87C" w:tentative="1">
      <w:start w:val="1"/>
      <w:numFmt w:val="lowerLetter"/>
      <w:lvlText w:val="%8."/>
      <w:lvlJc w:val="left"/>
      <w:pPr>
        <w:ind w:left="5760" w:hanging="360"/>
      </w:pPr>
    </w:lvl>
    <w:lvl w:ilvl="8" w:tplc="BD062486" w:tentative="1">
      <w:start w:val="1"/>
      <w:numFmt w:val="lowerRoman"/>
      <w:lvlText w:val="%9."/>
      <w:lvlJc w:val="right"/>
      <w:pPr>
        <w:ind w:left="6480" w:hanging="180"/>
      </w:pPr>
    </w:lvl>
  </w:abstractNum>
  <w:abstractNum w:abstractNumId="10" w15:restartNumberingAfterBreak="0">
    <w:nsid w:val="2D9441C8"/>
    <w:multiLevelType w:val="hybridMultilevel"/>
    <w:tmpl w:val="BEBCD728"/>
    <w:lvl w:ilvl="0" w:tplc="19926D1C">
      <w:start w:val="1"/>
      <w:numFmt w:val="bullet"/>
      <w:lvlText w:val=""/>
      <w:lvlJc w:val="left"/>
      <w:pPr>
        <w:ind w:left="990" w:hanging="360"/>
      </w:pPr>
      <w:rPr>
        <w:rFonts w:ascii="Symbol" w:hAnsi="Symbol" w:hint="default"/>
        <w:vertAlign w:val="superscrip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EB09CF5"/>
    <w:multiLevelType w:val="multilevel"/>
    <w:tmpl w:val="95FEA822"/>
    <w:lvl w:ilvl="0">
      <w:start w:val="1"/>
      <w:numFmt w:val="decimal"/>
      <w:lvlText w:val="%1."/>
      <w:lvlJc w:val="left"/>
      <w:pPr>
        <w:ind w:left="720" w:hanging="360"/>
      </w:pPr>
      <w:rPr>
        <w:rFonts w:ascii="Arial,Calibri" w:hAnsi="Arial,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014649"/>
    <w:multiLevelType w:val="hybridMultilevel"/>
    <w:tmpl w:val="525E4666"/>
    <w:lvl w:ilvl="0" w:tplc="CC4AE5CE">
      <w:start w:val="1"/>
      <w:numFmt w:val="upperLetter"/>
      <w:lvlText w:val="%1."/>
      <w:lvlJc w:val="left"/>
      <w:pPr>
        <w:ind w:left="720" w:hanging="360"/>
      </w:pPr>
    </w:lvl>
    <w:lvl w:ilvl="1" w:tplc="D014442E">
      <w:start w:val="1"/>
      <w:numFmt w:val="upperLetter"/>
      <w:lvlText w:val="%2."/>
      <w:lvlJc w:val="left"/>
      <w:pPr>
        <w:ind w:left="1080" w:hanging="360"/>
      </w:pPr>
      <w:rPr>
        <w:rFonts w:ascii="Arial" w:eastAsia="Times New Roman" w:hAnsi="Arial" w:cs="Arial"/>
        <w:b/>
        <w:bCs/>
      </w:rPr>
    </w:lvl>
    <w:lvl w:ilvl="2" w:tplc="2BBA0E2C">
      <w:start w:val="1"/>
      <w:numFmt w:val="lowerRoman"/>
      <w:lvlText w:val="%3."/>
      <w:lvlJc w:val="right"/>
      <w:pPr>
        <w:ind w:left="2160" w:hanging="180"/>
      </w:pPr>
    </w:lvl>
    <w:lvl w:ilvl="3" w:tplc="2DE63C5C">
      <w:start w:val="1"/>
      <w:numFmt w:val="decimal"/>
      <w:lvlText w:val="%4."/>
      <w:lvlJc w:val="left"/>
      <w:pPr>
        <w:ind w:left="2880" w:hanging="360"/>
      </w:pPr>
    </w:lvl>
    <w:lvl w:ilvl="4" w:tplc="F7B46752">
      <w:start w:val="1"/>
      <w:numFmt w:val="lowerLetter"/>
      <w:lvlText w:val="%5."/>
      <w:lvlJc w:val="left"/>
      <w:pPr>
        <w:ind w:left="3600" w:hanging="360"/>
      </w:pPr>
    </w:lvl>
    <w:lvl w:ilvl="5" w:tplc="0B9809B2">
      <w:start w:val="1"/>
      <w:numFmt w:val="lowerRoman"/>
      <w:lvlText w:val="%6."/>
      <w:lvlJc w:val="right"/>
      <w:pPr>
        <w:ind w:left="4320" w:hanging="180"/>
      </w:pPr>
    </w:lvl>
    <w:lvl w:ilvl="6" w:tplc="2B420632">
      <w:start w:val="1"/>
      <w:numFmt w:val="decimal"/>
      <w:lvlText w:val="%7."/>
      <w:lvlJc w:val="left"/>
      <w:pPr>
        <w:ind w:left="5040" w:hanging="360"/>
      </w:pPr>
    </w:lvl>
    <w:lvl w:ilvl="7" w:tplc="24182C40">
      <w:start w:val="1"/>
      <w:numFmt w:val="lowerLetter"/>
      <w:lvlText w:val="%8."/>
      <w:lvlJc w:val="left"/>
      <w:pPr>
        <w:ind w:left="5760" w:hanging="360"/>
      </w:pPr>
    </w:lvl>
    <w:lvl w:ilvl="8" w:tplc="141CC0AC">
      <w:start w:val="1"/>
      <w:numFmt w:val="lowerRoman"/>
      <w:lvlText w:val="%9."/>
      <w:lvlJc w:val="right"/>
      <w:pPr>
        <w:ind w:left="6480" w:hanging="180"/>
      </w:pPr>
    </w:lvl>
  </w:abstractNum>
  <w:abstractNum w:abstractNumId="13" w15:restartNumberingAfterBreak="0">
    <w:nsid w:val="34B5393C"/>
    <w:multiLevelType w:val="hybridMultilevel"/>
    <w:tmpl w:val="3FB43AAE"/>
    <w:lvl w:ilvl="0" w:tplc="9566D078">
      <w:start w:val="1"/>
      <w:numFmt w:val="lowerRoman"/>
      <w:lvlText w:val="%1."/>
      <w:lvlJc w:val="right"/>
      <w:pPr>
        <w:ind w:left="1440" w:hanging="360"/>
      </w:pPr>
      <w:rPr>
        <w:rFonts w:hint="default"/>
      </w:rPr>
    </w:lvl>
    <w:lvl w:ilvl="1" w:tplc="45CE6FA6" w:tentative="1">
      <w:start w:val="1"/>
      <w:numFmt w:val="lowerLetter"/>
      <w:lvlText w:val="%2."/>
      <w:lvlJc w:val="left"/>
      <w:pPr>
        <w:ind w:left="2160" w:hanging="360"/>
      </w:pPr>
    </w:lvl>
    <w:lvl w:ilvl="2" w:tplc="D2CC66B0" w:tentative="1">
      <w:start w:val="1"/>
      <w:numFmt w:val="lowerRoman"/>
      <w:lvlText w:val="%3."/>
      <w:lvlJc w:val="right"/>
      <w:pPr>
        <w:ind w:left="2880" w:hanging="180"/>
      </w:pPr>
    </w:lvl>
    <w:lvl w:ilvl="3" w:tplc="E04EB544" w:tentative="1">
      <w:start w:val="1"/>
      <w:numFmt w:val="decimal"/>
      <w:lvlText w:val="%4."/>
      <w:lvlJc w:val="left"/>
      <w:pPr>
        <w:ind w:left="3600" w:hanging="360"/>
      </w:pPr>
    </w:lvl>
    <w:lvl w:ilvl="4" w:tplc="8AE645C6" w:tentative="1">
      <w:start w:val="1"/>
      <w:numFmt w:val="lowerLetter"/>
      <w:lvlText w:val="%5."/>
      <w:lvlJc w:val="left"/>
      <w:pPr>
        <w:ind w:left="4320" w:hanging="360"/>
      </w:pPr>
    </w:lvl>
    <w:lvl w:ilvl="5" w:tplc="141CB95A" w:tentative="1">
      <w:start w:val="1"/>
      <w:numFmt w:val="lowerRoman"/>
      <w:lvlText w:val="%6."/>
      <w:lvlJc w:val="right"/>
      <w:pPr>
        <w:ind w:left="5040" w:hanging="180"/>
      </w:pPr>
    </w:lvl>
    <w:lvl w:ilvl="6" w:tplc="443295C4" w:tentative="1">
      <w:start w:val="1"/>
      <w:numFmt w:val="decimal"/>
      <w:lvlText w:val="%7."/>
      <w:lvlJc w:val="left"/>
      <w:pPr>
        <w:ind w:left="5760" w:hanging="360"/>
      </w:pPr>
    </w:lvl>
    <w:lvl w:ilvl="7" w:tplc="EF46E726" w:tentative="1">
      <w:start w:val="1"/>
      <w:numFmt w:val="lowerLetter"/>
      <w:lvlText w:val="%8."/>
      <w:lvlJc w:val="left"/>
      <w:pPr>
        <w:ind w:left="6480" w:hanging="360"/>
      </w:pPr>
    </w:lvl>
    <w:lvl w:ilvl="8" w:tplc="57BC52FC" w:tentative="1">
      <w:start w:val="1"/>
      <w:numFmt w:val="lowerRoman"/>
      <w:lvlText w:val="%9."/>
      <w:lvlJc w:val="right"/>
      <w:pPr>
        <w:ind w:left="7200" w:hanging="180"/>
      </w:pPr>
    </w:lvl>
  </w:abstractNum>
  <w:abstractNum w:abstractNumId="14" w15:restartNumberingAfterBreak="0">
    <w:nsid w:val="3B6F59A9"/>
    <w:multiLevelType w:val="hybridMultilevel"/>
    <w:tmpl w:val="FCDE5CAE"/>
    <w:lvl w:ilvl="0" w:tplc="6FC8B03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07D12"/>
    <w:multiLevelType w:val="hybridMultilevel"/>
    <w:tmpl w:val="8F229954"/>
    <w:lvl w:ilvl="0" w:tplc="85CED62A">
      <w:start w:val="2"/>
      <w:numFmt w:val="decimal"/>
      <w:lvlText w:val="(%1)"/>
      <w:lvlJc w:val="left"/>
      <w:pPr>
        <w:ind w:left="1080" w:hanging="360"/>
      </w:pPr>
      <w:rPr>
        <w:rFonts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C1D60"/>
    <w:multiLevelType w:val="hybridMultilevel"/>
    <w:tmpl w:val="96362BEE"/>
    <w:lvl w:ilvl="0" w:tplc="06727FF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E247CAE"/>
    <w:multiLevelType w:val="hybridMultilevel"/>
    <w:tmpl w:val="1FDEC84E"/>
    <w:lvl w:ilvl="0" w:tplc="9A6A66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867836"/>
    <w:multiLevelType w:val="hybridMultilevel"/>
    <w:tmpl w:val="51D8499C"/>
    <w:lvl w:ilvl="0" w:tplc="22B833D8">
      <w:start w:val="1"/>
      <w:numFmt w:val="lowerRoman"/>
      <w:lvlText w:val="(%1)"/>
      <w:lvlJc w:val="left"/>
      <w:pPr>
        <w:ind w:left="3272"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8C5ED1"/>
    <w:multiLevelType w:val="hybridMultilevel"/>
    <w:tmpl w:val="700259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461469E"/>
    <w:multiLevelType w:val="hybridMultilevel"/>
    <w:tmpl w:val="6F6292F4"/>
    <w:lvl w:ilvl="0" w:tplc="4CD2A06A">
      <w:start w:val="1"/>
      <w:numFmt w:val="lowerLetter"/>
      <w:lvlText w:val="(%1)"/>
      <w:lvlJc w:val="left"/>
      <w:pPr>
        <w:ind w:left="525" w:hanging="52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7235F5"/>
    <w:multiLevelType w:val="hybridMultilevel"/>
    <w:tmpl w:val="329E2BF0"/>
    <w:lvl w:ilvl="0" w:tplc="DF08BF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6066418"/>
    <w:multiLevelType w:val="hybridMultilevel"/>
    <w:tmpl w:val="0E009866"/>
    <w:lvl w:ilvl="0" w:tplc="C83C35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4A7B82"/>
    <w:multiLevelType w:val="hybridMultilevel"/>
    <w:tmpl w:val="DC2E4C46"/>
    <w:lvl w:ilvl="0" w:tplc="1F1260C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E620F"/>
    <w:multiLevelType w:val="hybridMultilevel"/>
    <w:tmpl w:val="0FBAADF2"/>
    <w:lvl w:ilvl="0" w:tplc="B78289BA">
      <w:start w:val="1"/>
      <w:numFmt w:val="lowerRoman"/>
      <w:lvlText w:val="(%1)"/>
      <w:lvlJc w:val="left"/>
      <w:pPr>
        <w:ind w:left="1440" w:hanging="720"/>
      </w:pPr>
      <w:rPr>
        <w:rFonts w:hint="default"/>
      </w:rPr>
    </w:lvl>
    <w:lvl w:ilvl="1" w:tplc="6382F02A">
      <w:start w:val="1"/>
      <w:numFmt w:val="decimal"/>
      <w:lvlText w:val="(%2)"/>
      <w:lvlJc w:val="left"/>
      <w:pPr>
        <w:ind w:left="1080" w:hanging="360"/>
      </w:pPr>
      <w:rPr>
        <w:rFonts w:ascii="Arial" w:eastAsiaTheme="minorHAnsi" w:hAnsi="Arial" w:cs="Arial"/>
      </w:rPr>
    </w:lvl>
    <w:lvl w:ilvl="2" w:tplc="C59CA922">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6E936"/>
    <w:multiLevelType w:val="multilevel"/>
    <w:tmpl w:val="3F5E593E"/>
    <w:lvl w:ilvl="0">
      <w:start w:val="2"/>
      <w:numFmt w:val="decimal"/>
      <w:lvlText w:val="%1.0"/>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745690"/>
    <w:multiLevelType w:val="hybridMultilevel"/>
    <w:tmpl w:val="8326EE02"/>
    <w:lvl w:ilvl="0" w:tplc="EE946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7F749C"/>
    <w:multiLevelType w:val="hybridMultilevel"/>
    <w:tmpl w:val="DD22E102"/>
    <w:lvl w:ilvl="0" w:tplc="1556D960">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28" w15:restartNumberingAfterBreak="0">
    <w:nsid w:val="74A82E98"/>
    <w:multiLevelType w:val="hybridMultilevel"/>
    <w:tmpl w:val="CCC4048A"/>
    <w:lvl w:ilvl="0" w:tplc="6FC8B03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A6A13"/>
    <w:multiLevelType w:val="hybridMultilevel"/>
    <w:tmpl w:val="42D2C8E8"/>
    <w:lvl w:ilvl="0" w:tplc="83B2A3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9427FA"/>
    <w:multiLevelType w:val="hybridMultilevel"/>
    <w:tmpl w:val="1C147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EA3560"/>
    <w:multiLevelType w:val="multilevel"/>
    <w:tmpl w:val="D5EAF670"/>
    <w:lvl w:ilvl="0">
      <w:start w:val="2"/>
      <w:numFmt w:val="decimal"/>
      <w:lvlText w:val="%1.0"/>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D3DD9C"/>
    <w:multiLevelType w:val="hybridMultilevel"/>
    <w:tmpl w:val="15A0FD10"/>
    <w:lvl w:ilvl="0" w:tplc="1B7CD6D2">
      <w:start w:val="1"/>
      <w:numFmt w:val="upperLetter"/>
      <w:lvlText w:val="%1."/>
      <w:lvlJc w:val="left"/>
      <w:pPr>
        <w:ind w:left="720" w:hanging="360"/>
      </w:pPr>
      <w:rPr>
        <w:rFonts w:ascii="Arial,Calibri" w:hAnsi="Arial,Calibri" w:hint="default"/>
      </w:rPr>
    </w:lvl>
    <w:lvl w:ilvl="1" w:tplc="D710FAB0">
      <w:start w:val="1"/>
      <w:numFmt w:val="lowerLetter"/>
      <w:lvlText w:val="%2."/>
      <w:lvlJc w:val="left"/>
      <w:pPr>
        <w:ind w:left="1440" w:hanging="360"/>
      </w:pPr>
    </w:lvl>
    <w:lvl w:ilvl="2" w:tplc="EC3AF9DC">
      <w:start w:val="1"/>
      <w:numFmt w:val="lowerRoman"/>
      <w:lvlText w:val="%3."/>
      <w:lvlJc w:val="right"/>
      <w:pPr>
        <w:ind w:left="2160" w:hanging="180"/>
      </w:pPr>
    </w:lvl>
    <w:lvl w:ilvl="3" w:tplc="2ED27D44">
      <w:start w:val="1"/>
      <w:numFmt w:val="decimal"/>
      <w:lvlText w:val="%4."/>
      <w:lvlJc w:val="left"/>
      <w:pPr>
        <w:ind w:left="2880" w:hanging="360"/>
      </w:pPr>
    </w:lvl>
    <w:lvl w:ilvl="4" w:tplc="23AE32B6">
      <w:start w:val="1"/>
      <w:numFmt w:val="lowerLetter"/>
      <w:lvlText w:val="%5."/>
      <w:lvlJc w:val="left"/>
      <w:pPr>
        <w:ind w:left="3600" w:hanging="360"/>
      </w:pPr>
    </w:lvl>
    <w:lvl w:ilvl="5" w:tplc="BEA41614">
      <w:start w:val="1"/>
      <w:numFmt w:val="lowerRoman"/>
      <w:lvlText w:val="%6."/>
      <w:lvlJc w:val="right"/>
      <w:pPr>
        <w:ind w:left="4320" w:hanging="180"/>
      </w:pPr>
    </w:lvl>
    <w:lvl w:ilvl="6" w:tplc="55563FC2">
      <w:start w:val="1"/>
      <w:numFmt w:val="decimal"/>
      <w:lvlText w:val="%7."/>
      <w:lvlJc w:val="left"/>
      <w:pPr>
        <w:ind w:left="5040" w:hanging="360"/>
      </w:pPr>
    </w:lvl>
    <w:lvl w:ilvl="7" w:tplc="7C067B80">
      <w:start w:val="1"/>
      <w:numFmt w:val="lowerLetter"/>
      <w:lvlText w:val="%8."/>
      <w:lvlJc w:val="left"/>
      <w:pPr>
        <w:ind w:left="5760" w:hanging="360"/>
      </w:pPr>
    </w:lvl>
    <w:lvl w:ilvl="8" w:tplc="3D2E86F6">
      <w:start w:val="1"/>
      <w:numFmt w:val="lowerRoman"/>
      <w:lvlText w:val="%9."/>
      <w:lvlJc w:val="right"/>
      <w:pPr>
        <w:ind w:left="6480" w:hanging="180"/>
      </w:pPr>
    </w:lvl>
  </w:abstractNum>
  <w:abstractNum w:abstractNumId="33" w15:restartNumberingAfterBreak="0">
    <w:nsid w:val="7FEF5107"/>
    <w:multiLevelType w:val="hybridMultilevel"/>
    <w:tmpl w:val="48BE333A"/>
    <w:lvl w:ilvl="0" w:tplc="EE0A81F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25"/>
  </w:num>
  <w:num w:numId="2">
    <w:abstractNumId w:val="1"/>
  </w:num>
  <w:num w:numId="3">
    <w:abstractNumId w:val="31"/>
  </w:num>
  <w:num w:numId="4">
    <w:abstractNumId w:val="32"/>
  </w:num>
  <w:num w:numId="5">
    <w:abstractNumId w:val="11"/>
  </w:num>
  <w:num w:numId="6">
    <w:abstractNumId w:val="10"/>
  </w:num>
  <w:num w:numId="7">
    <w:abstractNumId w:val="8"/>
  </w:num>
  <w:num w:numId="8">
    <w:abstractNumId w:val="2"/>
  </w:num>
  <w:num w:numId="9">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7"/>
  </w:num>
  <w:num w:numId="14">
    <w:abstractNumId w:val="33"/>
  </w:num>
  <w:num w:numId="15">
    <w:abstractNumId w:val="17"/>
  </w:num>
  <w:num w:numId="16">
    <w:abstractNumId w:val="24"/>
  </w:num>
  <w:num w:numId="17">
    <w:abstractNumId w:val="23"/>
  </w:num>
  <w:num w:numId="18">
    <w:abstractNumId w:val="26"/>
  </w:num>
  <w:num w:numId="19">
    <w:abstractNumId w:val="22"/>
  </w:num>
  <w:num w:numId="20">
    <w:abstractNumId w:val="29"/>
  </w:num>
  <w:num w:numId="21">
    <w:abstractNumId w:val="4"/>
  </w:num>
  <w:num w:numId="22">
    <w:abstractNumId w:val="18"/>
  </w:num>
  <w:num w:numId="23">
    <w:abstractNumId w:val="21"/>
  </w:num>
  <w:num w:numId="24">
    <w:abstractNumId w:val="16"/>
  </w:num>
  <w:num w:numId="25">
    <w:abstractNumId w:val="30"/>
  </w:num>
  <w:num w:numId="26">
    <w:abstractNumId w:val="5"/>
  </w:num>
  <w:num w:numId="27">
    <w:abstractNumId w:val="28"/>
  </w:num>
  <w:num w:numId="28">
    <w:abstractNumId w:val="14"/>
  </w:num>
  <w:num w:numId="29">
    <w:abstractNumId w:val="27"/>
  </w:num>
  <w:num w:numId="30">
    <w:abstractNumId w:val="15"/>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0"/>
  </w:num>
  <w:num w:numId="3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75"/>
    <w:rsid w:val="000049C3"/>
    <w:rsid w:val="0000739F"/>
    <w:rsid w:val="00007B24"/>
    <w:rsid w:val="000314F8"/>
    <w:rsid w:val="00032EBE"/>
    <w:rsid w:val="00051D49"/>
    <w:rsid w:val="000602BE"/>
    <w:rsid w:val="000711D0"/>
    <w:rsid w:val="00074709"/>
    <w:rsid w:val="000750EA"/>
    <w:rsid w:val="0008031F"/>
    <w:rsid w:val="000A7533"/>
    <w:rsid w:val="000A7F8F"/>
    <w:rsid w:val="000B1CE4"/>
    <w:rsid w:val="000B2A07"/>
    <w:rsid w:val="000B640A"/>
    <w:rsid w:val="000B7C39"/>
    <w:rsid w:val="000C22DE"/>
    <w:rsid w:val="000D7A90"/>
    <w:rsid w:val="000F0501"/>
    <w:rsid w:val="000F233F"/>
    <w:rsid w:val="000F2A9D"/>
    <w:rsid w:val="00111FEB"/>
    <w:rsid w:val="001345DA"/>
    <w:rsid w:val="00137810"/>
    <w:rsid w:val="00147743"/>
    <w:rsid w:val="00157A4B"/>
    <w:rsid w:val="00166EB3"/>
    <w:rsid w:val="0016708E"/>
    <w:rsid w:val="00185EBD"/>
    <w:rsid w:val="00194E50"/>
    <w:rsid w:val="001960D7"/>
    <w:rsid w:val="001B2570"/>
    <w:rsid w:val="001C05D8"/>
    <w:rsid w:val="001C727D"/>
    <w:rsid w:val="001D1754"/>
    <w:rsid w:val="001D3388"/>
    <w:rsid w:val="001D3C81"/>
    <w:rsid w:val="001E79E4"/>
    <w:rsid w:val="001E7F4B"/>
    <w:rsid w:val="001F74DC"/>
    <w:rsid w:val="0020684B"/>
    <w:rsid w:val="00217834"/>
    <w:rsid w:val="00220C5C"/>
    <w:rsid w:val="00224AA0"/>
    <w:rsid w:val="00227AE9"/>
    <w:rsid w:val="0023418D"/>
    <w:rsid w:val="002433C8"/>
    <w:rsid w:val="0024531E"/>
    <w:rsid w:val="00250386"/>
    <w:rsid w:val="00265E57"/>
    <w:rsid w:val="00281F28"/>
    <w:rsid w:val="00294841"/>
    <w:rsid w:val="00295DF8"/>
    <w:rsid w:val="002A0375"/>
    <w:rsid w:val="002A236A"/>
    <w:rsid w:val="002A4997"/>
    <w:rsid w:val="002B0426"/>
    <w:rsid w:val="002C01B7"/>
    <w:rsid w:val="002C4212"/>
    <w:rsid w:val="002D1E42"/>
    <w:rsid w:val="002E1FFB"/>
    <w:rsid w:val="002F58E4"/>
    <w:rsid w:val="0030134C"/>
    <w:rsid w:val="00303A46"/>
    <w:rsid w:val="003158BF"/>
    <w:rsid w:val="003166DD"/>
    <w:rsid w:val="0032213C"/>
    <w:rsid w:val="0034067D"/>
    <w:rsid w:val="00340B43"/>
    <w:rsid w:val="0036082A"/>
    <w:rsid w:val="003756D9"/>
    <w:rsid w:val="00383C10"/>
    <w:rsid w:val="00386D48"/>
    <w:rsid w:val="003A09A7"/>
    <w:rsid w:val="003A128E"/>
    <w:rsid w:val="003A1FB9"/>
    <w:rsid w:val="003B7286"/>
    <w:rsid w:val="003B7F84"/>
    <w:rsid w:val="003D12CC"/>
    <w:rsid w:val="003D1DCD"/>
    <w:rsid w:val="003E15E0"/>
    <w:rsid w:val="003E3271"/>
    <w:rsid w:val="003F1BDB"/>
    <w:rsid w:val="00404CEB"/>
    <w:rsid w:val="00406145"/>
    <w:rsid w:val="004173EB"/>
    <w:rsid w:val="004175A3"/>
    <w:rsid w:val="00421740"/>
    <w:rsid w:val="00445995"/>
    <w:rsid w:val="00467596"/>
    <w:rsid w:val="00470742"/>
    <w:rsid w:val="00490ED5"/>
    <w:rsid w:val="004A4353"/>
    <w:rsid w:val="004A628C"/>
    <w:rsid w:val="004A7E61"/>
    <w:rsid w:val="004C2BAE"/>
    <w:rsid w:val="004C362E"/>
    <w:rsid w:val="004D763D"/>
    <w:rsid w:val="004E4057"/>
    <w:rsid w:val="004E613E"/>
    <w:rsid w:val="004E6D00"/>
    <w:rsid w:val="004F1EE7"/>
    <w:rsid w:val="004F4536"/>
    <w:rsid w:val="004F470F"/>
    <w:rsid w:val="00516B15"/>
    <w:rsid w:val="00530419"/>
    <w:rsid w:val="00542F60"/>
    <w:rsid w:val="00545674"/>
    <w:rsid w:val="00546C86"/>
    <w:rsid w:val="00546E7E"/>
    <w:rsid w:val="0054779D"/>
    <w:rsid w:val="00564F88"/>
    <w:rsid w:val="00567B9E"/>
    <w:rsid w:val="00580359"/>
    <w:rsid w:val="005A1C9F"/>
    <w:rsid w:val="005B177B"/>
    <w:rsid w:val="005C049E"/>
    <w:rsid w:val="005C1BFA"/>
    <w:rsid w:val="005C6851"/>
    <w:rsid w:val="005C68D4"/>
    <w:rsid w:val="005C78F3"/>
    <w:rsid w:val="005D2DAB"/>
    <w:rsid w:val="005D3585"/>
    <w:rsid w:val="005E2C75"/>
    <w:rsid w:val="005F64D8"/>
    <w:rsid w:val="00601B32"/>
    <w:rsid w:val="0061145F"/>
    <w:rsid w:val="00615A4E"/>
    <w:rsid w:val="0065360E"/>
    <w:rsid w:val="00653A94"/>
    <w:rsid w:val="00656761"/>
    <w:rsid w:val="006710F4"/>
    <w:rsid w:val="0067257D"/>
    <w:rsid w:val="00675CEF"/>
    <w:rsid w:val="0068147C"/>
    <w:rsid w:val="0069380A"/>
    <w:rsid w:val="006B2676"/>
    <w:rsid w:val="006C3B57"/>
    <w:rsid w:val="006C3B8F"/>
    <w:rsid w:val="006E1B3E"/>
    <w:rsid w:val="006F424F"/>
    <w:rsid w:val="00710031"/>
    <w:rsid w:val="00714657"/>
    <w:rsid w:val="00730C08"/>
    <w:rsid w:val="00737CDE"/>
    <w:rsid w:val="007416D9"/>
    <w:rsid w:val="00752598"/>
    <w:rsid w:val="00755A4B"/>
    <w:rsid w:val="007702DF"/>
    <w:rsid w:val="007834C5"/>
    <w:rsid w:val="0079086A"/>
    <w:rsid w:val="007936A9"/>
    <w:rsid w:val="00794175"/>
    <w:rsid w:val="007A348C"/>
    <w:rsid w:val="007A4691"/>
    <w:rsid w:val="007A59D5"/>
    <w:rsid w:val="007A7003"/>
    <w:rsid w:val="007F178C"/>
    <w:rsid w:val="00802ADA"/>
    <w:rsid w:val="00810005"/>
    <w:rsid w:val="00815CE8"/>
    <w:rsid w:val="00820EE9"/>
    <w:rsid w:val="008234D8"/>
    <w:rsid w:val="00825F0F"/>
    <w:rsid w:val="00845CE4"/>
    <w:rsid w:val="008567B6"/>
    <w:rsid w:val="00857FDA"/>
    <w:rsid w:val="008659B7"/>
    <w:rsid w:val="00895293"/>
    <w:rsid w:val="008B0323"/>
    <w:rsid w:val="008B0E54"/>
    <w:rsid w:val="008B3657"/>
    <w:rsid w:val="008D1423"/>
    <w:rsid w:val="008D51D9"/>
    <w:rsid w:val="008D7A69"/>
    <w:rsid w:val="00910ADF"/>
    <w:rsid w:val="00912B76"/>
    <w:rsid w:val="0091456C"/>
    <w:rsid w:val="00915D26"/>
    <w:rsid w:val="009175ED"/>
    <w:rsid w:val="009203D5"/>
    <w:rsid w:val="00933B1C"/>
    <w:rsid w:val="0094154B"/>
    <w:rsid w:val="00952C7D"/>
    <w:rsid w:val="00963266"/>
    <w:rsid w:val="0097074F"/>
    <w:rsid w:val="009842E7"/>
    <w:rsid w:val="00990730"/>
    <w:rsid w:val="00993AA2"/>
    <w:rsid w:val="009952B6"/>
    <w:rsid w:val="009A1241"/>
    <w:rsid w:val="009A3016"/>
    <w:rsid w:val="009A5F68"/>
    <w:rsid w:val="009C3073"/>
    <w:rsid w:val="00A14CBD"/>
    <w:rsid w:val="00A22A6D"/>
    <w:rsid w:val="00A30E71"/>
    <w:rsid w:val="00A324EC"/>
    <w:rsid w:val="00A365D4"/>
    <w:rsid w:val="00A42036"/>
    <w:rsid w:val="00A4382B"/>
    <w:rsid w:val="00A51F19"/>
    <w:rsid w:val="00A76A73"/>
    <w:rsid w:val="00A83C5D"/>
    <w:rsid w:val="00A875FB"/>
    <w:rsid w:val="00A95B21"/>
    <w:rsid w:val="00AA3917"/>
    <w:rsid w:val="00AB1EC0"/>
    <w:rsid w:val="00AB4D1D"/>
    <w:rsid w:val="00AD28C4"/>
    <w:rsid w:val="00AD33C1"/>
    <w:rsid w:val="00AD4B3C"/>
    <w:rsid w:val="00AD6541"/>
    <w:rsid w:val="00AD6654"/>
    <w:rsid w:val="00AE18D3"/>
    <w:rsid w:val="00AE2731"/>
    <w:rsid w:val="00AF04E1"/>
    <w:rsid w:val="00B1659F"/>
    <w:rsid w:val="00B23FDE"/>
    <w:rsid w:val="00B252EB"/>
    <w:rsid w:val="00B37EC3"/>
    <w:rsid w:val="00B42144"/>
    <w:rsid w:val="00B5003D"/>
    <w:rsid w:val="00B50B23"/>
    <w:rsid w:val="00B524F9"/>
    <w:rsid w:val="00B577CE"/>
    <w:rsid w:val="00B64BFA"/>
    <w:rsid w:val="00B734DB"/>
    <w:rsid w:val="00B82437"/>
    <w:rsid w:val="00B873B3"/>
    <w:rsid w:val="00BA6767"/>
    <w:rsid w:val="00BA7A8B"/>
    <w:rsid w:val="00BB121F"/>
    <w:rsid w:val="00BC07EF"/>
    <w:rsid w:val="00BC288A"/>
    <w:rsid w:val="00BC6AA0"/>
    <w:rsid w:val="00BD17E6"/>
    <w:rsid w:val="00BD23AF"/>
    <w:rsid w:val="00BE7902"/>
    <w:rsid w:val="00C11118"/>
    <w:rsid w:val="00C14DEA"/>
    <w:rsid w:val="00C21518"/>
    <w:rsid w:val="00C231A2"/>
    <w:rsid w:val="00C47246"/>
    <w:rsid w:val="00C7162B"/>
    <w:rsid w:val="00C766AB"/>
    <w:rsid w:val="00C924B6"/>
    <w:rsid w:val="00C93526"/>
    <w:rsid w:val="00C95F4D"/>
    <w:rsid w:val="00CC37C9"/>
    <w:rsid w:val="00CE29DB"/>
    <w:rsid w:val="00CE2C91"/>
    <w:rsid w:val="00CE72C9"/>
    <w:rsid w:val="00CF0751"/>
    <w:rsid w:val="00CF4633"/>
    <w:rsid w:val="00D00B81"/>
    <w:rsid w:val="00D0113B"/>
    <w:rsid w:val="00D02F19"/>
    <w:rsid w:val="00D20E4D"/>
    <w:rsid w:val="00D5099C"/>
    <w:rsid w:val="00D53749"/>
    <w:rsid w:val="00D65832"/>
    <w:rsid w:val="00D704D1"/>
    <w:rsid w:val="00D724F1"/>
    <w:rsid w:val="00DA7BCC"/>
    <w:rsid w:val="00DC67DA"/>
    <w:rsid w:val="00DD6207"/>
    <w:rsid w:val="00DE12BF"/>
    <w:rsid w:val="00DE4001"/>
    <w:rsid w:val="00E00305"/>
    <w:rsid w:val="00E116AB"/>
    <w:rsid w:val="00E20A4D"/>
    <w:rsid w:val="00E21DC6"/>
    <w:rsid w:val="00E259BE"/>
    <w:rsid w:val="00E26F65"/>
    <w:rsid w:val="00E27F66"/>
    <w:rsid w:val="00E42958"/>
    <w:rsid w:val="00E50A0A"/>
    <w:rsid w:val="00E7268E"/>
    <w:rsid w:val="00E73330"/>
    <w:rsid w:val="00E76550"/>
    <w:rsid w:val="00E85B36"/>
    <w:rsid w:val="00E86BD7"/>
    <w:rsid w:val="00EC6118"/>
    <w:rsid w:val="00EE2165"/>
    <w:rsid w:val="00EE2BC9"/>
    <w:rsid w:val="00EE2C29"/>
    <w:rsid w:val="00EE3C45"/>
    <w:rsid w:val="00EE5596"/>
    <w:rsid w:val="00EF0035"/>
    <w:rsid w:val="00EF101C"/>
    <w:rsid w:val="00EF1B99"/>
    <w:rsid w:val="00F00201"/>
    <w:rsid w:val="00F06445"/>
    <w:rsid w:val="00F21F1F"/>
    <w:rsid w:val="00F255DA"/>
    <w:rsid w:val="00F34AA9"/>
    <w:rsid w:val="00F42376"/>
    <w:rsid w:val="00F44379"/>
    <w:rsid w:val="00F618CF"/>
    <w:rsid w:val="00F63A93"/>
    <w:rsid w:val="00F76CCE"/>
    <w:rsid w:val="00F808B9"/>
    <w:rsid w:val="00F871EB"/>
    <w:rsid w:val="00F928F1"/>
    <w:rsid w:val="00F95175"/>
    <w:rsid w:val="00FA454E"/>
    <w:rsid w:val="00FA671E"/>
    <w:rsid w:val="00FB035A"/>
    <w:rsid w:val="00FB2206"/>
    <w:rsid w:val="00FB2A7B"/>
    <w:rsid w:val="00FC64D2"/>
    <w:rsid w:val="00FE55DB"/>
    <w:rsid w:val="00FF716E"/>
    <w:rsid w:val="02617CDC"/>
    <w:rsid w:val="0C26D6F1"/>
    <w:rsid w:val="0DE0DBFD"/>
    <w:rsid w:val="1086155D"/>
    <w:rsid w:val="10D5156D"/>
    <w:rsid w:val="1664A630"/>
    <w:rsid w:val="1ABB4EA9"/>
    <w:rsid w:val="1B2029E6"/>
    <w:rsid w:val="1B5ECB45"/>
    <w:rsid w:val="27233426"/>
    <w:rsid w:val="295EFFB9"/>
    <w:rsid w:val="3428699D"/>
    <w:rsid w:val="35CFDBE7"/>
    <w:rsid w:val="36469C1F"/>
    <w:rsid w:val="393636B4"/>
    <w:rsid w:val="3F1748CD"/>
    <w:rsid w:val="3F196611"/>
    <w:rsid w:val="45764E0D"/>
    <w:rsid w:val="4671A974"/>
    <w:rsid w:val="467DE2FF"/>
    <w:rsid w:val="47E899D4"/>
    <w:rsid w:val="49151BBC"/>
    <w:rsid w:val="495F687C"/>
    <w:rsid w:val="56D7C112"/>
    <w:rsid w:val="59366C24"/>
    <w:rsid w:val="61FE2BF5"/>
    <w:rsid w:val="65678AB8"/>
    <w:rsid w:val="68DD82D6"/>
    <w:rsid w:val="6CE1C39B"/>
    <w:rsid w:val="6E5C8044"/>
    <w:rsid w:val="6F1B1AB2"/>
    <w:rsid w:val="6F3D0ACD"/>
    <w:rsid w:val="705F9CEB"/>
    <w:rsid w:val="7318D98D"/>
    <w:rsid w:val="748606F6"/>
    <w:rsid w:val="7A4DE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9AE13C"/>
  <w15:docId w15:val="{6F0CAC63-3BD4-4431-B97B-0FBACF5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EC3"/>
    <w:pPr>
      <w:spacing w:after="240" w:line="240" w:lineRule="auto"/>
    </w:pPr>
    <w:rPr>
      <w:rFonts w:ascii="Arial" w:eastAsiaTheme="majorEastAsia" w:hAnsi="Arial" w:cs="Arial"/>
      <w:lang w:val="el-GR"/>
    </w:rPr>
  </w:style>
  <w:style w:type="paragraph" w:styleId="Titre1">
    <w:name w:val="heading 1"/>
    <w:aliases w:val="PIB 1"/>
    <w:basedOn w:val="Normal"/>
    <w:next w:val="Normal"/>
    <w:link w:val="Titre1Car"/>
    <w:uiPriority w:val="9"/>
    <w:qFormat/>
    <w:rsid w:val="00B37EC3"/>
    <w:pPr>
      <w:spacing w:after="120"/>
      <w:jc w:val="center"/>
      <w:outlineLvl w:val="0"/>
    </w:pPr>
    <w:rPr>
      <w:b/>
      <w:color w:val="0069AA"/>
      <w:sz w:val="32"/>
      <w:szCs w:val="20"/>
      <w:lang w:val="en-US"/>
    </w:rPr>
  </w:style>
  <w:style w:type="paragraph" w:styleId="Titre2">
    <w:name w:val="heading 2"/>
    <w:aliases w:val="PIB 2"/>
    <w:basedOn w:val="Normal"/>
    <w:next w:val="Normal"/>
    <w:link w:val="Titre2Car"/>
    <w:qFormat/>
    <w:rsid w:val="00B37EC3"/>
    <w:pPr>
      <w:spacing w:after="120"/>
      <w:outlineLvl w:val="1"/>
    </w:pPr>
    <w:rPr>
      <w:b/>
      <w:color w:val="0069AA"/>
      <w:sz w:val="24"/>
      <w:lang w:val="en-US"/>
    </w:rPr>
  </w:style>
  <w:style w:type="paragraph" w:styleId="Titre3">
    <w:name w:val="heading 3"/>
    <w:aliases w:val="PIB 3"/>
    <w:basedOn w:val="Normal"/>
    <w:next w:val="Normal"/>
    <w:link w:val="Titre3Car"/>
    <w:uiPriority w:val="9"/>
    <w:qFormat/>
    <w:rsid w:val="00B37EC3"/>
    <w:pPr>
      <w:spacing w:after="120"/>
      <w:outlineLvl w:val="2"/>
    </w:pPr>
    <w:rPr>
      <w:rFonts w:eastAsia="Calibri"/>
      <w:b/>
      <w:bCs/>
      <w:color w:val="0069AA"/>
      <w:lang w:val="en-US"/>
    </w:rPr>
  </w:style>
  <w:style w:type="paragraph" w:styleId="Titre4">
    <w:name w:val="heading 4"/>
    <w:aliases w:val="PIB 4"/>
    <w:basedOn w:val="Normal"/>
    <w:next w:val="Normal"/>
    <w:link w:val="Titre4Car"/>
    <w:uiPriority w:val="9"/>
    <w:semiHidden/>
    <w:unhideWhenUsed/>
    <w:qFormat/>
    <w:rsid w:val="00B37EC3"/>
    <w:pPr>
      <w:keepNext/>
      <w:keepLines/>
      <w:spacing w:before="40"/>
      <w:outlineLvl w:val="3"/>
    </w:pPr>
    <w:rPr>
      <w:rFonts w:asciiTheme="majorHAnsi" w:hAnsiTheme="majorHAnsi" w:cstheme="majorBidi"/>
      <w:i/>
      <w:iCs/>
      <w:color w:val="365F91" w:themeColor="accent1" w:themeShade="BF"/>
      <w:sz w:val="20"/>
      <w:szCs w:val="20"/>
    </w:rPr>
  </w:style>
  <w:style w:type="paragraph" w:styleId="Titre5">
    <w:name w:val="heading 5"/>
    <w:basedOn w:val="Normal"/>
    <w:next w:val="Normal"/>
    <w:link w:val="Titre5Car"/>
    <w:uiPriority w:val="9"/>
    <w:semiHidden/>
    <w:unhideWhenUsed/>
    <w:qFormat/>
    <w:rsid w:val="00B37EC3"/>
    <w:pPr>
      <w:keepNext/>
      <w:keepLines/>
      <w:spacing w:before="40"/>
      <w:outlineLvl w:val="4"/>
    </w:pPr>
    <w:rPr>
      <w:rFonts w:asciiTheme="majorHAnsi" w:hAnsiTheme="majorHAnsi" w:cstheme="majorBidi"/>
      <w:color w:val="365F91" w:themeColor="accent1" w:themeShade="BF"/>
      <w:sz w:val="20"/>
      <w:szCs w:val="20"/>
    </w:rPr>
  </w:style>
  <w:style w:type="paragraph" w:styleId="Titre6">
    <w:name w:val="heading 6"/>
    <w:basedOn w:val="Normal"/>
    <w:next w:val="Normal"/>
    <w:link w:val="Titre6Car"/>
    <w:uiPriority w:val="9"/>
    <w:semiHidden/>
    <w:unhideWhenUsed/>
    <w:qFormat/>
    <w:rsid w:val="00B37EC3"/>
    <w:pPr>
      <w:keepNext/>
      <w:keepLines/>
      <w:spacing w:before="40"/>
      <w:outlineLvl w:val="5"/>
    </w:pPr>
    <w:rPr>
      <w:rFonts w:asciiTheme="majorHAnsi" w:hAnsiTheme="majorHAnsi" w:cstheme="majorBidi"/>
      <w:color w:val="243F60" w:themeColor="accent1" w:themeShade="7F"/>
      <w:sz w:val="20"/>
      <w:szCs w:val="20"/>
    </w:rPr>
  </w:style>
  <w:style w:type="paragraph" w:styleId="Titre7">
    <w:name w:val="heading 7"/>
    <w:basedOn w:val="Normal"/>
    <w:next w:val="Normal"/>
    <w:link w:val="Titre7Car"/>
    <w:uiPriority w:val="9"/>
    <w:semiHidden/>
    <w:unhideWhenUsed/>
    <w:qFormat/>
    <w:rsid w:val="00B37EC3"/>
    <w:pPr>
      <w:keepNext/>
      <w:keepLines/>
      <w:spacing w:before="40"/>
      <w:outlineLvl w:val="6"/>
    </w:pPr>
    <w:rPr>
      <w:rFonts w:asciiTheme="majorHAnsi" w:hAnsiTheme="majorHAnsi" w:cstheme="majorBidi"/>
      <w:i/>
      <w:iCs/>
      <w:color w:val="243F60" w:themeColor="accent1" w:themeShade="7F"/>
      <w:sz w:val="20"/>
      <w:szCs w:val="20"/>
    </w:rPr>
  </w:style>
  <w:style w:type="paragraph" w:styleId="Titre8">
    <w:name w:val="heading 8"/>
    <w:basedOn w:val="Normal"/>
    <w:next w:val="Normal"/>
    <w:link w:val="Titre8Car"/>
    <w:uiPriority w:val="9"/>
    <w:semiHidden/>
    <w:unhideWhenUsed/>
    <w:qFormat/>
    <w:rsid w:val="00B37EC3"/>
    <w:pPr>
      <w:keepNext/>
      <w:keepLines/>
      <w:spacing w:before="40"/>
      <w:outlineLvl w:val="7"/>
    </w:pPr>
    <w:rPr>
      <w:rFonts w:asciiTheme="majorHAnsi"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37EC3"/>
    <w:pPr>
      <w:keepNext/>
      <w:keepLines/>
      <w:spacing w:before="40"/>
      <w:outlineLvl w:val="8"/>
    </w:pPr>
    <w:rPr>
      <w:rFonts w:asciiTheme="majorHAnsi"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EC3"/>
    <w:pPr>
      <w:ind w:left="720"/>
      <w:contextualSpacing/>
    </w:pPr>
  </w:style>
  <w:style w:type="character" w:styleId="Appelnotedebasdep">
    <w:name w:val="footnote reference"/>
    <w:basedOn w:val="Policepardfaut"/>
    <w:uiPriority w:val="99"/>
    <w:semiHidden/>
    <w:unhideWhenUsed/>
    <w:rsid w:val="008659B7"/>
    <w:rPr>
      <w:vertAlign w:val="superscript"/>
    </w:rPr>
  </w:style>
  <w:style w:type="paragraph" w:customStyle="1" w:styleId="Footnote">
    <w:name w:val="Footnote"/>
    <w:basedOn w:val="Normal"/>
    <w:link w:val="FootnoteChar"/>
    <w:rsid w:val="008659B7"/>
    <w:pPr>
      <w:autoSpaceDE w:val="0"/>
      <w:autoSpaceDN w:val="0"/>
      <w:adjustRightInd w:val="0"/>
      <w:snapToGrid w:val="0"/>
      <w:spacing w:after="0"/>
    </w:pPr>
    <w:rPr>
      <w:rFonts w:ascii="Times New Roman" w:eastAsia="Times New Roman" w:hAnsi="Times New Roman" w:cs="Times New Roman"/>
      <w:sz w:val="18"/>
      <w:szCs w:val="18"/>
    </w:rPr>
  </w:style>
  <w:style w:type="character" w:customStyle="1" w:styleId="FootnoteChar">
    <w:name w:val="Footnote Char"/>
    <w:basedOn w:val="Policepardfaut"/>
    <w:link w:val="Footnote"/>
    <w:rsid w:val="008659B7"/>
    <w:rPr>
      <w:rFonts w:ascii="Times New Roman" w:eastAsia="Times New Roman" w:hAnsi="Times New Roman" w:cs="Times New Roman"/>
      <w:sz w:val="18"/>
      <w:szCs w:val="18"/>
    </w:rPr>
  </w:style>
  <w:style w:type="paragraph" w:styleId="Textedebulles">
    <w:name w:val="Balloon Text"/>
    <w:basedOn w:val="Normal"/>
    <w:link w:val="TextedebullesCar"/>
    <w:uiPriority w:val="99"/>
    <w:semiHidden/>
    <w:unhideWhenUsed/>
    <w:rsid w:val="005D2DA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D2DAB"/>
    <w:rPr>
      <w:rFonts w:ascii="Tahoma" w:hAnsi="Tahoma" w:cs="Tahoma"/>
      <w:sz w:val="16"/>
      <w:szCs w:val="16"/>
    </w:rPr>
  </w:style>
  <w:style w:type="character" w:styleId="Lienhypertexte">
    <w:name w:val="Hyperlink"/>
    <w:basedOn w:val="Policepardfaut"/>
    <w:uiPriority w:val="99"/>
    <w:unhideWhenUsed/>
    <w:rsid w:val="00A365D4"/>
    <w:rPr>
      <w:color w:val="0000FF" w:themeColor="hyperlink"/>
      <w:u w:val="single"/>
    </w:rPr>
  </w:style>
  <w:style w:type="character" w:styleId="Marquedecommentaire">
    <w:name w:val="annotation reference"/>
    <w:basedOn w:val="Policepardfaut"/>
    <w:uiPriority w:val="99"/>
    <w:semiHidden/>
    <w:unhideWhenUsed/>
    <w:rsid w:val="00340B43"/>
    <w:rPr>
      <w:sz w:val="16"/>
      <w:szCs w:val="16"/>
    </w:rPr>
  </w:style>
  <w:style w:type="paragraph" w:styleId="Commentaire">
    <w:name w:val="annotation text"/>
    <w:basedOn w:val="Normal"/>
    <w:link w:val="CommentaireCar"/>
    <w:uiPriority w:val="99"/>
    <w:semiHidden/>
    <w:unhideWhenUsed/>
    <w:rsid w:val="00340B43"/>
    <w:rPr>
      <w:sz w:val="20"/>
      <w:szCs w:val="20"/>
    </w:rPr>
  </w:style>
  <w:style w:type="character" w:customStyle="1" w:styleId="CommentaireCar">
    <w:name w:val="Commentaire Car"/>
    <w:basedOn w:val="Policepardfaut"/>
    <w:link w:val="Commentaire"/>
    <w:uiPriority w:val="99"/>
    <w:semiHidden/>
    <w:rsid w:val="00340B43"/>
    <w:rPr>
      <w:sz w:val="20"/>
      <w:szCs w:val="20"/>
    </w:rPr>
  </w:style>
  <w:style w:type="paragraph" w:styleId="Objetducommentaire">
    <w:name w:val="annotation subject"/>
    <w:basedOn w:val="Commentaire"/>
    <w:next w:val="Commentaire"/>
    <w:link w:val="ObjetducommentaireCar"/>
    <w:uiPriority w:val="99"/>
    <w:semiHidden/>
    <w:unhideWhenUsed/>
    <w:rsid w:val="00340B43"/>
    <w:rPr>
      <w:b/>
      <w:bCs/>
    </w:rPr>
  </w:style>
  <w:style w:type="character" w:customStyle="1" w:styleId="ObjetducommentaireCar">
    <w:name w:val="Objet du commentaire Car"/>
    <w:basedOn w:val="CommentaireCar"/>
    <w:link w:val="Objetducommentaire"/>
    <w:uiPriority w:val="99"/>
    <w:semiHidden/>
    <w:rsid w:val="00340B43"/>
    <w:rPr>
      <w:b/>
      <w:bCs/>
      <w:sz w:val="20"/>
      <w:szCs w:val="20"/>
    </w:rPr>
  </w:style>
  <w:style w:type="paragraph" w:styleId="En-tte">
    <w:name w:val="header"/>
    <w:basedOn w:val="Normal"/>
    <w:link w:val="En-tteCar"/>
    <w:uiPriority w:val="99"/>
    <w:unhideWhenUsed/>
    <w:rsid w:val="00D5099C"/>
    <w:pPr>
      <w:tabs>
        <w:tab w:val="center" w:pos="4680"/>
        <w:tab w:val="right" w:pos="9360"/>
      </w:tabs>
      <w:spacing w:after="0"/>
    </w:pPr>
  </w:style>
  <w:style w:type="character" w:customStyle="1" w:styleId="En-tteCar">
    <w:name w:val="En-tête Car"/>
    <w:basedOn w:val="Policepardfaut"/>
    <w:link w:val="En-tte"/>
    <w:uiPriority w:val="99"/>
    <w:rsid w:val="00D5099C"/>
  </w:style>
  <w:style w:type="paragraph" w:styleId="Pieddepage">
    <w:name w:val="footer"/>
    <w:basedOn w:val="Normal"/>
    <w:link w:val="PieddepageCar"/>
    <w:uiPriority w:val="99"/>
    <w:unhideWhenUsed/>
    <w:rsid w:val="00D5099C"/>
    <w:pPr>
      <w:tabs>
        <w:tab w:val="center" w:pos="4680"/>
        <w:tab w:val="right" w:pos="9360"/>
      </w:tabs>
      <w:spacing w:after="0"/>
    </w:pPr>
  </w:style>
  <w:style w:type="character" w:customStyle="1" w:styleId="PieddepageCar">
    <w:name w:val="Pied de page Car"/>
    <w:basedOn w:val="Policepardfaut"/>
    <w:link w:val="Pieddepage"/>
    <w:uiPriority w:val="99"/>
    <w:rsid w:val="00D5099C"/>
  </w:style>
  <w:style w:type="character" w:customStyle="1" w:styleId="shorttext">
    <w:name w:val="short_text"/>
    <w:basedOn w:val="Policepardfaut"/>
    <w:rsid w:val="00470742"/>
  </w:style>
  <w:style w:type="paragraph" w:styleId="PrformatHTML">
    <w:name w:val="HTML Preformatted"/>
    <w:basedOn w:val="Normal"/>
    <w:link w:val="PrformatHTMLCar"/>
    <w:uiPriority w:val="99"/>
    <w:unhideWhenUsed/>
    <w:rsid w:val="0022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20C5C"/>
    <w:rPr>
      <w:rFonts w:ascii="Courier New" w:eastAsia="Times New Roman" w:hAnsi="Courier New" w:cs="Courier New"/>
      <w:sz w:val="20"/>
      <w:szCs w:val="20"/>
      <w:lang w:val="fr-FR" w:eastAsia="fr-FR"/>
    </w:rPr>
  </w:style>
  <w:style w:type="paragraph" w:customStyle="1" w:styleId="PIBFooter">
    <w:name w:val="PIB Footer"/>
    <w:basedOn w:val="Pieddepage"/>
    <w:link w:val="PIBFooterChar"/>
    <w:qFormat/>
    <w:rsid w:val="00B37EC3"/>
    <w:pPr>
      <w:tabs>
        <w:tab w:val="clear" w:pos="4680"/>
        <w:tab w:val="clear" w:pos="9360"/>
        <w:tab w:val="center" w:pos="4320"/>
        <w:tab w:val="right" w:pos="8640"/>
      </w:tabs>
      <w:spacing w:after="240"/>
      <w:ind w:left="-144" w:right="-288"/>
    </w:pPr>
    <w:rPr>
      <w:rFonts w:eastAsia="Times New Roman"/>
      <w:spacing w:val="2"/>
      <w:sz w:val="18"/>
      <w:szCs w:val="18"/>
      <w:lang w:val="en-GB"/>
    </w:rPr>
  </w:style>
  <w:style w:type="character" w:customStyle="1" w:styleId="PIBFooterChar">
    <w:name w:val="PIB Footer Char"/>
    <w:basedOn w:val="PieddepageCar"/>
    <w:link w:val="PIBFooter"/>
    <w:rsid w:val="00B37EC3"/>
    <w:rPr>
      <w:rFonts w:ascii="Arial" w:eastAsia="Times New Roman" w:hAnsi="Arial" w:cs="Arial"/>
      <w:spacing w:val="2"/>
      <w:sz w:val="18"/>
      <w:szCs w:val="18"/>
      <w:lang w:val="en-GB"/>
    </w:rPr>
  </w:style>
  <w:style w:type="paragraph" w:customStyle="1" w:styleId="TableParagraph">
    <w:name w:val="Table Paragraph"/>
    <w:basedOn w:val="Normal"/>
    <w:uiPriority w:val="1"/>
    <w:qFormat/>
    <w:rsid w:val="00B37EC3"/>
    <w:pPr>
      <w:widowControl w:val="0"/>
    </w:pPr>
    <w:rPr>
      <w:rFonts w:asciiTheme="minorHAnsi" w:eastAsiaTheme="minorHAnsi" w:hAnsiTheme="minorHAnsi" w:cstheme="minorBidi"/>
      <w:lang w:val="en-US"/>
    </w:rPr>
  </w:style>
  <w:style w:type="character" w:customStyle="1" w:styleId="Titre1Car">
    <w:name w:val="Titre 1 Car"/>
    <w:aliases w:val="PIB 1 Car"/>
    <w:basedOn w:val="Policepardfaut"/>
    <w:link w:val="Titre1"/>
    <w:uiPriority w:val="9"/>
    <w:rsid w:val="00B37EC3"/>
    <w:rPr>
      <w:rFonts w:ascii="Arial" w:eastAsiaTheme="majorEastAsia" w:hAnsi="Arial" w:cs="Arial"/>
      <w:b/>
      <w:color w:val="0069AA"/>
      <w:sz w:val="32"/>
      <w:szCs w:val="20"/>
      <w:lang w:val="en-US"/>
    </w:rPr>
  </w:style>
  <w:style w:type="character" w:customStyle="1" w:styleId="Titre2Car">
    <w:name w:val="Titre 2 Car"/>
    <w:aliases w:val="PIB 2 Car"/>
    <w:basedOn w:val="Policepardfaut"/>
    <w:link w:val="Titre2"/>
    <w:rsid w:val="00B37EC3"/>
    <w:rPr>
      <w:rFonts w:ascii="Arial" w:eastAsiaTheme="majorEastAsia" w:hAnsi="Arial" w:cs="Arial"/>
      <w:b/>
      <w:color w:val="0069AA"/>
      <w:sz w:val="24"/>
      <w:lang w:val="en-US"/>
    </w:rPr>
  </w:style>
  <w:style w:type="character" w:customStyle="1" w:styleId="Titre3Car">
    <w:name w:val="Titre 3 Car"/>
    <w:aliases w:val="PIB 3 Car"/>
    <w:basedOn w:val="Policepardfaut"/>
    <w:link w:val="Titre3"/>
    <w:uiPriority w:val="9"/>
    <w:rsid w:val="00B37EC3"/>
    <w:rPr>
      <w:rFonts w:ascii="Arial" w:eastAsia="Calibri" w:hAnsi="Arial" w:cs="Arial"/>
      <w:b/>
      <w:bCs/>
      <w:color w:val="0069AA"/>
      <w:lang w:val="en-US"/>
    </w:rPr>
  </w:style>
  <w:style w:type="character" w:customStyle="1" w:styleId="Titre4Car">
    <w:name w:val="Titre 4 Car"/>
    <w:aliases w:val="PIB 4 Car"/>
    <w:basedOn w:val="Policepardfaut"/>
    <w:link w:val="Titre4"/>
    <w:uiPriority w:val="9"/>
    <w:semiHidden/>
    <w:rsid w:val="00B37EC3"/>
    <w:rPr>
      <w:rFonts w:asciiTheme="majorHAnsi" w:eastAsiaTheme="majorEastAsia" w:hAnsiTheme="majorHAnsi" w:cstheme="majorBidi"/>
      <w:i/>
      <w:iCs/>
      <w:color w:val="365F91" w:themeColor="accent1" w:themeShade="BF"/>
      <w:sz w:val="20"/>
      <w:szCs w:val="20"/>
      <w:lang w:val="el-GR"/>
    </w:rPr>
  </w:style>
  <w:style w:type="character" w:customStyle="1" w:styleId="Titre5Car">
    <w:name w:val="Titre 5 Car"/>
    <w:basedOn w:val="Policepardfaut"/>
    <w:link w:val="Titre5"/>
    <w:uiPriority w:val="9"/>
    <w:semiHidden/>
    <w:rsid w:val="00B37EC3"/>
    <w:rPr>
      <w:rFonts w:asciiTheme="majorHAnsi" w:eastAsiaTheme="majorEastAsia" w:hAnsiTheme="majorHAnsi" w:cstheme="majorBidi"/>
      <w:color w:val="365F91" w:themeColor="accent1" w:themeShade="BF"/>
      <w:sz w:val="20"/>
      <w:szCs w:val="20"/>
      <w:lang w:val="el-GR"/>
    </w:rPr>
  </w:style>
  <w:style w:type="character" w:customStyle="1" w:styleId="Titre6Car">
    <w:name w:val="Titre 6 Car"/>
    <w:basedOn w:val="Policepardfaut"/>
    <w:link w:val="Titre6"/>
    <w:uiPriority w:val="9"/>
    <w:semiHidden/>
    <w:rsid w:val="00B37EC3"/>
    <w:rPr>
      <w:rFonts w:asciiTheme="majorHAnsi" w:eastAsiaTheme="majorEastAsia" w:hAnsiTheme="majorHAnsi" w:cstheme="majorBidi"/>
      <w:color w:val="243F60" w:themeColor="accent1" w:themeShade="7F"/>
      <w:sz w:val="20"/>
      <w:szCs w:val="20"/>
      <w:lang w:val="el-GR"/>
    </w:rPr>
  </w:style>
  <w:style w:type="character" w:customStyle="1" w:styleId="Titre7Car">
    <w:name w:val="Titre 7 Car"/>
    <w:basedOn w:val="Policepardfaut"/>
    <w:link w:val="Titre7"/>
    <w:uiPriority w:val="9"/>
    <w:semiHidden/>
    <w:rsid w:val="00B37EC3"/>
    <w:rPr>
      <w:rFonts w:asciiTheme="majorHAnsi" w:eastAsiaTheme="majorEastAsia" w:hAnsiTheme="majorHAnsi" w:cstheme="majorBidi"/>
      <w:i/>
      <w:iCs/>
      <w:color w:val="243F60" w:themeColor="accent1" w:themeShade="7F"/>
      <w:sz w:val="20"/>
      <w:szCs w:val="20"/>
      <w:lang w:val="el-GR"/>
    </w:rPr>
  </w:style>
  <w:style w:type="character" w:customStyle="1" w:styleId="Titre8Car">
    <w:name w:val="Titre 8 Car"/>
    <w:basedOn w:val="Policepardfaut"/>
    <w:link w:val="Titre8"/>
    <w:uiPriority w:val="9"/>
    <w:semiHidden/>
    <w:rsid w:val="00B37EC3"/>
    <w:rPr>
      <w:rFonts w:asciiTheme="majorHAnsi" w:eastAsiaTheme="majorEastAsia" w:hAnsiTheme="majorHAnsi" w:cstheme="majorBidi"/>
      <w:color w:val="272727" w:themeColor="text1" w:themeTint="D8"/>
      <w:sz w:val="21"/>
      <w:szCs w:val="21"/>
      <w:lang w:val="el-GR"/>
    </w:rPr>
  </w:style>
  <w:style w:type="character" w:customStyle="1" w:styleId="Titre9Car">
    <w:name w:val="Titre 9 Car"/>
    <w:basedOn w:val="Policepardfaut"/>
    <w:link w:val="Titre9"/>
    <w:uiPriority w:val="9"/>
    <w:semiHidden/>
    <w:rsid w:val="00B37EC3"/>
    <w:rPr>
      <w:rFonts w:asciiTheme="majorHAnsi" w:eastAsiaTheme="majorEastAsia" w:hAnsiTheme="majorHAnsi" w:cstheme="majorBidi"/>
      <w:i/>
      <w:iCs/>
      <w:color w:val="272727" w:themeColor="text1" w:themeTint="D8"/>
      <w:sz w:val="21"/>
      <w:szCs w:val="21"/>
      <w:lang w:val="el-GR"/>
    </w:rPr>
  </w:style>
  <w:style w:type="paragraph" w:styleId="Lgende">
    <w:name w:val="caption"/>
    <w:basedOn w:val="Normal"/>
    <w:next w:val="Normal"/>
    <w:uiPriority w:val="35"/>
    <w:semiHidden/>
    <w:unhideWhenUsed/>
    <w:qFormat/>
    <w:rsid w:val="00B37EC3"/>
    <w:pPr>
      <w:spacing w:after="200"/>
    </w:pPr>
    <w:rPr>
      <w:i/>
      <w:iCs/>
      <w:color w:val="1F497D" w:themeColor="text2"/>
      <w:sz w:val="18"/>
      <w:szCs w:val="18"/>
    </w:rPr>
  </w:style>
  <w:style w:type="paragraph" w:styleId="Titre">
    <w:name w:val="Title"/>
    <w:basedOn w:val="Normal"/>
    <w:next w:val="Normal"/>
    <w:link w:val="TitreCar"/>
    <w:uiPriority w:val="10"/>
    <w:qFormat/>
    <w:rsid w:val="00B37EC3"/>
    <w:pPr>
      <w:contextualSpacing/>
    </w:pPr>
    <w:rPr>
      <w:rFonts w:asciiTheme="majorHAnsi" w:hAnsiTheme="majorHAnsi" w:cstheme="majorBidi"/>
      <w:spacing w:val="-10"/>
      <w:kern w:val="28"/>
      <w:sz w:val="56"/>
      <w:szCs w:val="56"/>
    </w:rPr>
  </w:style>
  <w:style w:type="character" w:customStyle="1" w:styleId="TitreCar">
    <w:name w:val="Titre Car"/>
    <w:basedOn w:val="Policepardfaut"/>
    <w:link w:val="Titre"/>
    <w:uiPriority w:val="10"/>
    <w:rsid w:val="00B37EC3"/>
    <w:rPr>
      <w:rFonts w:asciiTheme="majorHAnsi" w:eastAsiaTheme="majorEastAsia" w:hAnsiTheme="majorHAnsi" w:cstheme="majorBidi"/>
      <w:spacing w:val="-10"/>
      <w:kern w:val="28"/>
      <w:sz w:val="56"/>
      <w:szCs w:val="56"/>
      <w:lang w:val="el-GR"/>
    </w:rPr>
  </w:style>
  <w:style w:type="paragraph" w:styleId="Corpsdetexte">
    <w:name w:val="Body Text"/>
    <w:basedOn w:val="Normal"/>
    <w:link w:val="CorpsdetexteCar"/>
    <w:uiPriority w:val="1"/>
    <w:semiHidden/>
    <w:unhideWhenUsed/>
    <w:qFormat/>
    <w:rsid w:val="00B37EC3"/>
    <w:pPr>
      <w:spacing w:after="120"/>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1"/>
    <w:semiHidden/>
    <w:rsid w:val="00B37EC3"/>
    <w:rPr>
      <w:rFonts w:ascii="Times New Roman" w:eastAsia="Times New Roman" w:hAnsi="Times New Roman" w:cs="Times New Roman"/>
      <w:sz w:val="20"/>
      <w:szCs w:val="20"/>
      <w:lang w:val="el-GR"/>
    </w:rPr>
  </w:style>
  <w:style w:type="paragraph" w:styleId="Sous-titre">
    <w:name w:val="Subtitle"/>
    <w:basedOn w:val="Pieddepage"/>
    <w:next w:val="Normal"/>
    <w:link w:val="Sous-titreCar"/>
    <w:uiPriority w:val="11"/>
    <w:qFormat/>
    <w:rsid w:val="00B37EC3"/>
    <w:pPr>
      <w:tabs>
        <w:tab w:val="clear" w:pos="4680"/>
        <w:tab w:val="clear" w:pos="9360"/>
        <w:tab w:val="center" w:pos="4320"/>
        <w:tab w:val="right" w:pos="9630"/>
      </w:tabs>
      <w:spacing w:after="240"/>
      <w:ind w:left="-144" w:right="-288"/>
    </w:pPr>
    <w:rPr>
      <w:rFonts w:eastAsiaTheme="minorEastAsia"/>
      <w:sz w:val="16"/>
      <w:szCs w:val="16"/>
      <w:lang w:val="en-GB"/>
    </w:rPr>
  </w:style>
  <w:style w:type="character" w:customStyle="1" w:styleId="Sous-titreCar">
    <w:name w:val="Sous-titre Car"/>
    <w:basedOn w:val="Policepardfaut"/>
    <w:link w:val="Sous-titre"/>
    <w:uiPriority w:val="11"/>
    <w:rsid w:val="00B37EC3"/>
    <w:rPr>
      <w:rFonts w:ascii="Arial" w:eastAsiaTheme="minorEastAsia" w:hAnsi="Arial" w:cs="Arial"/>
      <w:sz w:val="16"/>
      <w:szCs w:val="16"/>
      <w:lang w:val="en-GB"/>
    </w:rPr>
  </w:style>
  <w:style w:type="character" w:styleId="lev">
    <w:name w:val="Strong"/>
    <w:basedOn w:val="Policepardfaut"/>
    <w:uiPriority w:val="22"/>
    <w:qFormat/>
    <w:rsid w:val="00B37EC3"/>
    <w:rPr>
      <w:b/>
      <w:bCs/>
    </w:rPr>
  </w:style>
  <w:style w:type="character" w:styleId="Accentuation">
    <w:name w:val="Emphasis"/>
    <w:basedOn w:val="Policepardfaut"/>
    <w:uiPriority w:val="20"/>
    <w:qFormat/>
    <w:rsid w:val="00B37EC3"/>
    <w:rPr>
      <w:i/>
      <w:iCs/>
    </w:rPr>
  </w:style>
  <w:style w:type="paragraph" w:styleId="Sansinterligne">
    <w:name w:val="No Spacing"/>
    <w:uiPriority w:val="1"/>
    <w:qFormat/>
    <w:rsid w:val="00B37EC3"/>
    <w:pPr>
      <w:spacing w:after="0" w:line="240" w:lineRule="auto"/>
    </w:pPr>
    <w:rPr>
      <w:rFonts w:ascii="Times New Roman" w:hAnsi="Times New Roman"/>
      <w:sz w:val="20"/>
      <w:szCs w:val="20"/>
      <w:lang w:val="el-GR"/>
    </w:rPr>
  </w:style>
  <w:style w:type="paragraph" w:styleId="Citation">
    <w:name w:val="Quote"/>
    <w:basedOn w:val="Normal"/>
    <w:next w:val="Normal"/>
    <w:link w:val="CitationCar"/>
    <w:uiPriority w:val="29"/>
    <w:qFormat/>
    <w:rsid w:val="00B37EC3"/>
    <w:pPr>
      <w:spacing w:before="200" w:after="160"/>
      <w:ind w:left="864" w:right="864"/>
      <w:jc w:val="center"/>
    </w:pPr>
    <w:rPr>
      <w:rFonts w:ascii="Times New Roman" w:eastAsiaTheme="minorHAnsi" w:hAnsi="Times New Roman" w:cstheme="minorBidi"/>
      <w:i/>
      <w:iCs/>
      <w:color w:val="404040" w:themeColor="text1" w:themeTint="BF"/>
      <w:sz w:val="20"/>
      <w:szCs w:val="20"/>
    </w:rPr>
  </w:style>
  <w:style w:type="character" w:customStyle="1" w:styleId="CitationCar">
    <w:name w:val="Citation Car"/>
    <w:basedOn w:val="Policepardfaut"/>
    <w:link w:val="Citation"/>
    <w:uiPriority w:val="29"/>
    <w:rsid w:val="00B37EC3"/>
    <w:rPr>
      <w:rFonts w:ascii="Times New Roman" w:hAnsi="Times New Roman"/>
      <w:i/>
      <w:iCs/>
      <w:color w:val="404040" w:themeColor="text1" w:themeTint="BF"/>
      <w:sz w:val="20"/>
      <w:szCs w:val="20"/>
      <w:lang w:val="el-GR"/>
    </w:rPr>
  </w:style>
  <w:style w:type="paragraph" w:styleId="Citationintense">
    <w:name w:val="Intense Quote"/>
    <w:basedOn w:val="Normal"/>
    <w:next w:val="Normal"/>
    <w:link w:val="CitationintenseCar"/>
    <w:uiPriority w:val="30"/>
    <w:qFormat/>
    <w:rsid w:val="00B37EC3"/>
    <w:pPr>
      <w:pBdr>
        <w:top w:val="single" w:sz="4" w:space="10" w:color="4F81BD" w:themeColor="accent1"/>
        <w:bottom w:val="single" w:sz="4" w:space="10" w:color="4F81BD" w:themeColor="accent1"/>
      </w:pBdr>
      <w:spacing w:before="360" w:after="360"/>
      <w:ind w:left="864" w:right="864"/>
      <w:jc w:val="center"/>
    </w:pPr>
    <w:rPr>
      <w:rFonts w:ascii="Times New Roman" w:hAnsi="Times New Roman" w:cstheme="majorBidi"/>
      <w:i/>
      <w:iCs/>
      <w:color w:val="4F81BD" w:themeColor="accent1"/>
      <w:sz w:val="20"/>
      <w:szCs w:val="20"/>
    </w:rPr>
  </w:style>
  <w:style w:type="character" w:customStyle="1" w:styleId="CitationintenseCar">
    <w:name w:val="Citation intense Car"/>
    <w:basedOn w:val="Policepardfaut"/>
    <w:link w:val="Citationintense"/>
    <w:uiPriority w:val="30"/>
    <w:rsid w:val="00B37EC3"/>
    <w:rPr>
      <w:rFonts w:ascii="Times New Roman" w:eastAsiaTheme="majorEastAsia" w:hAnsi="Times New Roman" w:cstheme="majorBidi"/>
      <w:i/>
      <w:iCs/>
      <w:color w:val="4F81BD" w:themeColor="accent1"/>
      <w:sz w:val="20"/>
      <w:szCs w:val="20"/>
      <w:lang w:val="el-GR"/>
    </w:rPr>
  </w:style>
  <w:style w:type="character" w:styleId="Accentuationlgre">
    <w:name w:val="Subtle Emphasis"/>
    <w:basedOn w:val="Policepardfaut"/>
    <w:uiPriority w:val="19"/>
    <w:qFormat/>
    <w:rsid w:val="00B37EC3"/>
    <w:rPr>
      <w:i/>
      <w:iCs/>
      <w:color w:val="404040" w:themeColor="text1" w:themeTint="BF"/>
    </w:rPr>
  </w:style>
  <w:style w:type="character" w:styleId="Accentuationintense">
    <w:name w:val="Intense Emphasis"/>
    <w:basedOn w:val="Policepardfaut"/>
    <w:uiPriority w:val="21"/>
    <w:qFormat/>
    <w:rsid w:val="00B37EC3"/>
    <w:rPr>
      <w:i/>
      <w:iCs/>
      <w:color w:val="4F81BD" w:themeColor="accent1"/>
    </w:rPr>
  </w:style>
  <w:style w:type="character" w:styleId="Rfrencelgre">
    <w:name w:val="Subtle Reference"/>
    <w:basedOn w:val="Policepardfaut"/>
    <w:uiPriority w:val="31"/>
    <w:qFormat/>
    <w:rsid w:val="00B37EC3"/>
    <w:rPr>
      <w:smallCaps/>
      <w:color w:val="5A5A5A" w:themeColor="text1" w:themeTint="A5"/>
    </w:rPr>
  </w:style>
  <w:style w:type="character" w:styleId="Rfrenceintense">
    <w:name w:val="Intense Reference"/>
    <w:basedOn w:val="Policepardfaut"/>
    <w:uiPriority w:val="32"/>
    <w:qFormat/>
    <w:rsid w:val="00B37EC3"/>
    <w:rPr>
      <w:b/>
      <w:bCs/>
      <w:smallCaps/>
      <w:color w:val="4F81BD" w:themeColor="accent1"/>
      <w:spacing w:val="5"/>
    </w:rPr>
  </w:style>
  <w:style w:type="character" w:styleId="Titredulivre">
    <w:name w:val="Book Title"/>
    <w:basedOn w:val="Policepardfaut"/>
    <w:uiPriority w:val="33"/>
    <w:qFormat/>
    <w:rsid w:val="00B37EC3"/>
    <w:rPr>
      <w:b/>
      <w:bCs/>
      <w:i/>
      <w:iCs/>
      <w:spacing w:val="5"/>
    </w:rPr>
  </w:style>
  <w:style w:type="paragraph" w:styleId="En-ttedetabledesmatires">
    <w:name w:val="TOC Heading"/>
    <w:basedOn w:val="Titre1"/>
    <w:next w:val="Normal"/>
    <w:uiPriority w:val="39"/>
    <w:semiHidden/>
    <w:unhideWhenUsed/>
    <w:qFormat/>
    <w:rsid w:val="00B37EC3"/>
    <w:pPr>
      <w:keepNext/>
      <w:keepLines/>
      <w:spacing w:before="240" w:line="259" w:lineRule="auto"/>
      <w:outlineLvl w:val="9"/>
    </w:pPr>
    <w:rPr>
      <w:rFonts w:asciiTheme="majorHAnsi" w:hAnsiTheme="majorHAnsi" w:cstheme="majorBidi"/>
      <w:b w:val="0"/>
      <w:color w:val="365F91" w:themeColor="accent1" w:themeShade="BF"/>
      <w:szCs w:val="32"/>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28660">
      <w:bodyDiv w:val="1"/>
      <w:marLeft w:val="0"/>
      <w:marRight w:val="0"/>
      <w:marTop w:val="0"/>
      <w:marBottom w:val="0"/>
      <w:divBdr>
        <w:top w:val="none" w:sz="0" w:space="0" w:color="auto"/>
        <w:left w:val="none" w:sz="0" w:space="0" w:color="auto"/>
        <w:bottom w:val="none" w:sz="0" w:space="0" w:color="auto"/>
        <w:right w:val="none" w:sz="0" w:space="0" w:color="auto"/>
      </w:divBdr>
    </w:div>
    <w:div w:id="863714760">
      <w:bodyDiv w:val="1"/>
      <w:marLeft w:val="0"/>
      <w:marRight w:val="0"/>
      <w:marTop w:val="0"/>
      <w:marBottom w:val="0"/>
      <w:divBdr>
        <w:top w:val="none" w:sz="0" w:space="0" w:color="auto"/>
        <w:left w:val="none" w:sz="0" w:space="0" w:color="auto"/>
        <w:bottom w:val="none" w:sz="0" w:space="0" w:color="auto"/>
        <w:right w:val="none" w:sz="0" w:space="0" w:color="auto"/>
      </w:divBdr>
    </w:div>
    <w:div w:id="925696653">
      <w:bodyDiv w:val="1"/>
      <w:marLeft w:val="0"/>
      <w:marRight w:val="0"/>
      <w:marTop w:val="0"/>
      <w:marBottom w:val="0"/>
      <w:divBdr>
        <w:top w:val="none" w:sz="0" w:space="0" w:color="auto"/>
        <w:left w:val="none" w:sz="0" w:space="0" w:color="auto"/>
        <w:bottom w:val="none" w:sz="0" w:space="0" w:color="auto"/>
        <w:right w:val="none" w:sz="0" w:space="0" w:color="auto"/>
      </w:divBdr>
    </w:div>
    <w:div w:id="1486631888">
      <w:bodyDiv w:val="1"/>
      <w:marLeft w:val="0"/>
      <w:marRight w:val="0"/>
      <w:marTop w:val="0"/>
      <w:marBottom w:val="0"/>
      <w:divBdr>
        <w:top w:val="none" w:sz="0" w:space="0" w:color="auto"/>
        <w:left w:val="none" w:sz="0" w:space="0" w:color="auto"/>
        <w:bottom w:val="none" w:sz="0" w:space="0" w:color="auto"/>
        <w:right w:val="none" w:sz="0" w:space="0" w:color="auto"/>
      </w:divBdr>
    </w:div>
    <w:div w:id="1932666230">
      <w:bodyDiv w:val="1"/>
      <w:marLeft w:val="0"/>
      <w:marRight w:val="0"/>
      <w:marTop w:val="0"/>
      <w:marBottom w:val="0"/>
      <w:divBdr>
        <w:top w:val="none" w:sz="0" w:space="0" w:color="auto"/>
        <w:left w:val="none" w:sz="0" w:space="0" w:color="auto"/>
        <w:bottom w:val="none" w:sz="0" w:space="0" w:color="auto"/>
        <w:right w:val="none" w:sz="0" w:space="0" w:color="auto"/>
      </w:divBdr>
    </w:div>
    <w:div w:id="20022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aid.gov/sites/default/files/documents/1868/AAPD17-01-Revised.pdf" TargetMode="External"/><Relationship Id="rId18" Type="http://schemas.openxmlformats.org/officeDocument/2006/relationships/hyperlink" Target="mailto:tetratech@ethicspoi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rd.fabs.subcontracts@tetratech.com" TargetMode="External"/><Relationship Id="rId17" Type="http://schemas.openxmlformats.org/officeDocument/2006/relationships/hyperlink" Target="mailto:ARD.Ethics@tetratech.com" TargetMode="External"/><Relationship Id="rId2" Type="http://schemas.openxmlformats.org/officeDocument/2006/relationships/customXml" Target="../customXml/item2.xml"/><Relationship Id="rId16" Type="http://schemas.openxmlformats.org/officeDocument/2006/relationships/hyperlink" Target="Http://untreaty.un.org/English/Terrorism.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d.fabs.subcontracts@tetratech.com" TargetMode="External"/><Relationship Id="rId5" Type="http://schemas.openxmlformats.org/officeDocument/2006/relationships/numbering" Target="numbering.xml"/><Relationship Id="rId15" Type="http://schemas.openxmlformats.org/officeDocument/2006/relationships/hyperlink" Target="Http://www.un.org/Docs/sc/committees/1267/1267ListEng.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gov/offices/eotffc/ofac/sdn/t11sd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915A7A66B5A14F9E9B2C37BFE8B794" ma:contentTypeVersion="59" ma:contentTypeDescription="Create a new document." ma:contentTypeScope="" ma:versionID="4741cd6b61b9c754147593c1f6d58fbc">
  <xsd:schema xmlns:xsd="http://www.w3.org/2001/XMLSchema" xmlns:xs="http://www.w3.org/2001/XMLSchema" xmlns:p="http://schemas.microsoft.com/office/2006/metadata/properties" xmlns:ns1="http://schemas.microsoft.com/sharepoint/v3" xmlns:ns2="df891eeb-4300-4ca2-8b5b-1cd851ee9595" xmlns:ns3="056ab153-e312-4c60-80d4-93731119b395" xmlns:ns4="http://schemas.microsoft.com/sharepoint/v4" targetNamespace="http://schemas.microsoft.com/office/2006/metadata/properties" ma:root="true" ma:fieldsID="6a5602933cbe32915eb28765dfeb4a31" ns1:_="" ns2:_="" ns3:_="" ns4:_="">
    <xsd:import namespace="http://schemas.microsoft.com/sharepoint/v3"/>
    <xsd:import namespace="df891eeb-4300-4ca2-8b5b-1cd851ee9595"/>
    <xsd:import namespace="056ab153-e312-4c60-80d4-93731119b395"/>
    <xsd:import namespace="http://schemas.microsoft.com/sharepoint/v4"/>
    <xsd:element name="properties">
      <xsd:complexType>
        <xsd:sequence>
          <xsd:element name="documentManagement">
            <xsd:complexType>
              <xsd:all>
                <xsd:element ref="ns2:Document_x0020_Type"/>
                <xsd:element ref="ns2:Document_x0020_Sub_x002d_Type" minOccurs="0"/>
                <xsd:element ref="ns2:Project_x0020_Phase" minOccurs="0"/>
                <xsd:element ref="ns2:Process_x0020_Area" minOccurs="0"/>
                <xsd:element ref="ns2:Home_x0020_Office_x0020_Department0"/>
                <xsd:element ref="ns2:Applicability"/>
                <xsd:element ref="ns1:Language"/>
                <xsd:element ref="ns2:Document_x0020_Status"/>
                <xsd:element ref="ns2:Document_x0020_ID" minOccurs="0"/>
                <xsd:element ref="ns2:Document_x0020_ID_x0020__x0023_" minOccurs="0"/>
                <xsd:element ref="ns2:Current_x0020_Revision_x0020__x0020__x0023_"/>
                <xsd:element ref="ns2:Sort_x0020_Order" minOccurs="0"/>
                <xsd:element ref="ns3:TaxCatchAll" minOccurs="0"/>
                <xsd:element ref="ns2:p619803c748e4d92b6af1ae85a02080c" minOccurs="0"/>
                <xsd:element ref="ns2:MediaServiceMetadata" minOccurs="0"/>
                <xsd:element ref="ns2:MediaServiceFastMetadata" minOccurs="0"/>
                <xsd:element ref="ns3:SharedWithUsers" minOccurs="0"/>
                <xsd:element ref="ns3:SharedWithDetails" minOccurs="0"/>
                <xsd:element ref="ns3:Document_x0020_Set" minOccurs="0"/>
                <xsd:element ref="ns2:MediaServiceAutoKeyPoints" minOccurs="0"/>
                <xsd:element ref="ns2:MediaServiceKeyPoints" minOccurs="0"/>
                <xsd:element ref="ns4:IconOverlay"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ma:displayName="Language" ma:default="English" ma:format="Dropdown" ma:internalName="Language" ma:readOnly="false">
      <xsd:simpleType>
        <xsd:union memberTypes="dms:Text">
          <xsd:simpleType>
            <xsd:restriction base="dms:Choice">
              <xsd:enumeration value="Arabic"/>
              <xsd:enumeration value="Dari"/>
              <xsd:enumeration value="English"/>
              <xsd:enumeration value="French"/>
              <xsd:enumeration value="Portuguese"/>
              <xsd:enumeration value="Spanish"/>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f891eeb-4300-4ca2-8b5b-1cd851ee9595"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ma:readOnly="false">
      <xsd:simpleType>
        <xsd:restriction base="dms:Choice">
          <xsd:enumeration value="Policy"/>
          <xsd:enumeration value="Handbook"/>
          <xsd:enumeration value="Standard Operating Procedure (SOP)"/>
          <xsd:enumeration value="Template"/>
          <xsd:enumeration value="Example"/>
          <xsd:enumeration value="Guide"/>
          <xsd:enumeration value="Frequently Asked Question (FAQ)"/>
          <xsd:enumeration value="Training Materials"/>
          <xsd:enumeration value="Other"/>
        </xsd:restriction>
      </xsd:simpleType>
    </xsd:element>
    <xsd:element name="Document_x0020_Sub_x002d_Type" ma:index="3" nillable="true" ma:displayName="Document Sub-Type" ma:description="If Document Type is a TEMPLATE or EXAMPLE, choose a Sub-Type" ma:format="Dropdown" ma:internalName="Document_x0020_Sub_x002d_Type" ma:readOnly="false">
      <xsd:simpleType>
        <xsd:restriction base="dms:Choice">
          <xsd:enumeration value="Checklist"/>
          <xsd:enumeration value="Form"/>
          <xsd:enumeration value="Request for Approval (RFA)"/>
          <xsd:enumeration value="Position Description (PD)"/>
          <xsd:enumeration value="Scope of Work (SOW)"/>
          <xsd:enumeration value="Service Agreement (SA)"/>
          <xsd:enumeration value="Request for Proposal (RFP)"/>
          <xsd:enumeration value="Request for Quote (RFQ)"/>
          <xsd:enumeration value="Lease"/>
          <xsd:enumeration value="Invoice"/>
          <xsd:enumeration value="Performance Evaluation"/>
          <xsd:enumeration value="Expense Report"/>
          <xsd:enumeration value="Meeting Agenda"/>
          <xsd:enumeration value="Memo"/>
          <xsd:enumeration value="Calendar"/>
          <xsd:enumeration value="Other"/>
        </xsd:restriction>
      </xsd:simpleType>
    </xsd:element>
    <xsd:element name="Project_x0020_Phase" ma:index="4" nillable="true" ma:displayName="Project Phase" ma:internalName="Project_x0020_Phase" ma:readOnly="false" ma:requiredMultiChoice="true">
      <xsd:complexType>
        <xsd:complexContent>
          <xsd:extension base="dms:MultiChoice">
            <xsd:sequence>
              <xsd:element name="Value" maxOccurs="unbounded" minOccurs="0" nillable="true">
                <xsd:simpleType>
                  <xsd:restriction base="dms:Choice">
                    <xsd:enumeration value="Startup"/>
                    <xsd:enumeration value="Implementation"/>
                    <xsd:enumeration value="Closeout"/>
                  </xsd:restriction>
                </xsd:simpleType>
              </xsd:element>
            </xsd:sequence>
          </xsd:extension>
        </xsd:complexContent>
      </xsd:complexType>
    </xsd:element>
    <xsd:element name="Process_x0020_Area" ma:index="5" nillable="true" ma:displayName="Process Area" ma:internalName="Process_x0020_Area" ma:readOnly="false" ma:requiredMultiChoice="true">
      <xsd:complexType>
        <xsd:complexContent>
          <xsd:extension base="dms:MultiChoice">
            <xsd:sequence>
              <xsd:element name="Value" maxOccurs="unbounded" minOccurs="0" nillable="true">
                <xsd:simpleType>
                  <xsd:restriction base="dms:Choice">
                    <xsd:enumeration value="Contract Administration"/>
                    <xsd:enumeration value="Finance"/>
                    <xsd:enumeration value="Grants"/>
                    <xsd:enumeration value="Human Resources (HR)"/>
                    <xsd:enumeration value="Monitoring, Evaluation and Learning (MEL)"/>
                    <xsd:enumeration value="Procurement"/>
                    <xsd:enumeration value="Subcontracts"/>
                    <xsd:enumeration value="Technical"/>
                    <xsd:enumeration value="Travel and Security"/>
                  </xsd:restriction>
                </xsd:simpleType>
              </xsd:element>
            </xsd:sequence>
          </xsd:extension>
        </xsd:complexContent>
      </xsd:complexType>
    </xsd:element>
    <xsd:element name="Home_x0020_Office_x0020_Department0" ma:index="6" ma:displayName="Home Office Department" ma:format="Dropdown" ma:internalName="Home_x0020_Office_x0020_Department0" ma:readOnly="false">
      <xsd:simpleType>
        <xsd:restriction base="dms:Choice">
          <xsd:enumeration value="Accounting and Finance (A&amp;F)"/>
          <xsd:enumeration value="Business Development Unit (BDU)"/>
          <xsd:enumeration value="Communications"/>
          <xsd:enumeration value="Contracts, Grants and Procurement (CGP)"/>
          <xsd:enumeration value="Cost and Pricing (C&amp;P)"/>
          <xsd:enumeration value="Data, Analytics and Technology (DAT)"/>
          <xsd:enumeration value="Digital Strategy"/>
          <xsd:enumeration value="Global Talent Operations (GTO)"/>
          <xsd:enumeration value="Human Resources (HR)"/>
          <xsd:enumeration value="Internal Compliance (IC)"/>
          <xsd:enumeration value="Monitoring, Evaluation and Learning (MEL)"/>
          <xsd:enumeration value="Operations"/>
          <xsd:enumeration value="Production"/>
          <xsd:enumeration value="Professional Development and Training (PDT)"/>
          <xsd:enumeration value="Project Controls"/>
          <xsd:enumeration value="Project Information"/>
          <xsd:enumeration value="Project Management Unit (PMU)"/>
          <xsd:enumeration value="Project Support"/>
          <xsd:enumeration value="Technology &amp; Information Management Services (TIMS)"/>
          <xsd:enumeration value="Travel and Security (T&amp;S)"/>
        </xsd:restriction>
      </xsd:simpleType>
    </xsd:element>
    <xsd:element name="Applicability" ma:index="7" ma:displayName="Applicability" ma:description="The purpose of the PIB is to provide documents for use by field teams during project implementation. If the document is truly only applicable to the Home Office, consider uploading to the appropriate Home Office SharePoint site instead." ma:format="Dropdown" ma:internalName="Applicability" ma:readOnly="false">
      <xsd:simpleType>
        <xsd:restriction base="dms:Choice">
          <xsd:enumeration value="Field"/>
          <xsd:enumeration value="Home Office"/>
          <xsd:enumeration value="Field and Home Office"/>
        </xsd:restriction>
      </xsd:simpleType>
    </xsd:element>
    <xsd:element name="Document_x0020_Status" ma:index="9" ma:displayName="Document Status" ma:default="Published" ma:format="Dropdown" ma:internalName="Document_x0020_Status" ma:readOnly="false">
      <xsd:simpleType>
        <xsd:restriction base="dms:Choice">
          <xsd:enumeration value="Published"/>
          <xsd:enumeration value="Retired"/>
          <xsd:enumeration value="Archived"/>
        </xsd:restriction>
      </xsd:simpleType>
    </xsd:element>
    <xsd:element name="Document_x0020_ID" ma:index="13" nillable="true" ma:displayName="Document ID" ma:indexed="true" ma:internalName="Document_x0020_ID" ma:readOnly="false">
      <xsd:simpleType>
        <xsd:restriction base="dms:Text">
          <xsd:maxLength value="255"/>
        </xsd:restriction>
      </xsd:simpleType>
    </xsd:element>
    <xsd:element name="Document_x0020_ID_x0020__x0023_" ma:index="14" nillable="true" ma:displayName="Document ID #" ma:indexed="true" ma:internalName="Document_x0020_ID_x0020__x0023_" ma:readOnly="false" ma:percentage="FALSE">
      <xsd:simpleType>
        <xsd:restriction base="dms:Number"/>
      </xsd:simpleType>
    </xsd:element>
    <xsd:element name="Current_x0020_Revision_x0020__x0020__x0023_" ma:index="15" ma:displayName="Current Revision  #" ma:internalName="Current_x0020_Revision_x0020__x0020__x0023_" ma:readOnly="false" ma:percentage="FALSE">
      <xsd:simpleType>
        <xsd:restriction base="dms:Number"/>
      </xsd:simpleType>
    </xsd:element>
    <xsd:element name="Sort_x0020_Order" ma:index="16" nillable="true" ma:displayName="Sort Order" ma:internalName="Sort_x0020_Order" ma:readOnly="false" ma:percentage="FALSE">
      <xsd:simpleType>
        <xsd:restriction base="dms:Number"/>
      </xsd:simpleType>
    </xsd:element>
    <xsd:element name="p619803c748e4d92b6af1ae85a02080c" ma:index="22" nillable="true" ma:displayName="PIB Keywords_0" ma:hidden="true" ma:internalName="p619803c748e4d92b6af1ae85a02080c" ma:readOnly="fals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ab153-e312-4c60-80d4-93731119b3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4d36d2-7dd2-494f-b62e-8b58909672d3}" ma:internalName="TaxCatchAll" ma:showField="CatchAllData" ma:web="056ab153-e312-4c60-80d4-93731119b395">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Document_x0020_Set" ma:index="29" nillable="true" ma:displayName="Document Set" ma:description="Used to bind one or more child documents with a parent document for grouping purposes.  Enter the same parent document name as the Document Set for the parent document and each child document." ma:internalName="Document_x0020_S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French</Language>
    <Document_x0020_Set xmlns="056ab153-e312-4c60-80d4-93731119b395" xsi:nil="true"/>
    <TaxCatchAll xmlns="056ab153-e312-4c60-80d4-93731119b395">
      <Value>41</Value>
      <Value>163</Value>
    </TaxCatchAll>
    <Document_x0020_ID xmlns="df891eeb-4300-4ca2-8b5b-1cd851ee9595">Sub.Temp.436.Fr</Document_x0020_ID>
    <p619803c748e4d92b6af1ae85a02080c xmlns="df891eeb-4300-4ca2-8b5b-1cd851ee9595">Request for Proposal (RFP)|f775a432-4ad8-4626-8b2e-fa5efdc99538;Subcontract|d0b127a3-807d-4c55-8fd8-be8d46473e60</p619803c748e4d92b6af1ae85a02080c>
    <Process_x0020_Area xmlns="df891eeb-4300-4ca2-8b5b-1cd851ee9595">
      <Value>Subcontracts</Value>
    </Process_x0020_Area>
    <Current_x0020_Revision_x0020__x0020__x0023_ xmlns="df891eeb-4300-4ca2-8b5b-1cd851ee9595">1</Current_x0020_Revision_x0020__x0020__x0023_>
    <Document_x0020_ID_x0020__x0023_ xmlns="df891eeb-4300-4ca2-8b5b-1cd851ee9595">436</Document_x0020_ID_x0020__x0023_>
    <Document_x0020_Type xmlns="df891eeb-4300-4ca2-8b5b-1cd851ee9595">Template</Document_x0020_Type>
    <Project_x0020_Phase xmlns="df891eeb-4300-4ca2-8b5b-1cd851ee9595">
      <Value>Startup</Value>
      <Value>Implementation</Value>
    </Project_x0020_Phase>
    <Home_x0020_Office_x0020_Department0 xmlns="df891eeb-4300-4ca2-8b5b-1cd851ee9595">Contracts, Grants and Procurement (CGP)</Home_x0020_Office_x0020_Department0>
    <Applicability xmlns="df891eeb-4300-4ca2-8b5b-1cd851ee9595">Field and Home Office</Applicability>
    <Document_x0020_Sub_x002d_Type xmlns="df891eeb-4300-4ca2-8b5b-1cd851ee9595" xsi:nil="true"/>
    <Document_x0020_Status xmlns="df891eeb-4300-4ca2-8b5b-1cd851ee9595">Published</Document_x0020_Status>
    <Sort_x0020_Order xmlns="df891eeb-4300-4ca2-8b5b-1cd851ee959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E85B0-D570-4657-A47D-2E95962B0D8E}">
  <ds:schemaRefs>
    <ds:schemaRef ds:uri="http://schemas.openxmlformats.org/officeDocument/2006/bibliography"/>
  </ds:schemaRefs>
</ds:datastoreItem>
</file>

<file path=customXml/itemProps2.xml><?xml version="1.0" encoding="utf-8"?>
<ds:datastoreItem xmlns:ds="http://schemas.openxmlformats.org/officeDocument/2006/customXml" ds:itemID="{4DBA438B-71FA-4B04-8AC9-B53FF8B1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91eeb-4300-4ca2-8b5b-1cd851ee9595"/>
    <ds:schemaRef ds:uri="056ab153-e312-4c60-80d4-93731119b3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C4306-5699-4DAB-AB85-4753FCAA9CB2}">
  <ds:schemaRefs>
    <ds:schemaRef ds:uri="http://schemas.microsoft.com/office/2006/metadata/properties"/>
    <ds:schemaRef ds:uri="http://schemas.microsoft.com/office/infopath/2007/PartnerControls"/>
    <ds:schemaRef ds:uri="http://schemas.microsoft.com/sharepoint/v3"/>
    <ds:schemaRef ds:uri="056ab153-e312-4c60-80d4-93731119b395"/>
    <ds:schemaRef ds:uri="df891eeb-4300-4ca2-8b5b-1cd851ee9595"/>
    <ds:schemaRef ds:uri="http://schemas.microsoft.com/sharepoint/v4"/>
  </ds:schemaRefs>
</ds:datastoreItem>
</file>

<file path=customXml/itemProps4.xml><?xml version="1.0" encoding="utf-8"?>
<ds:datastoreItem xmlns:ds="http://schemas.openxmlformats.org/officeDocument/2006/customXml" ds:itemID="{B98D7A81-AE33-47F1-9A28-1BEB72CF8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8086</Words>
  <Characters>44476</Characters>
  <Application>Microsoft Office Word</Application>
  <DocSecurity>0</DocSecurity>
  <Lines>370</Lines>
  <Paragraphs>104</Paragraphs>
  <ScaleCrop>false</ScaleCrop>
  <Company>Hewlett-Packard</Company>
  <LinksUpToDate>false</LinksUpToDate>
  <CharactersWithSpaces>52458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demande de soumission</dc:title>
  <dc:creator>Hendel, Sarah</dc:creator>
  <cp:lastModifiedBy>Mek Nzuzi</cp:lastModifiedBy>
  <cp:revision>2</cp:revision>
  <cp:lastPrinted>2012-10-26T12:13:00Z</cp:lastPrinted>
  <dcterms:created xsi:type="dcterms:W3CDTF">2024-11-07T12:18:00Z</dcterms:created>
  <dcterms:modified xsi:type="dcterms:W3CDTF">2024-11-07T12:18:00Z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0x010100CA915A7A66B5A14F9E9B2C37BFE8B794</vt:lpwstr>
  </property>
  <property fmtid="{D5CDD505-2E9C-101B-9397-08002B2CF9AE}" pid="3" name="PIB_x0020_Keywords">
    <vt:lpwstr>83;#Request for Proposal (RFP)|a7598811-21e9-41d1-9ba2-b738c4ac16d5;#61;#Subcontract|be0f859b-a066-410a-b450-a1fbe9043432</vt:lpwstr>
  </property>
  <property fmtid="{D5CDD505-2E9C-101B-9397-08002B2CF9AE}" pid="4" name="PIB Keywords">
    <vt:lpwstr>163;#Request for Proposal (RFP)|f775a432-4ad8-4626-8b2e-fa5efdc99538;#41;#Subcontract|d0b127a3-807d-4c55-8fd8-be8d46473e60</vt:lpwstr>
  </property>
  <property fmtid="{D5CDD505-2E9C-101B-9397-08002B2CF9AE}" pid="5" name="Order">
    <vt:r8>100</vt:r8>
  </property>
</Properties>
</file>