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A7FDA" w14:textId="39F44B40" w:rsidR="00AA64FE" w:rsidRPr="00AA64FE" w:rsidRDefault="00AA64FE" w:rsidP="00AA64FE">
      <w:pPr>
        <w:pStyle w:val="Heading1"/>
        <w:ind w:right="721"/>
        <w:jc w:val="both"/>
        <w:rPr>
          <w:rFonts w:ascii="Gill Sans MT" w:eastAsia="Gill Sans MT" w:hAnsi="Gill Sans MT" w:cs="Gill Sans MT"/>
          <w:b/>
          <w:bCs/>
          <w:color w:val="auto"/>
          <w:sz w:val="22"/>
          <w:szCs w:val="22"/>
          <w:lang w:val="fr-CD"/>
        </w:rPr>
      </w:pPr>
      <w:bookmarkStart w:id="0" w:name="_Hlk182148612"/>
      <w:r w:rsidRPr="00AA64FE">
        <w:rPr>
          <w:rFonts w:ascii="Gill Sans MT" w:eastAsia="Gill Sans MT" w:hAnsi="Gill Sans MT" w:cs="Gill Sans MT"/>
          <w:b/>
          <w:bCs/>
          <w:color w:val="auto"/>
          <w:sz w:val="22"/>
          <w:szCs w:val="22"/>
          <w:lang w:val="fr-CD"/>
        </w:rPr>
        <w:t>ANNEXE</w:t>
      </w:r>
      <w:r>
        <w:rPr>
          <w:rFonts w:ascii="Gill Sans MT" w:eastAsia="Gill Sans MT" w:hAnsi="Gill Sans MT" w:cs="Gill Sans MT"/>
          <w:b/>
          <w:bCs/>
          <w:color w:val="auto"/>
          <w:sz w:val="22"/>
          <w:szCs w:val="22"/>
          <w:lang w:val="fr-CD"/>
        </w:rPr>
        <w:t>.</w:t>
      </w:r>
      <w:r w:rsidRPr="00AA64FE">
        <w:rPr>
          <w:rFonts w:ascii="Gill Sans MT" w:eastAsia="Gill Sans MT" w:hAnsi="Gill Sans MT" w:cs="Gill Sans MT"/>
          <w:b/>
          <w:bCs/>
          <w:color w:val="auto"/>
          <w:sz w:val="22"/>
          <w:szCs w:val="22"/>
          <w:lang w:val="fr-CD"/>
        </w:rPr>
        <w:t xml:space="preserve"> I : PRE-REQUIS</w:t>
      </w:r>
    </w:p>
    <w:p w14:paraId="7767A9AE" w14:textId="77777777" w:rsidR="00AA64FE" w:rsidRDefault="00AA64FE" w:rsidP="00AA64FE">
      <w:pPr>
        <w:jc w:val="both"/>
        <w:rPr>
          <w:b/>
          <w:bCs/>
          <w:lang w:val="fr-CD"/>
        </w:rPr>
      </w:pPr>
    </w:p>
    <w:p w14:paraId="5EE57018" w14:textId="77777777" w:rsidR="00AA64FE" w:rsidRPr="00364A3F" w:rsidRDefault="00AA64FE" w:rsidP="00AA64FE">
      <w:pPr>
        <w:jc w:val="both"/>
        <w:rPr>
          <w:b/>
          <w:bCs/>
          <w:lang w:val="fr-CD"/>
        </w:rPr>
      </w:pPr>
      <w:r w:rsidRPr="00364A3F">
        <w:rPr>
          <w:b/>
          <w:bCs/>
          <w:lang w:val="fr-CD"/>
        </w:rPr>
        <w:t>Organismes admissibles au financement</w:t>
      </w:r>
    </w:p>
    <w:p w14:paraId="230A3A89" w14:textId="77777777" w:rsidR="00AA64FE" w:rsidRPr="00364A3F" w:rsidRDefault="00AA64FE" w:rsidP="00AA64FE">
      <w:pPr>
        <w:jc w:val="both"/>
        <w:rPr>
          <w:b/>
          <w:bCs/>
          <w:lang w:val="fr-CD"/>
        </w:rPr>
      </w:pPr>
    </w:p>
    <w:p w14:paraId="5A74703C" w14:textId="77777777" w:rsidR="00AA64FE" w:rsidRPr="00FB7AFC" w:rsidRDefault="00AA64FE" w:rsidP="00AA64FE">
      <w:pPr>
        <w:jc w:val="both"/>
        <w:rPr>
          <w:lang w:val="fr-CD"/>
        </w:rPr>
      </w:pPr>
      <w:r w:rsidRPr="00FB7AFC">
        <w:rPr>
          <w:lang w:val="fr-CD"/>
        </w:rPr>
        <w:t>L</w:t>
      </w:r>
      <w:r>
        <w:rPr>
          <w:lang w:val="fr-CD"/>
        </w:rPr>
        <w:t>e</w:t>
      </w:r>
      <w:r w:rsidRPr="00FB7AFC">
        <w:rPr>
          <w:lang w:val="fr-CD"/>
        </w:rPr>
        <w:t xml:space="preserve"> présent</w:t>
      </w:r>
      <w:r>
        <w:rPr>
          <w:lang w:val="fr-CD"/>
        </w:rPr>
        <w:t xml:space="preserve"> Appel à Partenariat </w:t>
      </w:r>
      <w:r w:rsidRPr="00FB7AFC">
        <w:rPr>
          <w:lang w:val="fr-CD"/>
        </w:rPr>
        <w:t xml:space="preserve">vise à financer des objectifs précis. </w:t>
      </w:r>
    </w:p>
    <w:p w14:paraId="40029F2A" w14:textId="77777777" w:rsidR="00AA64FE" w:rsidRDefault="00AA64FE" w:rsidP="00AA64FE">
      <w:pPr>
        <w:jc w:val="both"/>
        <w:rPr>
          <w:lang w:val="fr-CD"/>
        </w:rPr>
      </w:pPr>
    </w:p>
    <w:p w14:paraId="3FA0E147" w14:textId="77777777" w:rsidR="00AA64FE" w:rsidRPr="00364A3F" w:rsidRDefault="00AA64FE" w:rsidP="00AA64FE">
      <w:pPr>
        <w:jc w:val="both"/>
        <w:rPr>
          <w:b/>
          <w:bCs/>
          <w:lang w:val="fr-CD"/>
        </w:rPr>
      </w:pPr>
      <w:r>
        <w:rPr>
          <w:b/>
          <w:bCs/>
          <w:lang w:val="fr-CD"/>
        </w:rPr>
        <w:t>a</w:t>
      </w:r>
      <w:r w:rsidRPr="00364A3F">
        <w:rPr>
          <w:b/>
          <w:bCs/>
          <w:lang w:val="fr-CD"/>
        </w:rPr>
        <w:t>. Entités admissibles</w:t>
      </w:r>
    </w:p>
    <w:p w14:paraId="19EF4486" w14:textId="77777777" w:rsidR="00AA64FE" w:rsidRPr="00FB7AFC" w:rsidRDefault="00AA64FE" w:rsidP="00AA64FE">
      <w:pPr>
        <w:jc w:val="both"/>
        <w:rPr>
          <w:lang w:val="fr-CD"/>
        </w:rPr>
      </w:pPr>
    </w:p>
    <w:p w14:paraId="0B249975" w14:textId="77777777" w:rsidR="00AA64FE" w:rsidRDefault="00AA64FE" w:rsidP="00AA64FE">
      <w:pPr>
        <w:jc w:val="both"/>
        <w:rPr>
          <w:lang w:val="fr-CD"/>
        </w:rPr>
      </w:pPr>
      <w:r w:rsidRPr="00FB7AFC">
        <w:rPr>
          <w:lang w:val="fr-CD"/>
        </w:rPr>
        <w:t>Les entités admissibles à présenter une demande de subvention en vertu du présent AP</w:t>
      </w:r>
      <w:r>
        <w:rPr>
          <w:lang w:val="fr-CD"/>
        </w:rPr>
        <w:t>S</w:t>
      </w:r>
      <w:r w:rsidRPr="00FB7AFC">
        <w:rPr>
          <w:lang w:val="fr-CD"/>
        </w:rPr>
        <w:t>-001 comprennent des organisations ayant les qualifications et caractéristiques suivantes :</w:t>
      </w:r>
    </w:p>
    <w:p w14:paraId="161FC9A4" w14:textId="77777777" w:rsidR="00AA64FE" w:rsidRPr="00FB7AFC" w:rsidRDefault="00AA64FE" w:rsidP="00AA64FE">
      <w:pPr>
        <w:jc w:val="both"/>
        <w:rPr>
          <w:lang w:val="fr-CD"/>
        </w:rPr>
      </w:pPr>
    </w:p>
    <w:p w14:paraId="5C874B87" w14:textId="77777777" w:rsidR="00AA64FE" w:rsidRPr="00FB7AFC" w:rsidRDefault="00AA64FE" w:rsidP="00AA64FE">
      <w:pPr>
        <w:jc w:val="both"/>
        <w:rPr>
          <w:lang w:val="fr-CD"/>
        </w:rPr>
      </w:pPr>
      <w:r w:rsidRPr="00FB7AFC">
        <w:rPr>
          <w:lang w:val="fr-CD"/>
        </w:rPr>
        <w:t>1. Légalement enregistré auprès du gouvernement hôte</w:t>
      </w:r>
    </w:p>
    <w:p w14:paraId="4D6967AA" w14:textId="77777777" w:rsidR="00AA64FE" w:rsidRPr="00FB7AFC" w:rsidRDefault="00AA64FE" w:rsidP="00AA64FE">
      <w:pPr>
        <w:jc w:val="both"/>
        <w:rPr>
          <w:lang w:val="fr-CD"/>
        </w:rPr>
      </w:pPr>
      <w:r w:rsidRPr="00FB7AFC">
        <w:rPr>
          <w:lang w:val="fr-CD"/>
        </w:rPr>
        <w:t>2. Avoir du personnel à temps plein pour les programmes et les opérations</w:t>
      </w:r>
    </w:p>
    <w:p w14:paraId="5FBAB4A1" w14:textId="77777777" w:rsidR="00AA64FE" w:rsidRPr="00FB7AFC" w:rsidRDefault="00AA64FE" w:rsidP="00AA64FE">
      <w:pPr>
        <w:jc w:val="both"/>
        <w:rPr>
          <w:lang w:val="fr-CD"/>
        </w:rPr>
      </w:pPr>
      <w:r w:rsidRPr="00FB7AFC">
        <w:rPr>
          <w:lang w:val="fr-CD"/>
        </w:rPr>
        <w:t>3. Expérience dans un domaine d’expertise pertinent</w:t>
      </w:r>
    </w:p>
    <w:p w14:paraId="18B07675" w14:textId="77777777" w:rsidR="00AA64FE" w:rsidRPr="00FB7AFC" w:rsidRDefault="00AA64FE" w:rsidP="00AA64FE">
      <w:pPr>
        <w:jc w:val="both"/>
        <w:rPr>
          <w:lang w:val="fr-CD"/>
        </w:rPr>
      </w:pPr>
      <w:r w:rsidRPr="00FB7AFC">
        <w:rPr>
          <w:lang w:val="fr-CD"/>
        </w:rPr>
        <w:t>4. Expérience de la mise en œuvre d’activités semblables ou pertinentes à celles proposées dans leur demande au cours</w:t>
      </w:r>
    </w:p>
    <w:p w14:paraId="44BD248B" w14:textId="77777777" w:rsidR="00AA64FE" w:rsidRDefault="00AA64FE" w:rsidP="00AA64FE">
      <w:pPr>
        <w:jc w:val="both"/>
        <w:rPr>
          <w:lang w:val="fr-CD"/>
        </w:rPr>
      </w:pPr>
    </w:p>
    <w:p w14:paraId="272FD19F" w14:textId="77777777" w:rsidR="00AA64FE" w:rsidRDefault="00AA64FE" w:rsidP="00AA64FE">
      <w:pPr>
        <w:jc w:val="both"/>
        <w:rPr>
          <w:lang w:val="fr-CD"/>
        </w:rPr>
      </w:pPr>
      <w:r w:rsidRPr="000B2A0E">
        <w:rPr>
          <w:lang w:val="fr-CD"/>
        </w:rPr>
        <w:t xml:space="preserve">Les candidats peuvent inclure des universités privées, des instituts de recherche, des groupes de réflexion et des organisations de la société civile (OSC) à condition qu’ils soient légalement enregistrés en République </w:t>
      </w:r>
      <w:r>
        <w:rPr>
          <w:lang w:val="fr-CD"/>
        </w:rPr>
        <w:t>D</w:t>
      </w:r>
      <w:r w:rsidRPr="000B2A0E">
        <w:rPr>
          <w:lang w:val="fr-CD"/>
        </w:rPr>
        <w:t xml:space="preserve">émocratique du Congo ou autrement reconnus par les lois locales. </w:t>
      </w:r>
    </w:p>
    <w:p w14:paraId="70899487" w14:textId="77777777" w:rsidR="00AA64FE" w:rsidRDefault="00AA64FE" w:rsidP="00AA64FE">
      <w:pPr>
        <w:jc w:val="both"/>
        <w:rPr>
          <w:lang w:val="fr-CD"/>
        </w:rPr>
      </w:pPr>
    </w:p>
    <w:p w14:paraId="69140217" w14:textId="77777777" w:rsidR="00AA64FE" w:rsidRDefault="00AA64FE" w:rsidP="00AA64FE">
      <w:pPr>
        <w:jc w:val="both"/>
        <w:rPr>
          <w:lang w:val="fr-CD"/>
        </w:rPr>
      </w:pPr>
      <w:r w:rsidRPr="000B2A0E">
        <w:rPr>
          <w:lang w:val="fr-CD"/>
        </w:rPr>
        <w:t>Les fonds de subvention accordés en vertu du présent APS-001 ne peuvent être utilisés pour réaliser des</w:t>
      </w:r>
      <w:r>
        <w:rPr>
          <w:lang w:val="fr-CD"/>
        </w:rPr>
        <w:t xml:space="preserve"> </w:t>
      </w:r>
      <w:r w:rsidRPr="000B2A0E">
        <w:rPr>
          <w:lang w:val="fr-CD"/>
        </w:rPr>
        <w:t>bénéfices.</w:t>
      </w:r>
      <w:r>
        <w:rPr>
          <w:lang w:val="fr-CD"/>
        </w:rPr>
        <w:t xml:space="preserve"> </w:t>
      </w:r>
      <w:r w:rsidRPr="000B2A0E">
        <w:rPr>
          <w:lang w:val="fr-CD"/>
        </w:rPr>
        <w:t>Les organisations religieuses sont admissibles à participer sur la même base que toute autre organisation, sans égard à leur caractère ou affiliation religieux.</w:t>
      </w:r>
    </w:p>
    <w:p w14:paraId="3FA120B8" w14:textId="77777777" w:rsidR="00AA64FE" w:rsidRDefault="00AA64FE" w:rsidP="00AA64FE">
      <w:pPr>
        <w:jc w:val="both"/>
        <w:rPr>
          <w:lang w:val="fr-CD"/>
        </w:rPr>
      </w:pPr>
    </w:p>
    <w:p w14:paraId="2371100E" w14:textId="77777777" w:rsidR="00AA64FE" w:rsidRDefault="00AA64FE" w:rsidP="00AA64FE">
      <w:pPr>
        <w:jc w:val="both"/>
        <w:rPr>
          <w:lang w:val="fr-CD"/>
        </w:rPr>
      </w:pPr>
      <w:r w:rsidRPr="000B2A0E">
        <w:rPr>
          <w:lang w:val="fr-CD"/>
        </w:rPr>
        <w:t>Les organisations religieuses ne peuvent pas utiliser de subventions pour soutenir des activités explicitement religieuses, mais elles sont libres de s’engager dans ces activités.</w:t>
      </w:r>
      <w:r>
        <w:rPr>
          <w:lang w:val="fr-CD"/>
        </w:rPr>
        <w:t xml:space="preserve"> </w:t>
      </w:r>
      <w:r w:rsidRPr="000B2A0E">
        <w:rPr>
          <w:lang w:val="fr-CD"/>
        </w:rPr>
        <w:t>Les demandeurs peuvent proposer de travailler avec des OSC et des organisations communautaires plus petites ou locales dans le cadre de consortiums, enregistrés ou informels.</w:t>
      </w:r>
    </w:p>
    <w:p w14:paraId="4381C16D" w14:textId="77777777" w:rsidR="00AA64FE" w:rsidRPr="006B3153" w:rsidRDefault="00AA64FE" w:rsidP="00AA64FE">
      <w:pPr>
        <w:jc w:val="both"/>
        <w:rPr>
          <w:b/>
          <w:bCs/>
          <w:lang w:val="fr-CD"/>
        </w:rPr>
      </w:pPr>
      <w:r w:rsidRPr="00AA64FE">
        <w:rPr>
          <w:lang w:val="fr-CD"/>
        </w:rPr>
        <w:br/>
      </w:r>
      <w:r w:rsidRPr="006B3153">
        <w:rPr>
          <w:b/>
          <w:bCs/>
          <w:lang w:val="fr-CD"/>
        </w:rPr>
        <w:t>b.  Entités non admissibles</w:t>
      </w:r>
    </w:p>
    <w:p w14:paraId="63E6525B" w14:textId="77777777" w:rsidR="00AA64FE" w:rsidRDefault="00AA64FE" w:rsidP="00AA64FE">
      <w:pPr>
        <w:tabs>
          <w:tab w:val="left" w:pos="1276"/>
        </w:tabs>
        <w:jc w:val="both"/>
        <w:rPr>
          <w:lang w:val="fr-CD"/>
        </w:rPr>
      </w:pPr>
    </w:p>
    <w:p w14:paraId="15F24C25" w14:textId="77777777" w:rsidR="00AA64FE" w:rsidRPr="006B3153" w:rsidRDefault="00AA64FE" w:rsidP="00AA64FE">
      <w:pPr>
        <w:tabs>
          <w:tab w:val="left" w:pos="1276"/>
        </w:tabs>
        <w:jc w:val="both"/>
        <w:rPr>
          <w:lang w:val="fr-CD"/>
        </w:rPr>
      </w:pPr>
      <w:r w:rsidRPr="006B3153">
        <w:rPr>
          <w:lang w:val="fr-CD"/>
        </w:rPr>
        <w:t>Les entités suivantes ne sont pas admissibles au soutien financier : partis ou organisations politiques; organisations qui défendent, promeuvent ou adoptent des politiques antidémocratiques ou des activités illégales; organisations confessionnelles dont les programmes et services comportent une discrimination fondée sur la religion, et dont l’objectif principal de la subvention est de nature religieuse; et toute entité dont le nom figure sur les listes de sanctions, telles que celles maintenues par le Comité 1267 des Nations Unies à l’égard des personnes, groupes, entreprises et autres entités associées à Al-Qaida</w:t>
      </w:r>
      <w:r>
        <w:rPr>
          <w:lang w:val="fr-CD"/>
        </w:rPr>
        <w:t xml:space="preserve"> </w:t>
      </w:r>
      <w:r w:rsidRPr="006B3153">
        <w:rPr>
          <w:lang w:val="fr-CD"/>
        </w:rPr>
        <w:t>https://www.un.org/sc/suborg/sites/www.un.org.sc.suborg/files/1267.htm).</w:t>
      </w:r>
    </w:p>
    <w:p w14:paraId="0B5FEE2D" w14:textId="77777777" w:rsidR="00AA64FE" w:rsidRPr="006B3153" w:rsidRDefault="00AA64FE" w:rsidP="00AA64FE">
      <w:pPr>
        <w:jc w:val="both"/>
        <w:rPr>
          <w:lang w:val="fr-CD"/>
        </w:rPr>
      </w:pPr>
    </w:p>
    <w:p w14:paraId="7A40F9CE" w14:textId="77777777" w:rsidR="00AA64FE" w:rsidRPr="00FC49C0" w:rsidRDefault="00AA64FE" w:rsidP="00AA64FE">
      <w:pPr>
        <w:jc w:val="both"/>
        <w:rPr>
          <w:b/>
          <w:bCs/>
          <w:lang w:val="fr-CD"/>
        </w:rPr>
      </w:pPr>
      <w:r w:rsidRPr="00FC49C0">
        <w:rPr>
          <w:b/>
          <w:bCs/>
          <w:lang w:val="fr-CD"/>
        </w:rPr>
        <w:t>Activités admissibles et non admissibles</w:t>
      </w:r>
    </w:p>
    <w:p w14:paraId="29BC3C4A" w14:textId="77777777" w:rsidR="00AA64FE" w:rsidRPr="006B3153" w:rsidRDefault="00AA64FE" w:rsidP="00AA64FE">
      <w:pPr>
        <w:tabs>
          <w:tab w:val="left" w:pos="1276"/>
        </w:tabs>
        <w:jc w:val="both"/>
        <w:rPr>
          <w:lang w:val="fr-CD"/>
        </w:rPr>
      </w:pPr>
    </w:p>
    <w:p w14:paraId="35619E74" w14:textId="77777777" w:rsidR="00AA64FE" w:rsidRPr="006B3153" w:rsidRDefault="00AA64FE" w:rsidP="00AA64FE">
      <w:pPr>
        <w:tabs>
          <w:tab w:val="left" w:pos="1276"/>
        </w:tabs>
        <w:jc w:val="both"/>
        <w:rPr>
          <w:lang w:val="fr-CD"/>
        </w:rPr>
      </w:pPr>
      <w:r w:rsidRPr="006B3153">
        <w:rPr>
          <w:lang w:val="fr-CD"/>
        </w:rPr>
        <w:t xml:space="preserve">Les activités admissibles au financement comprennent celles qui appuient les objectifs énoncés dans le présent </w:t>
      </w:r>
      <w:r>
        <w:rPr>
          <w:lang w:val="fr-CD"/>
        </w:rPr>
        <w:t>A</w:t>
      </w:r>
      <w:r w:rsidRPr="006B3153">
        <w:rPr>
          <w:lang w:val="fr-CD"/>
        </w:rPr>
        <w:t xml:space="preserve">vis de financement et les buts du </w:t>
      </w:r>
      <w:r>
        <w:rPr>
          <w:lang w:val="fr-CD"/>
        </w:rPr>
        <w:t>P</w:t>
      </w:r>
      <w:r w:rsidRPr="006B3153">
        <w:rPr>
          <w:lang w:val="fr-CD"/>
        </w:rPr>
        <w:t>rojet. Les achats ou activités qui ne sont pas nécessaires pour atteindre les objectifs du présent programme de subventions sont considérés comme des activités non admissibles.</w:t>
      </w:r>
    </w:p>
    <w:p w14:paraId="7D088B20" w14:textId="77777777" w:rsidR="00AA64FE" w:rsidRDefault="00AA64FE" w:rsidP="00AA64FE">
      <w:pPr>
        <w:tabs>
          <w:tab w:val="left" w:pos="1276"/>
        </w:tabs>
        <w:jc w:val="both"/>
        <w:rPr>
          <w:lang w:val="fr-CD"/>
        </w:rPr>
      </w:pPr>
    </w:p>
    <w:p w14:paraId="4BCE334D" w14:textId="77777777" w:rsidR="00AA64FE" w:rsidRPr="006B3153" w:rsidRDefault="00AA64FE" w:rsidP="00AA64FE">
      <w:pPr>
        <w:tabs>
          <w:tab w:val="left" w:pos="1276"/>
        </w:tabs>
        <w:jc w:val="both"/>
        <w:rPr>
          <w:lang w:val="fr-CD"/>
        </w:rPr>
      </w:pPr>
      <w:r w:rsidRPr="006B3153">
        <w:rPr>
          <w:lang w:val="fr-CD"/>
        </w:rPr>
        <w:t>Les postes de coût particuliers qui ne sont pas admissibles en vertu d’une subvention comprennent :</w:t>
      </w:r>
    </w:p>
    <w:p w14:paraId="4092E15F" w14:textId="77777777" w:rsidR="00AA64FE" w:rsidRPr="00FC49C0" w:rsidRDefault="00AA64FE" w:rsidP="00AA64FE">
      <w:pPr>
        <w:pStyle w:val="ListParagraph"/>
        <w:numPr>
          <w:ilvl w:val="0"/>
          <w:numId w:val="1"/>
        </w:numPr>
        <w:contextualSpacing w:val="0"/>
        <w:jc w:val="both"/>
        <w:rPr>
          <w:lang w:val="fr-CD"/>
        </w:rPr>
      </w:pPr>
      <w:proofErr w:type="gramStart"/>
      <w:r w:rsidRPr="00FC49C0">
        <w:rPr>
          <w:lang w:val="fr-CD"/>
        </w:rPr>
        <w:t>profit</w:t>
      </w:r>
      <w:proofErr w:type="gramEnd"/>
      <w:r w:rsidRPr="00FC49C0">
        <w:rPr>
          <w:lang w:val="fr-CD"/>
        </w:rPr>
        <w:t xml:space="preserve"> ou frais</w:t>
      </w:r>
    </w:p>
    <w:p w14:paraId="5DDCCF87" w14:textId="77777777" w:rsidR="00AA64FE" w:rsidRPr="00FC49C0" w:rsidRDefault="00AA64FE" w:rsidP="00AA64FE">
      <w:pPr>
        <w:pStyle w:val="ListParagraph"/>
        <w:numPr>
          <w:ilvl w:val="2"/>
          <w:numId w:val="2"/>
        </w:numPr>
        <w:contextualSpacing w:val="0"/>
        <w:jc w:val="both"/>
        <w:rPr>
          <w:lang w:val="fr-CD"/>
        </w:rPr>
      </w:pPr>
      <w:proofErr w:type="gramStart"/>
      <w:r w:rsidRPr="00FC49C0">
        <w:rPr>
          <w:lang w:val="fr-CD"/>
        </w:rPr>
        <w:t>les</w:t>
      </w:r>
      <w:proofErr w:type="gramEnd"/>
      <w:r w:rsidRPr="00FC49C0">
        <w:rPr>
          <w:lang w:val="fr-CD"/>
        </w:rPr>
        <w:t xml:space="preserve"> coûts de préparation des demandes</w:t>
      </w:r>
    </w:p>
    <w:p w14:paraId="7B125BF6" w14:textId="77777777" w:rsidR="00AA64FE" w:rsidRPr="00FC49C0" w:rsidRDefault="00AA64FE" w:rsidP="00AA64FE">
      <w:pPr>
        <w:pStyle w:val="ListParagraph"/>
        <w:numPr>
          <w:ilvl w:val="2"/>
          <w:numId w:val="2"/>
        </w:numPr>
        <w:contextualSpacing w:val="0"/>
        <w:jc w:val="both"/>
        <w:rPr>
          <w:lang w:val="fr-CD"/>
        </w:rPr>
      </w:pPr>
      <w:proofErr w:type="gramStart"/>
      <w:r w:rsidRPr="00FC49C0">
        <w:rPr>
          <w:lang w:val="fr-CD"/>
        </w:rPr>
        <w:t>le</w:t>
      </w:r>
      <w:proofErr w:type="gramEnd"/>
      <w:r w:rsidRPr="00FC49C0">
        <w:rPr>
          <w:lang w:val="fr-CD"/>
        </w:rPr>
        <w:t xml:space="preserve"> paiement des dettes</w:t>
      </w:r>
    </w:p>
    <w:p w14:paraId="0A5ED81E" w14:textId="77777777" w:rsidR="00AA64FE" w:rsidRPr="00FC49C0" w:rsidRDefault="00AA64FE" w:rsidP="00AA64FE">
      <w:pPr>
        <w:pStyle w:val="ListParagraph"/>
        <w:numPr>
          <w:ilvl w:val="2"/>
          <w:numId w:val="2"/>
        </w:numPr>
        <w:contextualSpacing w:val="0"/>
        <w:jc w:val="both"/>
        <w:rPr>
          <w:lang w:val="fr-CD"/>
        </w:rPr>
      </w:pPr>
      <w:proofErr w:type="gramStart"/>
      <w:r w:rsidRPr="00FC49C0">
        <w:rPr>
          <w:lang w:val="fr-CD"/>
        </w:rPr>
        <w:lastRenderedPageBreak/>
        <w:t>élections</w:t>
      </w:r>
      <w:proofErr w:type="gramEnd"/>
      <w:r w:rsidRPr="00FC49C0">
        <w:rPr>
          <w:lang w:val="fr-CD"/>
        </w:rPr>
        <w:t xml:space="preserve"> politiques</w:t>
      </w:r>
    </w:p>
    <w:p w14:paraId="7395B22A" w14:textId="77777777" w:rsidR="00AA64FE" w:rsidRPr="00FC49C0" w:rsidRDefault="00AA64FE" w:rsidP="00AA64FE">
      <w:pPr>
        <w:pStyle w:val="ListParagraph"/>
        <w:numPr>
          <w:ilvl w:val="2"/>
          <w:numId w:val="2"/>
        </w:numPr>
        <w:contextualSpacing w:val="0"/>
        <w:jc w:val="both"/>
        <w:rPr>
          <w:lang w:val="fr-CD"/>
        </w:rPr>
      </w:pPr>
      <w:r w:rsidRPr="00FC49C0">
        <w:rPr>
          <w:lang w:val="fr-CD"/>
        </w:rPr>
        <w:t>Frais pour les représentants publics et élus du gouvernement</w:t>
      </w:r>
    </w:p>
    <w:p w14:paraId="50E0E919" w14:textId="77777777" w:rsidR="00AA64FE" w:rsidRPr="00FC49C0" w:rsidRDefault="00AA64FE" w:rsidP="00AA64FE">
      <w:pPr>
        <w:pStyle w:val="ListParagraph"/>
        <w:numPr>
          <w:ilvl w:val="2"/>
          <w:numId w:val="2"/>
        </w:numPr>
        <w:contextualSpacing w:val="0"/>
        <w:jc w:val="both"/>
        <w:rPr>
          <w:lang w:val="fr-CD"/>
        </w:rPr>
      </w:pPr>
      <w:proofErr w:type="gramStart"/>
      <w:r w:rsidRPr="00FC49C0">
        <w:rPr>
          <w:lang w:val="fr-CD"/>
        </w:rPr>
        <w:t>amendes</w:t>
      </w:r>
      <w:proofErr w:type="gramEnd"/>
      <w:r w:rsidRPr="00FC49C0">
        <w:rPr>
          <w:lang w:val="fr-CD"/>
        </w:rPr>
        <w:t xml:space="preserve"> et pénalités</w:t>
      </w:r>
    </w:p>
    <w:p w14:paraId="5F5B3707" w14:textId="77777777" w:rsidR="00AA64FE" w:rsidRPr="00FC49C0" w:rsidRDefault="00AA64FE" w:rsidP="00AA64FE">
      <w:pPr>
        <w:pStyle w:val="ListParagraph"/>
        <w:numPr>
          <w:ilvl w:val="2"/>
          <w:numId w:val="2"/>
        </w:numPr>
        <w:contextualSpacing w:val="0"/>
        <w:jc w:val="both"/>
        <w:rPr>
          <w:lang w:val="fr-CD"/>
        </w:rPr>
      </w:pPr>
      <w:proofErr w:type="gramStart"/>
      <w:r w:rsidRPr="00FC49C0">
        <w:rPr>
          <w:lang w:val="fr-CD"/>
        </w:rPr>
        <w:t>création</w:t>
      </w:r>
      <w:proofErr w:type="gramEnd"/>
      <w:r w:rsidRPr="00FC49C0">
        <w:rPr>
          <w:lang w:val="fr-CD"/>
        </w:rPr>
        <w:t xml:space="preserve"> de fonds de dotation</w:t>
      </w:r>
    </w:p>
    <w:p w14:paraId="495AE44E" w14:textId="77777777" w:rsidR="00AA64FE" w:rsidRPr="00FC49C0" w:rsidRDefault="00AA64FE" w:rsidP="00AA64FE">
      <w:pPr>
        <w:pStyle w:val="ListParagraph"/>
        <w:numPr>
          <w:ilvl w:val="2"/>
          <w:numId w:val="2"/>
        </w:numPr>
        <w:contextualSpacing w:val="0"/>
        <w:jc w:val="both"/>
        <w:rPr>
          <w:lang w:val="fr-CD"/>
        </w:rPr>
      </w:pPr>
      <w:r w:rsidRPr="00FC49C0">
        <w:rPr>
          <w:lang w:val="fr-CD"/>
        </w:rPr>
        <w:t>Équipement militaire</w:t>
      </w:r>
    </w:p>
    <w:p w14:paraId="3EF5593B" w14:textId="77777777" w:rsidR="00AA64FE" w:rsidRPr="00FC49C0" w:rsidRDefault="00AA64FE" w:rsidP="00AA64FE">
      <w:pPr>
        <w:pStyle w:val="ListParagraph"/>
        <w:numPr>
          <w:ilvl w:val="2"/>
          <w:numId w:val="2"/>
        </w:numPr>
        <w:contextualSpacing w:val="0"/>
        <w:jc w:val="both"/>
        <w:rPr>
          <w:lang w:val="fr-CD"/>
        </w:rPr>
      </w:pPr>
      <w:proofErr w:type="gramStart"/>
      <w:r w:rsidRPr="00FC49C0">
        <w:rPr>
          <w:lang w:val="fr-CD"/>
        </w:rPr>
        <w:t>équipement</w:t>
      </w:r>
      <w:proofErr w:type="gramEnd"/>
      <w:r w:rsidRPr="00FC49C0">
        <w:rPr>
          <w:lang w:val="fr-CD"/>
        </w:rPr>
        <w:t xml:space="preserve"> de surveillance</w:t>
      </w:r>
    </w:p>
    <w:p w14:paraId="656CFE8E" w14:textId="77777777" w:rsidR="00AA64FE" w:rsidRPr="00FC49C0" w:rsidRDefault="00AA64FE" w:rsidP="00AA64FE">
      <w:pPr>
        <w:pStyle w:val="ListParagraph"/>
        <w:numPr>
          <w:ilvl w:val="2"/>
          <w:numId w:val="2"/>
        </w:numPr>
        <w:contextualSpacing w:val="0"/>
        <w:jc w:val="both"/>
        <w:rPr>
          <w:lang w:val="fr-CD"/>
        </w:rPr>
      </w:pPr>
      <w:proofErr w:type="gramStart"/>
      <w:r w:rsidRPr="00FC49C0">
        <w:rPr>
          <w:lang w:val="fr-CD"/>
        </w:rPr>
        <w:t>les</w:t>
      </w:r>
      <w:proofErr w:type="gramEnd"/>
      <w:r w:rsidRPr="00FC49C0">
        <w:rPr>
          <w:lang w:val="fr-CD"/>
        </w:rPr>
        <w:t xml:space="preserve"> produits et services à l’appui des activités de police et d’autres activités d’application de la loi</w:t>
      </w:r>
    </w:p>
    <w:p w14:paraId="216E6A6D" w14:textId="77777777" w:rsidR="00AA64FE" w:rsidRPr="00FC49C0" w:rsidRDefault="00AA64FE" w:rsidP="00AA64FE">
      <w:pPr>
        <w:pStyle w:val="ListParagraph"/>
        <w:numPr>
          <w:ilvl w:val="2"/>
          <w:numId w:val="2"/>
        </w:numPr>
        <w:contextualSpacing w:val="0"/>
        <w:jc w:val="both"/>
        <w:rPr>
          <w:lang w:val="fr-CD"/>
        </w:rPr>
      </w:pPr>
      <w:r w:rsidRPr="00FC49C0">
        <w:rPr>
          <w:lang w:val="fr-CD"/>
        </w:rPr>
        <w:t>Équipement et services d’avortement</w:t>
      </w:r>
    </w:p>
    <w:p w14:paraId="23F58D19" w14:textId="77777777" w:rsidR="00AA64FE" w:rsidRPr="00FC49C0" w:rsidRDefault="00AA64FE" w:rsidP="00AA64FE">
      <w:pPr>
        <w:pStyle w:val="ListParagraph"/>
        <w:numPr>
          <w:ilvl w:val="2"/>
          <w:numId w:val="2"/>
        </w:numPr>
        <w:contextualSpacing w:val="0"/>
        <w:jc w:val="both"/>
        <w:rPr>
          <w:lang w:val="fr-CD"/>
        </w:rPr>
      </w:pPr>
      <w:r w:rsidRPr="00FC49C0">
        <w:rPr>
          <w:lang w:val="fr-CD"/>
        </w:rPr>
        <w:t>Articles de luxe et équipement de jeu</w:t>
      </w:r>
    </w:p>
    <w:p w14:paraId="1E32C616" w14:textId="77777777" w:rsidR="00AA64FE" w:rsidRPr="00FC49C0" w:rsidRDefault="00AA64FE" w:rsidP="00AA64FE">
      <w:pPr>
        <w:pStyle w:val="ListParagraph"/>
        <w:numPr>
          <w:ilvl w:val="2"/>
          <w:numId w:val="2"/>
        </w:numPr>
        <w:contextualSpacing w:val="0"/>
        <w:jc w:val="both"/>
        <w:rPr>
          <w:lang w:val="fr-CD"/>
        </w:rPr>
      </w:pPr>
      <w:proofErr w:type="gramStart"/>
      <w:r w:rsidRPr="00FC49C0">
        <w:rPr>
          <w:lang w:val="fr-CD"/>
        </w:rPr>
        <w:t>frais</w:t>
      </w:r>
      <w:proofErr w:type="gramEnd"/>
      <w:r w:rsidRPr="00FC49C0">
        <w:rPr>
          <w:lang w:val="fr-CD"/>
        </w:rPr>
        <w:t xml:space="preserve"> de parties ou de représentation</w:t>
      </w:r>
    </w:p>
    <w:p w14:paraId="1CE5F0D8" w14:textId="77777777" w:rsidR="00AA64FE" w:rsidRPr="00FC49C0" w:rsidRDefault="00AA64FE" w:rsidP="00AA64FE">
      <w:pPr>
        <w:pStyle w:val="ListParagraph"/>
        <w:numPr>
          <w:ilvl w:val="2"/>
          <w:numId w:val="2"/>
        </w:numPr>
        <w:contextualSpacing w:val="0"/>
        <w:jc w:val="both"/>
        <w:rPr>
          <w:lang w:val="fr-CD"/>
        </w:rPr>
      </w:pPr>
      <w:proofErr w:type="gramStart"/>
      <w:r w:rsidRPr="00FC49C0">
        <w:rPr>
          <w:lang w:val="fr-CD"/>
        </w:rPr>
        <w:t>l’achat</w:t>
      </w:r>
      <w:proofErr w:type="gramEnd"/>
      <w:r w:rsidRPr="00FC49C0">
        <w:rPr>
          <w:lang w:val="fr-CD"/>
        </w:rPr>
        <w:t xml:space="preserve"> de marchandises à autorisation restreinte sans approbation préalable, comme les produits agricoles, les véhicules automobiles, les produits pharmaceutiques, les pesticides, le matériel usagé et les engrais;</w:t>
      </w:r>
    </w:p>
    <w:p w14:paraId="3C554072" w14:textId="77777777" w:rsidR="00AA64FE" w:rsidRPr="00FC49C0" w:rsidRDefault="00AA64FE" w:rsidP="00AA64FE">
      <w:pPr>
        <w:pStyle w:val="ListParagraph"/>
        <w:numPr>
          <w:ilvl w:val="2"/>
          <w:numId w:val="2"/>
        </w:numPr>
        <w:contextualSpacing w:val="0"/>
        <w:jc w:val="both"/>
        <w:rPr>
          <w:lang w:val="fr-CD"/>
        </w:rPr>
      </w:pPr>
      <w:proofErr w:type="gramStart"/>
      <w:r w:rsidRPr="00FC49C0">
        <w:rPr>
          <w:lang w:val="fr-CD"/>
        </w:rPr>
        <w:t>l’achat</w:t>
      </w:r>
      <w:proofErr w:type="gramEnd"/>
      <w:r w:rsidRPr="00FC49C0">
        <w:rPr>
          <w:lang w:val="fr-CD"/>
        </w:rPr>
        <w:t xml:space="preserve"> de biens ou de services auprès d’une entreprise ou d’un particulier dont le nom figure sur la liste des entités non admissibles ci-dessus.</w:t>
      </w:r>
    </w:p>
    <w:p w14:paraId="2D96352D" w14:textId="77777777" w:rsidR="00AA64FE" w:rsidRPr="00FC49C0" w:rsidRDefault="00AA64FE" w:rsidP="00AA64FE">
      <w:pPr>
        <w:jc w:val="both"/>
        <w:rPr>
          <w:lang w:val="fr-CD"/>
        </w:rPr>
      </w:pPr>
    </w:p>
    <w:p w14:paraId="7682B811" w14:textId="77777777" w:rsidR="00AA64FE" w:rsidRDefault="00AA64FE" w:rsidP="00AA64FE">
      <w:pPr>
        <w:jc w:val="both"/>
        <w:rPr>
          <w:lang w:val="fr-CD"/>
        </w:rPr>
      </w:pPr>
      <w:r w:rsidRPr="00FC49C0">
        <w:rPr>
          <w:lang w:val="fr-CD"/>
        </w:rPr>
        <w:t xml:space="preserve">Les activités du </w:t>
      </w:r>
      <w:r>
        <w:rPr>
          <w:lang w:val="fr-CD"/>
        </w:rPr>
        <w:t>P</w:t>
      </w:r>
      <w:r w:rsidRPr="00FC49C0">
        <w:rPr>
          <w:lang w:val="fr-CD"/>
        </w:rPr>
        <w:t>rojet ne peuvent commencer qu’après la signature de l’accord de subvention entre le demandeur et le projet. Les coûts engagés avant la signature de la convention de subvention ne seront pas remboursés, sauf approbation écrite préalable du directeur des contrats et de la gestion des subventions de MSI ou de son représentant.</w:t>
      </w:r>
    </w:p>
    <w:p w14:paraId="0FDC5146" w14:textId="77777777" w:rsidR="00AA64FE" w:rsidRPr="00FC49C0" w:rsidRDefault="00AA64FE" w:rsidP="00AA64FE">
      <w:pPr>
        <w:jc w:val="both"/>
        <w:rPr>
          <w:lang w:val="fr-CD"/>
        </w:rPr>
      </w:pPr>
    </w:p>
    <w:p w14:paraId="1226AFE4" w14:textId="77777777" w:rsidR="00AA64FE" w:rsidRPr="00FC49C0" w:rsidRDefault="00AA64FE" w:rsidP="00AA64FE">
      <w:pPr>
        <w:pStyle w:val="ListParagraph"/>
        <w:numPr>
          <w:ilvl w:val="0"/>
          <w:numId w:val="4"/>
        </w:numPr>
        <w:contextualSpacing w:val="0"/>
        <w:jc w:val="both"/>
        <w:rPr>
          <w:b/>
          <w:bCs/>
          <w:lang w:val="fr-CD"/>
        </w:rPr>
      </w:pPr>
      <w:r w:rsidRPr="00FC49C0">
        <w:rPr>
          <w:b/>
          <w:bCs/>
          <w:lang w:val="fr-CD"/>
        </w:rPr>
        <w:t>Conflit d’intérêts</w:t>
      </w:r>
    </w:p>
    <w:p w14:paraId="71367FEA" w14:textId="77777777" w:rsidR="00AA64FE" w:rsidRDefault="00AA64FE" w:rsidP="00AA64FE">
      <w:pPr>
        <w:jc w:val="both"/>
        <w:rPr>
          <w:lang w:val="fr-CD"/>
        </w:rPr>
      </w:pPr>
    </w:p>
    <w:p w14:paraId="52D615CA" w14:textId="77777777" w:rsidR="00AA64FE" w:rsidRPr="00FC49C0" w:rsidRDefault="00AA64FE" w:rsidP="00AA64FE">
      <w:pPr>
        <w:jc w:val="both"/>
        <w:rPr>
          <w:lang w:val="fr-CD"/>
        </w:rPr>
      </w:pPr>
      <w:r w:rsidRPr="00FC49C0">
        <w:rPr>
          <w:lang w:val="fr-CD"/>
        </w:rPr>
        <w:t xml:space="preserve">Les sous-traitants, les bénéficiaires et les fournisseurs de MSI à tous les niveaux ont l’obligation de divulguer toutes les relations personnelles et tous les intérêts financiers liés au projet, car ceux-ci peuvent consister en des conflits d’intérêts réels ou potentiels. Le défaut de déclaration peut entraîner la résiliation de l’entente ou du contrat. </w:t>
      </w:r>
    </w:p>
    <w:p w14:paraId="7A0EC1DE" w14:textId="77777777" w:rsidR="00AA64FE" w:rsidRPr="00FC49C0" w:rsidRDefault="00AA64FE" w:rsidP="00AA64FE">
      <w:pPr>
        <w:jc w:val="both"/>
        <w:rPr>
          <w:lang w:val="fr-CD"/>
        </w:rPr>
      </w:pPr>
      <w:r w:rsidRPr="00FC49C0">
        <w:rPr>
          <w:lang w:val="fr-CD"/>
        </w:rPr>
        <w:t>Dans votre mémoire, veuillez inclure une divulgation de tout conflit d’intérêts possible. En confirmant cette condition préalable, vous certifiez que :</w:t>
      </w:r>
    </w:p>
    <w:p w14:paraId="23305989" w14:textId="77777777" w:rsidR="00AA64FE" w:rsidRPr="00FC49C0" w:rsidRDefault="00AA64FE" w:rsidP="00AA64FE">
      <w:pPr>
        <w:jc w:val="both"/>
        <w:rPr>
          <w:lang w:val="fr-CD"/>
        </w:rPr>
      </w:pPr>
      <w:r w:rsidRPr="00FC49C0">
        <w:rPr>
          <w:lang w:val="fr-CD"/>
        </w:rPr>
        <w:t xml:space="preserve">(1)         vous n’avez pas de conflit d’intérêts réel ou potentiel avec ce </w:t>
      </w:r>
      <w:proofErr w:type="gramStart"/>
      <w:r w:rsidRPr="00FC49C0">
        <w:rPr>
          <w:lang w:val="fr-CD"/>
        </w:rPr>
        <w:t>projet;</w:t>
      </w:r>
      <w:proofErr w:type="gramEnd"/>
      <w:r w:rsidRPr="00FC49C0">
        <w:rPr>
          <w:lang w:val="fr-CD"/>
        </w:rPr>
        <w:t xml:space="preserve"> OU vous avez divulgué des conflits d’intérêts existants ou potentiels dans le cadre de votre soumission.</w:t>
      </w:r>
    </w:p>
    <w:p w14:paraId="10E7A83A" w14:textId="77777777" w:rsidR="00AA64FE" w:rsidRPr="00FC49C0" w:rsidRDefault="00AA64FE" w:rsidP="00AA64FE">
      <w:pPr>
        <w:jc w:val="both"/>
        <w:rPr>
          <w:lang w:val="fr-CD"/>
        </w:rPr>
      </w:pPr>
      <w:r w:rsidRPr="00FC49C0">
        <w:rPr>
          <w:lang w:val="fr-CD"/>
        </w:rPr>
        <w:t xml:space="preserve">(2)   que vous mettrez à jour cette divulgation dans les meilleurs délais si les circonstances pertinentes changent et que vous en ferez rapport au point de contact MSI </w:t>
      </w:r>
      <w:proofErr w:type="gramStart"/>
      <w:r w:rsidRPr="00FC49C0">
        <w:rPr>
          <w:lang w:val="fr-CD"/>
        </w:rPr>
        <w:t>concerné;</w:t>
      </w:r>
      <w:proofErr w:type="gramEnd"/>
    </w:p>
    <w:p w14:paraId="222D692D" w14:textId="77777777" w:rsidR="00AA64FE" w:rsidRPr="00FC49C0" w:rsidRDefault="00AA64FE" w:rsidP="00AA64FE">
      <w:pPr>
        <w:jc w:val="both"/>
        <w:rPr>
          <w:lang w:val="fr-CD"/>
        </w:rPr>
      </w:pPr>
      <w:r w:rsidRPr="00FC49C0">
        <w:rPr>
          <w:lang w:val="fr-CD"/>
        </w:rPr>
        <w:t>(3) que vous comprenez qu’en ne signalant aucun conflit d’intérêts réel ou potentiel, vous pouvez suspendre ou résilier l’accord/le contrat de sous-traitance ou le bon de commande.</w:t>
      </w:r>
    </w:p>
    <w:p w14:paraId="4328AE5A" w14:textId="77777777" w:rsidR="00AA64FE" w:rsidRPr="00FC49C0" w:rsidRDefault="00AA64FE" w:rsidP="00AA64FE">
      <w:pPr>
        <w:jc w:val="both"/>
        <w:rPr>
          <w:lang w:val="fr-CD"/>
        </w:rPr>
      </w:pPr>
    </w:p>
    <w:p w14:paraId="0AB585B8" w14:textId="77777777" w:rsidR="00AA64FE" w:rsidRPr="00FC49C0" w:rsidRDefault="00AA64FE" w:rsidP="00AA64FE">
      <w:pPr>
        <w:pStyle w:val="ListParagraph"/>
        <w:numPr>
          <w:ilvl w:val="0"/>
          <w:numId w:val="3"/>
        </w:numPr>
        <w:contextualSpacing w:val="0"/>
        <w:jc w:val="both"/>
        <w:rPr>
          <w:lang w:val="fr-CD"/>
        </w:rPr>
      </w:pPr>
      <w:r w:rsidRPr="00FC49C0">
        <w:rPr>
          <w:b/>
          <w:bCs/>
          <w:lang w:val="fr-CD"/>
        </w:rPr>
        <w:t>Rapport sur la lutte contre les fraudes</w:t>
      </w:r>
    </w:p>
    <w:p w14:paraId="70D7A135" w14:textId="77777777" w:rsidR="00AA64FE" w:rsidRDefault="00AA64FE" w:rsidP="00AA64FE">
      <w:pPr>
        <w:jc w:val="both"/>
        <w:rPr>
          <w:lang w:val="fr-CD"/>
        </w:rPr>
      </w:pPr>
    </w:p>
    <w:p w14:paraId="1B506564" w14:textId="77777777" w:rsidR="00AA64FE" w:rsidRPr="00FC49C0" w:rsidRDefault="00AA64FE" w:rsidP="00AA64FE">
      <w:pPr>
        <w:jc w:val="both"/>
        <w:rPr>
          <w:lang w:val="fr-CD"/>
        </w:rPr>
      </w:pPr>
      <w:r w:rsidRPr="00FC49C0">
        <w:rPr>
          <w:lang w:val="fr-CD"/>
        </w:rPr>
        <w:t>Si une personne demande ou fait une demande de contrepartie en échange de cette invitation ou promet une sélection réussie, le demandeur doit communiquer immédiatement avec ethics@msi-inc.com.</w:t>
      </w:r>
    </w:p>
    <w:p w14:paraId="764E7FF9" w14:textId="77777777" w:rsidR="00AA64FE" w:rsidRPr="00AA64FE" w:rsidRDefault="00AA64FE" w:rsidP="00AA64FE">
      <w:pPr>
        <w:jc w:val="both"/>
        <w:rPr>
          <w:lang w:val="fr-CD"/>
        </w:rPr>
      </w:pPr>
    </w:p>
    <w:p w14:paraId="3C905AB5" w14:textId="77777777" w:rsidR="00AA64FE" w:rsidRPr="00FC49C0" w:rsidRDefault="00AA64FE" w:rsidP="00AA64FE">
      <w:pPr>
        <w:jc w:val="both"/>
        <w:rPr>
          <w:lang w:val="fr-CD"/>
        </w:rPr>
      </w:pPr>
      <w:r w:rsidRPr="00FC49C0">
        <w:rPr>
          <w:lang w:val="fr-CD"/>
        </w:rPr>
        <w:t xml:space="preserve">Les sous-traitants, les bénéficiaires et les fournisseurs de MSI à tous les niveaux ont l’obligation de divulguer toutes les relations personnelles et tous les intérêts financiers liés au projet, car ceux-ci peuvent consister en des conflits d’intérêts réels ou potentiels. Le défaut de déclaration peut entraîner la résiliation de l’entente ou du contrat. </w:t>
      </w:r>
    </w:p>
    <w:p w14:paraId="08F4B749" w14:textId="77777777" w:rsidR="00AA64FE" w:rsidRDefault="00AA64FE" w:rsidP="00AA64FE">
      <w:pPr>
        <w:jc w:val="both"/>
        <w:rPr>
          <w:lang w:val="fr-CD"/>
        </w:rPr>
      </w:pPr>
    </w:p>
    <w:p w14:paraId="2F2823B8" w14:textId="77777777" w:rsidR="00AA64FE" w:rsidRPr="00FC49C0" w:rsidRDefault="00AA64FE" w:rsidP="00AA64FE">
      <w:pPr>
        <w:jc w:val="both"/>
        <w:rPr>
          <w:lang w:val="fr-CD"/>
        </w:rPr>
      </w:pPr>
      <w:r w:rsidRPr="00FC49C0">
        <w:rPr>
          <w:lang w:val="fr-CD"/>
        </w:rPr>
        <w:t>Dans votre mémoire, veuillez inclure une divulgation de tout conflit d’intérêts possible. En confirmant cette condition préalable, vous certifiez que :</w:t>
      </w:r>
    </w:p>
    <w:p w14:paraId="31EF062A" w14:textId="77777777" w:rsidR="00AA64FE" w:rsidRPr="00FC49C0" w:rsidRDefault="00AA64FE" w:rsidP="00AA64FE">
      <w:pPr>
        <w:jc w:val="both"/>
        <w:rPr>
          <w:lang w:val="fr-CD"/>
        </w:rPr>
      </w:pPr>
      <w:r w:rsidRPr="00FC49C0">
        <w:rPr>
          <w:lang w:val="fr-CD"/>
        </w:rPr>
        <w:t xml:space="preserve">(1)         vous n’avez pas de conflit d’intérêts réel ou potentiel avec ce </w:t>
      </w:r>
      <w:proofErr w:type="gramStart"/>
      <w:r>
        <w:rPr>
          <w:lang w:val="fr-CD"/>
        </w:rPr>
        <w:t>P</w:t>
      </w:r>
      <w:r w:rsidRPr="00FC49C0">
        <w:rPr>
          <w:lang w:val="fr-CD"/>
        </w:rPr>
        <w:t>rojet;</w:t>
      </w:r>
      <w:proofErr w:type="gramEnd"/>
      <w:r w:rsidRPr="00FC49C0">
        <w:rPr>
          <w:lang w:val="fr-CD"/>
        </w:rPr>
        <w:t xml:space="preserve"> OU vous avez divulgué des conflits d’intérêts existants ou potentiels dans le cadre de votre soumission.</w:t>
      </w:r>
    </w:p>
    <w:p w14:paraId="39CC3533" w14:textId="77777777" w:rsidR="00AA64FE" w:rsidRPr="00FC49C0" w:rsidRDefault="00AA64FE" w:rsidP="00AA64FE">
      <w:pPr>
        <w:jc w:val="both"/>
        <w:rPr>
          <w:lang w:val="fr-CD"/>
        </w:rPr>
      </w:pPr>
      <w:r w:rsidRPr="00FC49C0">
        <w:rPr>
          <w:lang w:val="fr-CD"/>
        </w:rPr>
        <w:t xml:space="preserve">(2)   que vous mettrez à jour cette divulgation dans les meilleurs délais si les circonstances pertinentes changent et que vous en ferez rapport au point de contact MSI </w:t>
      </w:r>
      <w:proofErr w:type="gramStart"/>
      <w:r w:rsidRPr="00FC49C0">
        <w:rPr>
          <w:lang w:val="fr-CD"/>
        </w:rPr>
        <w:t>concerné;</w:t>
      </w:r>
      <w:proofErr w:type="gramEnd"/>
    </w:p>
    <w:p w14:paraId="6A21CB5A" w14:textId="77777777" w:rsidR="00AA64FE" w:rsidRPr="00FC49C0" w:rsidRDefault="00AA64FE" w:rsidP="00AA64FE">
      <w:pPr>
        <w:jc w:val="both"/>
        <w:rPr>
          <w:lang w:val="fr-CD"/>
        </w:rPr>
      </w:pPr>
      <w:r w:rsidRPr="00FC49C0">
        <w:rPr>
          <w:lang w:val="fr-CD"/>
        </w:rPr>
        <w:lastRenderedPageBreak/>
        <w:t>(3) que vous comprenez qu’en ne signalant aucun conflit d’intérêts réel ou potentiel, vous pouvez suspendre ou résilier l’accord/le contrat de sous-traitance ou le bon de commande.</w:t>
      </w:r>
    </w:p>
    <w:p w14:paraId="2D833621" w14:textId="77777777" w:rsidR="00AA64FE" w:rsidRDefault="00AA64FE" w:rsidP="00AA64FE">
      <w:pPr>
        <w:jc w:val="both"/>
        <w:rPr>
          <w:b/>
          <w:bCs/>
          <w:lang w:val="fr-CD"/>
        </w:rPr>
      </w:pPr>
    </w:p>
    <w:p w14:paraId="1DC06230" w14:textId="77777777" w:rsidR="00AA64FE" w:rsidRDefault="00AA64FE" w:rsidP="00AA64FE">
      <w:pPr>
        <w:jc w:val="both"/>
        <w:rPr>
          <w:b/>
          <w:bCs/>
          <w:lang w:val="fr-CD"/>
        </w:rPr>
      </w:pPr>
    </w:p>
    <w:p w14:paraId="788388E0" w14:textId="77777777" w:rsidR="00AA64FE" w:rsidRDefault="00AA64FE" w:rsidP="00AA64FE">
      <w:pPr>
        <w:jc w:val="both"/>
        <w:rPr>
          <w:b/>
          <w:bCs/>
          <w:lang w:val="fr-CD"/>
        </w:rPr>
      </w:pPr>
    </w:p>
    <w:p w14:paraId="6926F77A" w14:textId="77777777" w:rsidR="00AA64FE" w:rsidRDefault="00AA64FE" w:rsidP="00AA64FE">
      <w:pPr>
        <w:jc w:val="both"/>
        <w:rPr>
          <w:b/>
          <w:bCs/>
          <w:lang w:val="fr-CD"/>
        </w:rPr>
      </w:pPr>
    </w:p>
    <w:p w14:paraId="16F0F823" w14:textId="77777777" w:rsidR="00AA64FE" w:rsidRDefault="00AA64FE" w:rsidP="00AA64FE">
      <w:pPr>
        <w:jc w:val="both"/>
        <w:rPr>
          <w:b/>
          <w:bCs/>
          <w:lang w:val="fr-CD"/>
        </w:rPr>
      </w:pPr>
    </w:p>
    <w:p w14:paraId="356C1103" w14:textId="77777777" w:rsidR="00AA64FE" w:rsidRPr="00FC49C0" w:rsidRDefault="00AA64FE" w:rsidP="00AA64FE">
      <w:pPr>
        <w:jc w:val="both"/>
        <w:rPr>
          <w:b/>
          <w:bCs/>
          <w:lang w:val="fr-CD"/>
        </w:rPr>
      </w:pPr>
      <w:r w:rsidRPr="00FC49C0">
        <w:rPr>
          <w:b/>
          <w:bCs/>
          <w:lang w:val="fr-CD"/>
        </w:rPr>
        <w:t>Rapport sur la lutte contre les fraudes</w:t>
      </w:r>
    </w:p>
    <w:p w14:paraId="0DD55FB5" w14:textId="77777777" w:rsidR="00AA64FE" w:rsidRDefault="00AA64FE" w:rsidP="00AA64FE">
      <w:pPr>
        <w:jc w:val="both"/>
        <w:rPr>
          <w:lang w:val="fr-CD"/>
        </w:rPr>
      </w:pPr>
    </w:p>
    <w:p w14:paraId="4DC55E65" w14:textId="77777777" w:rsidR="00AA64FE" w:rsidRPr="00FC49C0" w:rsidRDefault="00AA64FE" w:rsidP="00AA64FE">
      <w:pPr>
        <w:jc w:val="both"/>
        <w:rPr>
          <w:lang w:val="fr-CD"/>
        </w:rPr>
      </w:pPr>
      <w:r w:rsidRPr="00FC49C0">
        <w:rPr>
          <w:lang w:val="fr-CD"/>
        </w:rPr>
        <w:t xml:space="preserve">Si une personne demande ou fait une demande de contrepartie en échange de cette invitation ou promet une sélection réussie, le demandeur doit communiquer immédiatement avec </w:t>
      </w:r>
      <w:r w:rsidRPr="00AA64FE">
        <w:rPr>
          <w:rStyle w:val="Hyperlink"/>
          <w:lang w:val="fr-CD"/>
        </w:rPr>
        <w:t>ethics@msi-inc.com.</w:t>
      </w:r>
    </w:p>
    <w:p w14:paraId="27C33903" w14:textId="77777777" w:rsidR="00AA64FE" w:rsidRPr="00FC49C0" w:rsidRDefault="00AA64FE" w:rsidP="00AA64FE">
      <w:pPr>
        <w:jc w:val="both"/>
        <w:rPr>
          <w:lang w:val="fr-CD"/>
        </w:rPr>
      </w:pPr>
    </w:p>
    <w:p w14:paraId="076EE649" w14:textId="77777777" w:rsidR="00AA64FE" w:rsidRPr="00FC49C0" w:rsidRDefault="00AA64FE" w:rsidP="00AA64FE">
      <w:pPr>
        <w:jc w:val="both"/>
        <w:rPr>
          <w:lang w:val="fr-CD"/>
        </w:rPr>
      </w:pPr>
    </w:p>
    <w:p w14:paraId="448528DB" w14:textId="77777777" w:rsidR="00AA64FE" w:rsidRPr="00BB72C6" w:rsidRDefault="00AA64FE" w:rsidP="00AA64FE">
      <w:pPr>
        <w:jc w:val="both"/>
        <w:rPr>
          <w:rFonts w:eastAsia="Times New Roman" w:cs="Times New Roman"/>
          <w:color w:val="484E52"/>
          <w:sz w:val="2"/>
          <w:szCs w:val="2"/>
          <w:lang w:val="fr-CD"/>
        </w:rPr>
      </w:pPr>
      <w:r w:rsidRPr="00BB72C6">
        <w:rPr>
          <w:lang w:val="fr-CD"/>
        </w:rPr>
        <w:t>Je certifie avoir lu, compris et accepté les conditions préalables ci-dessus.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8"/>
        <w:gridCol w:w="4009"/>
      </w:tblGrid>
      <w:tr w:rsidR="00AA64FE" w:rsidRPr="00641070" w14:paraId="24528FB5" w14:textId="77777777" w:rsidTr="009E4D6D">
        <w:trPr>
          <w:trHeight w:val="354"/>
        </w:trPr>
        <w:tc>
          <w:tcPr>
            <w:tcW w:w="2410" w:type="dxa"/>
            <w:tcBorders>
              <w:bottom w:val="single" w:sz="4" w:space="0" w:color="auto"/>
            </w:tcBorders>
          </w:tcPr>
          <w:p w14:paraId="437D2516" w14:textId="77777777" w:rsidR="00AA64FE" w:rsidRPr="00AA64FE" w:rsidRDefault="00AA64FE" w:rsidP="009E4D6D">
            <w:pPr>
              <w:jc w:val="both"/>
              <w:rPr>
                <w:lang w:val="fr-CD"/>
              </w:rPr>
            </w:pPr>
          </w:p>
          <w:p w14:paraId="33049A6E" w14:textId="77777777" w:rsidR="00AA64FE" w:rsidRDefault="00AA64FE" w:rsidP="009E4D6D">
            <w:pPr>
              <w:jc w:val="both"/>
            </w:pPr>
            <w:r w:rsidRPr="00641070">
              <w:t>N</w:t>
            </w:r>
            <w:r>
              <w:t>om: _____________________________________</w:t>
            </w:r>
          </w:p>
          <w:p w14:paraId="52A534D8" w14:textId="77777777" w:rsidR="00AA64FE" w:rsidRDefault="00AA64FE" w:rsidP="009E4D6D">
            <w:pPr>
              <w:jc w:val="both"/>
            </w:pPr>
          </w:p>
          <w:p w14:paraId="26E915DE" w14:textId="77777777" w:rsidR="00AA64FE" w:rsidRDefault="00AA64FE" w:rsidP="009E4D6D">
            <w:pPr>
              <w:jc w:val="both"/>
            </w:pPr>
            <w:proofErr w:type="spellStart"/>
            <w:r w:rsidRPr="00641070">
              <w:t>Surn</w:t>
            </w:r>
            <w:r>
              <w:t>o</w:t>
            </w:r>
            <w:r w:rsidRPr="00641070">
              <w:t>m</w:t>
            </w:r>
            <w:proofErr w:type="spellEnd"/>
            <w:r w:rsidRPr="00641070">
              <w:t>:</w:t>
            </w:r>
          </w:p>
          <w:p w14:paraId="56F89F7E" w14:textId="77777777" w:rsidR="00AA64FE" w:rsidRPr="00BB72C6" w:rsidRDefault="00AA64FE" w:rsidP="009E4D6D">
            <w:pPr>
              <w:jc w:val="both"/>
              <w:rPr>
                <w:sz w:val="16"/>
                <w:szCs w:val="16"/>
              </w:rPr>
            </w:pPr>
          </w:p>
        </w:tc>
        <w:tc>
          <w:tcPr>
            <w:tcW w:w="4009" w:type="dxa"/>
            <w:tcBorders>
              <w:bottom w:val="single" w:sz="4" w:space="0" w:color="auto"/>
            </w:tcBorders>
          </w:tcPr>
          <w:p w14:paraId="1B0B874F" w14:textId="77777777" w:rsidR="00AA64FE" w:rsidRPr="00641070" w:rsidRDefault="00AA64FE" w:rsidP="009E4D6D">
            <w:pPr>
              <w:jc w:val="both"/>
              <w:rPr>
                <w:sz w:val="28"/>
                <w:szCs w:val="28"/>
              </w:rPr>
            </w:pPr>
          </w:p>
        </w:tc>
      </w:tr>
      <w:tr w:rsidR="00AA64FE" w:rsidRPr="00641070" w14:paraId="4FCA077E" w14:textId="77777777" w:rsidTr="009E4D6D">
        <w:trPr>
          <w:trHeight w:val="354"/>
        </w:trPr>
        <w:tc>
          <w:tcPr>
            <w:tcW w:w="2410" w:type="dxa"/>
            <w:tcBorders>
              <w:top w:val="single" w:sz="4" w:space="0" w:color="auto"/>
              <w:bottom w:val="single" w:sz="4" w:space="0" w:color="auto"/>
            </w:tcBorders>
          </w:tcPr>
          <w:p w14:paraId="0E5FDA77" w14:textId="77777777" w:rsidR="00AA64FE" w:rsidRDefault="00AA64FE" w:rsidP="009E4D6D">
            <w:pPr>
              <w:jc w:val="both"/>
            </w:pPr>
          </w:p>
          <w:p w14:paraId="0E4CB431" w14:textId="77777777" w:rsidR="00AA64FE" w:rsidRDefault="00AA64FE" w:rsidP="009E4D6D">
            <w:pPr>
              <w:jc w:val="both"/>
            </w:pPr>
            <w:r>
              <w:t>Nom de l’</w:t>
            </w:r>
            <w:r w:rsidRPr="00641070">
              <w:t>Organi</w:t>
            </w:r>
            <w:r>
              <w:t>s</w:t>
            </w:r>
            <w:r w:rsidRPr="00641070">
              <w:t>ation:</w:t>
            </w:r>
          </w:p>
          <w:p w14:paraId="2FA96EAE" w14:textId="77777777" w:rsidR="00AA64FE" w:rsidRPr="00BB72C6" w:rsidRDefault="00AA64FE" w:rsidP="009E4D6D">
            <w:pPr>
              <w:jc w:val="both"/>
              <w:rPr>
                <w:sz w:val="18"/>
                <w:szCs w:val="18"/>
              </w:rPr>
            </w:pPr>
          </w:p>
        </w:tc>
        <w:tc>
          <w:tcPr>
            <w:tcW w:w="4009" w:type="dxa"/>
            <w:tcBorders>
              <w:top w:val="single" w:sz="4" w:space="0" w:color="auto"/>
              <w:bottom w:val="single" w:sz="4" w:space="0" w:color="auto"/>
            </w:tcBorders>
          </w:tcPr>
          <w:p w14:paraId="1207C981" w14:textId="77777777" w:rsidR="00AA64FE" w:rsidRPr="00641070" w:rsidRDefault="00AA64FE" w:rsidP="009E4D6D">
            <w:pPr>
              <w:jc w:val="both"/>
              <w:rPr>
                <w:sz w:val="28"/>
                <w:szCs w:val="28"/>
              </w:rPr>
            </w:pPr>
          </w:p>
        </w:tc>
      </w:tr>
      <w:tr w:rsidR="00AA64FE" w:rsidRPr="00641070" w14:paraId="090594F2" w14:textId="77777777" w:rsidTr="009E4D6D">
        <w:trPr>
          <w:trHeight w:val="364"/>
        </w:trPr>
        <w:tc>
          <w:tcPr>
            <w:tcW w:w="2410" w:type="dxa"/>
            <w:tcBorders>
              <w:top w:val="single" w:sz="4" w:space="0" w:color="auto"/>
              <w:bottom w:val="single" w:sz="4" w:space="0" w:color="auto"/>
            </w:tcBorders>
          </w:tcPr>
          <w:p w14:paraId="148E5E5E" w14:textId="77777777" w:rsidR="00AA64FE" w:rsidRDefault="00AA64FE" w:rsidP="009E4D6D">
            <w:pPr>
              <w:jc w:val="both"/>
            </w:pPr>
            <w:r w:rsidRPr="00641070">
              <w:t>Signature:</w:t>
            </w:r>
          </w:p>
          <w:p w14:paraId="34C6FDB6" w14:textId="77777777" w:rsidR="00AA64FE" w:rsidRPr="00BB72C6" w:rsidRDefault="00AA64FE" w:rsidP="009E4D6D">
            <w:pPr>
              <w:jc w:val="both"/>
              <w:rPr>
                <w:sz w:val="18"/>
                <w:szCs w:val="18"/>
              </w:rPr>
            </w:pPr>
          </w:p>
        </w:tc>
        <w:tc>
          <w:tcPr>
            <w:tcW w:w="4009" w:type="dxa"/>
            <w:tcBorders>
              <w:top w:val="single" w:sz="4" w:space="0" w:color="auto"/>
              <w:bottom w:val="single" w:sz="4" w:space="0" w:color="auto"/>
            </w:tcBorders>
          </w:tcPr>
          <w:p w14:paraId="5100067C" w14:textId="77777777" w:rsidR="00AA64FE" w:rsidRPr="00641070" w:rsidRDefault="00AA64FE" w:rsidP="009E4D6D">
            <w:pPr>
              <w:jc w:val="both"/>
              <w:rPr>
                <w:sz w:val="28"/>
                <w:szCs w:val="28"/>
              </w:rPr>
            </w:pPr>
          </w:p>
        </w:tc>
      </w:tr>
      <w:tr w:rsidR="00AA64FE" w:rsidRPr="00641070" w14:paraId="574F8BE8" w14:textId="77777777" w:rsidTr="009E4D6D">
        <w:trPr>
          <w:trHeight w:val="354"/>
        </w:trPr>
        <w:tc>
          <w:tcPr>
            <w:tcW w:w="2410" w:type="dxa"/>
            <w:tcBorders>
              <w:top w:val="single" w:sz="4" w:space="0" w:color="auto"/>
              <w:bottom w:val="single" w:sz="4" w:space="0" w:color="auto"/>
            </w:tcBorders>
          </w:tcPr>
          <w:p w14:paraId="362FCFD9" w14:textId="77777777" w:rsidR="00AA64FE" w:rsidRDefault="00AA64FE" w:rsidP="009E4D6D">
            <w:pPr>
              <w:jc w:val="both"/>
            </w:pPr>
            <w:r w:rsidRPr="00641070">
              <w:t>Date:</w:t>
            </w:r>
          </w:p>
          <w:p w14:paraId="634579B1" w14:textId="77777777" w:rsidR="00AA64FE" w:rsidRPr="00BB72C6" w:rsidRDefault="00AA64FE" w:rsidP="009E4D6D">
            <w:pPr>
              <w:jc w:val="both"/>
              <w:rPr>
                <w:sz w:val="18"/>
                <w:szCs w:val="18"/>
              </w:rPr>
            </w:pPr>
          </w:p>
        </w:tc>
        <w:tc>
          <w:tcPr>
            <w:tcW w:w="4009" w:type="dxa"/>
            <w:tcBorders>
              <w:top w:val="single" w:sz="4" w:space="0" w:color="auto"/>
              <w:bottom w:val="single" w:sz="4" w:space="0" w:color="auto"/>
            </w:tcBorders>
          </w:tcPr>
          <w:p w14:paraId="7B5A6E8A" w14:textId="77777777" w:rsidR="00AA64FE" w:rsidRPr="00641070" w:rsidRDefault="00AA64FE" w:rsidP="009E4D6D">
            <w:pPr>
              <w:jc w:val="both"/>
              <w:rPr>
                <w:sz w:val="28"/>
                <w:szCs w:val="28"/>
              </w:rPr>
            </w:pPr>
          </w:p>
        </w:tc>
      </w:tr>
    </w:tbl>
    <w:p w14:paraId="21B73327" w14:textId="77777777" w:rsidR="00AA64FE" w:rsidRDefault="00AA64FE" w:rsidP="00AA64FE">
      <w:pPr>
        <w:pStyle w:val="Heading1"/>
        <w:ind w:right="721"/>
        <w:jc w:val="both"/>
        <w:rPr>
          <w:sz w:val="28"/>
          <w:szCs w:val="28"/>
        </w:rPr>
      </w:pPr>
    </w:p>
    <w:bookmarkEnd w:id="0"/>
    <w:p w14:paraId="0C3219EA" w14:textId="77777777" w:rsidR="00AA64FE" w:rsidRDefault="00AA64FE" w:rsidP="00AA64FE">
      <w:pPr>
        <w:pStyle w:val="Heading1"/>
        <w:jc w:val="both"/>
        <w:rPr>
          <w:lang w:val="fr-FR"/>
        </w:rPr>
      </w:pPr>
      <w:r>
        <w:rPr>
          <w:noProof/>
          <w:lang w:val="fr-FR" w:eastAsia="fr-FR"/>
        </w:rPr>
        <mc:AlternateContent>
          <mc:Choice Requires="wps">
            <w:drawing>
              <wp:anchor distT="0" distB="0" distL="0" distR="0" simplePos="0" relativeHeight="251659264" behindDoc="1" locked="0" layoutInCell="1" allowOverlap="1" wp14:anchorId="610B59BF" wp14:editId="0B7ED439">
                <wp:simplePos x="0" y="0"/>
                <wp:positionH relativeFrom="page">
                  <wp:posOffset>806450</wp:posOffset>
                </wp:positionH>
                <wp:positionV relativeFrom="page">
                  <wp:posOffset>9518650</wp:posOffset>
                </wp:positionV>
                <wp:extent cx="2936240" cy="203200"/>
                <wp:effectExtent l="0" t="0" r="0" b="0"/>
                <wp:wrapNone/>
                <wp:docPr id="242991627"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6240" cy="203200"/>
                        </a:xfrm>
                        <a:prstGeom prst="rect">
                          <a:avLst/>
                        </a:prstGeom>
                      </wps:spPr>
                      <wps:txbx>
                        <w:txbxContent>
                          <w:p w14:paraId="38071EEA" w14:textId="77777777" w:rsidR="00AA64FE" w:rsidRPr="00BB72C6" w:rsidRDefault="00AA64FE" w:rsidP="00AA64FE">
                            <w:pPr>
                              <w:spacing w:before="14"/>
                              <w:ind w:left="20"/>
                              <w:rPr>
                                <w:rFonts w:ascii="Arial" w:hAnsi="Arial"/>
                                <w:sz w:val="18"/>
                                <w:lang w:val="fr-CD"/>
                              </w:rPr>
                            </w:pPr>
                            <w:r w:rsidRPr="00BB72C6">
                              <w:rPr>
                                <w:rFonts w:ascii="Arial" w:hAnsi="Arial"/>
                                <w:sz w:val="18"/>
                                <w:lang w:val="fr-CD"/>
                              </w:rPr>
                              <w:t>Activité de Promotion de l</w:t>
                            </w:r>
                            <w:r>
                              <w:rPr>
                                <w:rFonts w:ascii="Arial" w:hAnsi="Arial"/>
                                <w:sz w:val="18"/>
                                <w:lang w:val="fr-CD"/>
                              </w:rPr>
                              <w:t>’</w:t>
                            </w:r>
                            <w:r w:rsidRPr="00BB72C6">
                              <w:rPr>
                                <w:rFonts w:ascii="Arial" w:hAnsi="Arial"/>
                                <w:sz w:val="18"/>
                                <w:lang w:val="fr-CD"/>
                              </w:rPr>
                              <w:t>Etat de Dr</w:t>
                            </w:r>
                            <w:r>
                              <w:rPr>
                                <w:rFonts w:ascii="Arial" w:hAnsi="Arial"/>
                                <w:sz w:val="18"/>
                                <w:lang w:val="fr-CD"/>
                              </w:rPr>
                              <w:t>oit -</w:t>
                            </w:r>
                            <w:r w:rsidRPr="00BB72C6">
                              <w:rPr>
                                <w:rFonts w:ascii="Arial" w:hAnsi="Arial"/>
                                <w:spacing w:val="-1"/>
                                <w:sz w:val="18"/>
                                <w:lang w:val="fr-CD"/>
                              </w:rPr>
                              <w:t xml:space="preserve"> </w:t>
                            </w:r>
                            <w:r w:rsidRPr="00BB72C6">
                              <w:rPr>
                                <w:rFonts w:ascii="Arial" w:hAnsi="Arial"/>
                                <w:sz w:val="18"/>
                                <w:lang w:val="fr-CD"/>
                              </w:rPr>
                              <w:t>APS-</w:t>
                            </w:r>
                            <w:r w:rsidRPr="00BB72C6">
                              <w:rPr>
                                <w:rFonts w:ascii="Arial" w:hAnsi="Arial"/>
                                <w:spacing w:val="-5"/>
                                <w:sz w:val="18"/>
                                <w:lang w:val="fr-CD"/>
                              </w:rPr>
                              <w:t>001</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10B59BF" id="_x0000_t202" coordsize="21600,21600" o:spt="202" path="m,l,21600r21600,l21600,xe">
                <v:stroke joinstyle="miter"/>
                <v:path gradientshapeok="t" o:connecttype="rect"/>
              </v:shapetype>
              <v:shape id="Textbox 3" o:spid="_x0000_s1026" type="#_x0000_t202" style="position:absolute;left:0;text-align:left;margin-left:63.5pt;margin-top:749.5pt;width:231.2pt;height:1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" filled="f" stroked="f">
                <v:textbox inset="0,0,0,0">
                  <w:txbxContent>
                    <w:p w14:paraId="38071EEA" w14:textId="77777777" w:rsidR="00AA64FE" w:rsidRPr="00BB72C6" w:rsidRDefault="00AA64FE" w:rsidP="00AA64FE">
                      <w:pPr>
                        <w:spacing w:before="14"/>
                        <w:ind w:left="20"/>
                        <w:rPr>
                          <w:rFonts w:ascii="Arial" w:hAnsi="Arial"/>
                          <w:sz w:val="18"/>
                          <w:lang w:val="fr-CD"/>
                        </w:rPr>
                      </w:pPr>
                      <w:r w:rsidRPr="00BB72C6">
                        <w:rPr>
                          <w:rFonts w:ascii="Arial" w:hAnsi="Arial"/>
                          <w:sz w:val="18"/>
                          <w:lang w:val="fr-CD"/>
                        </w:rPr>
                        <w:t>Activité de Promotion de l</w:t>
                      </w:r>
                      <w:r>
                        <w:rPr>
                          <w:rFonts w:ascii="Arial" w:hAnsi="Arial"/>
                          <w:sz w:val="18"/>
                          <w:lang w:val="fr-CD"/>
                        </w:rPr>
                        <w:t>’</w:t>
                      </w:r>
                      <w:r w:rsidRPr="00BB72C6">
                        <w:rPr>
                          <w:rFonts w:ascii="Arial" w:hAnsi="Arial"/>
                          <w:sz w:val="18"/>
                          <w:lang w:val="fr-CD"/>
                        </w:rPr>
                        <w:t>Etat de Dr</w:t>
                      </w:r>
                      <w:r>
                        <w:rPr>
                          <w:rFonts w:ascii="Arial" w:hAnsi="Arial"/>
                          <w:sz w:val="18"/>
                          <w:lang w:val="fr-CD"/>
                        </w:rPr>
                        <w:t>oit -</w:t>
                      </w:r>
                      <w:r w:rsidRPr="00BB72C6">
                        <w:rPr>
                          <w:rFonts w:ascii="Arial" w:hAnsi="Arial"/>
                          <w:spacing w:val="-1"/>
                          <w:sz w:val="18"/>
                          <w:lang w:val="fr-CD"/>
                        </w:rPr>
                        <w:t xml:space="preserve"> </w:t>
                      </w:r>
                      <w:r w:rsidRPr="00BB72C6">
                        <w:rPr>
                          <w:rFonts w:ascii="Arial" w:hAnsi="Arial"/>
                          <w:sz w:val="18"/>
                          <w:lang w:val="fr-CD"/>
                        </w:rPr>
                        <w:t>APS-</w:t>
                      </w:r>
                      <w:r w:rsidRPr="00BB72C6">
                        <w:rPr>
                          <w:rFonts w:ascii="Arial" w:hAnsi="Arial"/>
                          <w:spacing w:val="-5"/>
                          <w:sz w:val="18"/>
                          <w:lang w:val="fr-CD"/>
                        </w:rPr>
                        <w:t>001</w:t>
                      </w:r>
                    </w:p>
                  </w:txbxContent>
                </v:textbox>
                <w10:wrap anchorx="page" anchory="page"/>
              </v:shape>
            </w:pict>
          </mc:Fallback>
        </mc:AlternateContent>
      </w:r>
      <w:r w:rsidRPr="00203AC3">
        <w:rPr>
          <w:lang w:val="fr-FR"/>
        </w:rPr>
        <w:t xml:space="preserve"> </w:t>
      </w:r>
    </w:p>
    <w:p w14:paraId="7918E911" w14:textId="77777777" w:rsidR="00AA64FE" w:rsidRDefault="00AA64FE" w:rsidP="00AA64FE">
      <w:pPr>
        <w:pStyle w:val="Heading1"/>
        <w:jc w:val="both"/>
        <w:rPr>
          <w:lang w:val="fr-FR"/>
        </w:rPr>
      </w:pPr>
    </w:p>
    <w:p w14:paraId="4BB220D2" w14:textId="77777777" w:rsidR="00AA64FE" w:rsidRDefault="00AA64FE" w:rsidP="00AA64FE">
      <w:pPr>
        <w:pStyle w:val="Heading1"/>
        <w:jc w:val="both"/>
        <w:rPr>
          <w:lang w:val="fr-FR"/>
        </w:rPr>
      </w:pPr>
    </w:p>
    <w:p w14:paraId="0BA1E4A5" w14:textId="77777777" w:rsidR="00AA64FE" w:rsidRDefault="00AA64FE" w:rsidP="00AA64FE">
      <w:pPr>
        <w:pStyle w:val="Heading1"/>
        <w:jc w:val="both"/>
        <w:rPr>
          <w:lang w:val="fr-FR"/>
        </w:rPr>
      </w:pPr>
    </w:p>
    <w:p w14:paraId="5CCD44F0" w14:textId="77777777" w:rsidR="00AA64FE" w:rsidRDefault="00AA64FE" w:rsidP="00AA64FE">
      <w:pPr>
        <w:pStyle w:val="Heading1"/>
        <w:jc w:val="both"/>
        <w:rPr>
          <w:lang w:val="fr-FR"/>
        </w:rPr>
      </w:pPr>
    </w:p>
    <w:p w14:paraId="49DA9177" w14:textId="77777777" w:rsidR="00AA64FE" w:rsidRDefault="00AA64FE" w:rsidP="00AA64FE">
      <w:pPr>
        <w:pStyle w:val="Heading1"/>
        <w:jc w:val="both"/>
        <w:rPr>
          <w:lang w:val="fr-FR"/>
        </w:rPr>
      </w:pPr>
    </w:p>
    <w:p w14:paraId="2A3DCD7A" w14:textId="77777777" w:rsidR="005E70E6" w:rsidRDefault="005E70E6"/>
    <w:sectPr w:rsidR="005E70E6" w:rsidSect="00AA64FE">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377F5"/>
    <w:multiLevelType w:val="hybridMultilevel"/>
    <w:tmpl w:val="84E834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636F79"/>
    <w:multiLevelType w:val="hybridMultilevel"/>
    <w:tmpl w:val="99909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2E0233"/>
    <w:multiLevelType w:val="hybridMultilevel"/>
    <w:tmpl w:val="1F9C0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F16635"/>
    <w:multiLevelType w:val="hybridMultilevel"/>
    <w:tmpl w:val="AA94A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296406">
    <w:abstractNumId w:val="3"/>
  </w:num>
  <w:num w:numId="2" w16cid:durableId="943533907">
    <w:abstractNumId w:val="0"/>
  </w:num>
  <w:num w:numId="3" w16cid:durableId="1014575586">
    <w:abstractNumId w:val="2"/>
  </w:num>
  <w:num w:numId="4" w16cid:durableId="129715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4FE"/>
    <w:rsid w:val="005E70E6"/>
    <w:rsid w:val="00AA64FE"/>
    <w:rsid w:val="00C02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0DF47"/>
  <w15:chartTrackingRefBased/>
  <w15:docId w15:val="{814C6706-45CB-4CB8-9930-BC8C3F74F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4FE"/>
    <w:pPr>
      <w:widowControl w:val="0"/>
      <w:autoSpaceDE w:val="0"/>
      <w:autoSpaceDN w:val="0"/>
      <w:spacing w:after="0" w:line="240" w:lineRule="auto"/>
    </w:pPr>
    <w:rPr>
      <w:rFonts w:ascii="Gill Sans MT" w:eastAsia="Gill Sans MT" w:hAnsi="Gill Sans MT" w:cs="Gill Sans MT"/>
      <w:kern w:val="0"/>
      <w14:ligatures w14:val="none"/>
    </w:rPr>
  </w:style>
  <w:style w:type="paragraph" w:styleId="Heading1">
    <w:name w:val="heading 1"/>
    <w:basedOn w:val="Normal"/>
    <w:next w:val="Normal"/>
    <w:link w:val="Heading1Char"/>
    <w:uiPriority w:val="9"/>
    <w:qFormat/>
    <w:rsid w:val="00AA64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64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64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64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64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64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4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4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4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4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64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64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64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64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64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4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4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4FE"/>
    <w:rPr>
      <w:rFonts w:eastAsiaTheme="majorEastAsia" w:cstheme="majorBidi"/>
      <w:color w:val="272727" w:themeColor="text1" w:themeTint="D8"/>
    </w:rPr>
  </w:style>
  <w:style w:type="paragraph" w:styleId="Title">
    <w:name w:val="Title"/>
    <w:basedOn w:val="Normal"/>
    <w:next w:val="Normal"/>
    <w:link w:val="TitleChar"/>
    <w:uiPriority w:val="10"/>
    <w:qFormat/>
    <w:rsid w:val="00AA64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4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4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4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4FE"/>
    <w:pPr>
      <w:spacing w:before="160"/>
      <w:jc w:val="center"/>
    </w:pPr>
    <w:rPr>
      <w:i/>
      <w:iCs/>
      <w:color w:val="404040" w:themeColor="text1" w:themeTint="BF"/>
    </w:rPr>
  </w:style>
  <w:style w:type="character" w:customStyle="1" w:styleId="QuoteChar">
    <w:name w:val="Quote Char"/>
    <w:basedOn w:val="DefaultParagraphFont"/>
    <w:link w:val="Quote"/>
    <w:uiPriority w:val="29"/>
    <w:rsid w:val="00AA64FE"/>
    <w:rPr>
      <w:i/>
      <w:iCs/>
      <w:color w:val="404040" w:themeColor="text1" w:themeTint="BF"/>
    </w:rPr>
  </w:style>
  <w:style w:type="paragraph" w:styleId="ListParagraph">
    <w:name w:val="List Paragraph"/>
    <w:aliases w:val="Ha,MCHIP_list paragraph,List Paragraph1,Recommendation,Table bullet,First Level Outline,Resume Title,heading 4,Citation List,Indented Text,Indented (Quote),4 Bullet,Bullet 4,IRD Bullet List,List numbered,List Bullet Mary,Puces,Reference"/>
    <w:basedOn w:val="Normal"/>
    <w:link w:val="ListParagraphChar"/>
    <w:uiPriority w:val="34"/>
    <w:qFormat/>
    <w:rsid w:val="00AA64FE"/>
    <w:pPr>
      <w:ind w:left="720"/>
      <w:contextualSpacing/>
    </w:pPr>
  </w:style>
  <w:style w:type="character" w:styleId="IntenseEmphasis">
    <w:name w:val="Intense Emphasis"/>
    <w:basedOn w:val="DefaultParagraphFont"/>
    <w:uiPriority w:val="21"/>
    <w:qFormat/>
    <w:rsid w:val="00AA64FE"/>
    <w:rPr>
      <w:i/>
      <w:iCs/>
      <w:color w:val="2F5496" w:themeColor="accent1" w:themeShade="BF"/>
    </w:rPr>
  </w:style>
  <w:style w:type="paragraph" w:styleId="IntenseQuote">
    <w:name w:val="Intense Quote"/>
    <w:basedOn w:val="Normal"/>
    <w:next w:val="Normal"/>
    <w:link w:val="IntenseQuoteChar"/>
    <w:uiPriority w:val="30"/>
    <w:qFormat/>
    <w:rsid w:val="00AA64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64FE"/>
    <w:rPr>
      <w:i/>
      <w:iCs/>
      <w:color w:val="2F5496" w:themeColor="accent1" w:themeShade="BF"/>
    </w:rPr>
  </w:style>
  <w:style w:type="character" w:styleId="IntenseReference">
    <w:name w:val="Intense Reference"/>
    <w:basedOn w:val="DefaultParagraphFont"/>
    <w:uiPriority w:val="32"/>
    <w:qFormat/>
    <w:rsid w:val="00AA64FE"/>
    <w:rPr>
      <w:b/>
      <w:bCs/>
      <w:smallCaps/>
      <w:color w:val="2F5496" w:themeColor="accent1" w:themeShade="BF"/>
      <w:spacing w:val="5"/>
    </w:rPr>
  </w:style>
  <w:style w:type="character" w:customStyle="1" w:styleId="ListParagraphChar">
    <w:name w:val="List Paragraph Char"/>
    <w:aliases w:val="Ha Char,MCHIP_list paragraph Char,List Paragraph1 Char,Recommendation Char,Table bullet Char,First Level Outline Char,Resume Title Char,heading 4 Char,Citation List Char,Indented Text Char,Indented (Quote) Char,4 Bullet Char"/>
    <w:basedOn w:val="DefaultParagraphFont"/>
    <w:link w:val="ListParagraph"/>
    <w:uiPriority w:val="34"/>
    <w:locked/>
    <w:rsid w:val="00AA64FE"/>
  </w:style>
  <w:style w:type="character" w:styleId="Hyperlink">
    <w:name w:val="Hyperlink"/>
    <w:basedOn w:val="DefaultParagraphFont"/>
    <w:uiPriority w:val="99"/>
    <w:unhideWhenUsed/>
    <w:rsid w:val="00AA64FE"/>
    <w:rPr>
      <w:color w:val="0563C1" w:themeColor="hyperlink"/>
      <w:u w:val="single"/>
    </w:rPr>
  </w:style>
  <w:style w:type="table" w:styleId="TableGrid">
    <w:name w:val="Table Grid"/>
    <w:basedOn w:val="TableNormal"/>
    <w:uiPriority w:val="59"/>
    <w:rsid w:val="00AA64FE"/>
    <w:pPr>
      <w:widowControl w:val="0"/>
      <w:autoSpaceDE w:val="0"/>
      <w:autoSpaceDN w:val="0"/>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1005</Words>
  <Characters>5734</Characters>
  <Application>Microsoft Office Word</Application>
  <DocSecurity>0</DocSecurity>
  <Lines>47</Lines>
  <Paragraphs>13</Paragraphs>
  <ScaleCrop>false</ScaleCrop>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Kalema, Teddy</dc:creator>
  <cp:keywords/>
  <dc:description/>
  <cp:lastModifiedBy>Kalema, Teddy</cp:lastModifiedBy>
  <cp:revision>1</cp:revision>
  <dcterms:created xsi:type="dcterms:W3CDTF">2024-11-13T11:45:00Z</dcterms:created>
  <dcterms:modified xsi:type="dcterms:W3CDTF">2024-11-13T11:48:00Z</dcterms:modified>
</cp:coreProperties>
</file>